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Supplementary Material S1</w:t>
      </w:r>
    </w:p>
    <w:p>
      <w:pPr>
        <w:pStyle w:val="Normal"/>
        <w:rPr/>
      </w:pPr>
      <w:r>
        <w:rPr>
          <w:b/>
          <w:bCs/>
        </w:rPr>
        <w:t xml:space="preserve">S1.1. Observed and model-predicted monkey plasma concentration-time profiles across molecules and dose levels. </w:t>
      </w:r>
      <w:r>
        <w:rPr/>
        <w:t>(A) A priori PBPK simulations generated without fitting to monkey PK data. (B) Top-down QSS TMDD Run 4 fits with CL, Vc, Q, and Vp estimated and molecule-specific TMDD inputs fixed. Points represent observed data and lines represent model predictions.</w:t>
      </w:r>
    </w:p>
    <w:p>
      <w:pPr>
        <w:pStyle w:val="Normal"/>
        <w:rPr/>
      </w:pPr>
      <w:r>
        <w:rPr>
          <w:b/>
        </w:rPr>
        <w:t>(A) A priori PBPK monkey profiles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943600" cy="374015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5605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>
          <w:b/>
        </w:rPr>
        <w:t>(B) Top-down QSS TMDD monkey fitted profiles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943600" cy="3887470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6564" r="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0" w:after="0"/>
        <w:jc w:val="left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spacing w:before="0" w:after="160"/>
        <w:rPr/>
      </w:pPr>
      <w:r>
        <w:rPr>
          <w:b/>
          <w:bCs/>
        </w:rPr>
        <w:t>S</w:t>
      </w:r>
      <w:r>
        <w:rPr>
          <w:b/>
          <w:bCs/>
        </w:rPr>
        <w:t>1.2. Fold-error comparison for monkey terminal clearance, AUC0-28d, and Cmax predicted using “a priori” PBPK and monkey-fitted top-down TMDD translation.</w:t>
      </w:r>
      <w:r>
        <w:rPr/>
        <w:t xml:space="preserve"> (A) Terminal clearance, representing nonlinear target-mediated elimination; (B) AUC0-28d and (C) Cmax, representing the predominantly linear elimination component. Fold error equals predicted divided by observed; bars extend from 1 on a base-2 logarithmic scale, and the shaded region and dashed lines indicate the 0.5- to 2-fold interval.</w:t>
      </w:r>
    </w:p>
    <w:p>
      <w:pPr>
        <w:pStyle w:val="Normal"/>
        <w:rPr/>
      </w:pPr>
      <w:r>
        <w:rPr>
          <w:b/>
        </w:rPr>
        <w:t>(A) Monkey terminal clearance</w:t>
      </w:r>
    </w:p>
    <w:p>
      <w:pPr>
        <w:pStyle w:val="Normal"/>
        <w:rPr>
          <w:b/>
        </w:rPr>
      </w:pPr>
      <w:r>
        <w:rPr/>
        <w:drawing>
          <wp:inline distT="0" distB="0" distL="0" distR="0">
            <wp:extent cx="5943600" cy="2903855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b/>
        </w:rPr>
      </w:pPr>
      <w:r>
        <w:rPr>
          <w:b/>
        </w:rPr>
        <w:t>(B) Monkey AUC0-28d</w:t>
      </w:r>
    </w:p>
    <w:p>
      <w:pPr>
        <w:pStyle w:val="Normal"/>
        <w:rPr/>
      </w:pPr>
      <w:r>
        <w:rPr/>
        <w:drawing>
          <wp:inline distT="0" distB="0" distL="0" distR="0">
            <wp:extent cx="6446520" cy="3149600"/>
            <wp:effectExtent l="0" t="0" r="0" b="0"/>
            <wp:docPr id="4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652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>
          <w:b/>
        </w:rPr>
        <w:t>(C) Monkey Cmax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6576695" cy="3213100"/>
            <wp:effectExtent l="0" t="0" r="0" b="0"/>
            <wp:docPr id="5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6695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left"/>
        <w:rPr>
          <w:b/>
          <w:bCs/>
        </w:rPr>
      </w:pPr>
      <w:r>
        <w:rPr>
          <w:b/>
          <w:bCs/>
        </w:rPr>
        <w:t>S1.3. Parameters Used in A Priori and Top-Down Simulations</w:t>
      </w:r>
    </w:p>
    <w:tbl>
      <w:tblPr>
        <w:tblW w:w="17216" w:type="dxa"/>
        <w:jc w:val="left"/>
        <w:tblInd w:w="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2028"/>
        <w:gridCol w:w="962"/>
        <w:gridCol w:w="1560"/>
        <w:gridCol w:w="864"/>
        <w:gridCol w:w="1221"/>
        <w:gridCol w:w="3921"/>
        <w:gridCol w:w="1887"/>
        <w:gridCol w:w="4771"/>
      </w:tblGrid>
      <w:tr>
        <w:trPr>
          <w:trHeight w:val="64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>
                <w:b/>
              </w:rPr>
              <w:t>Molecule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Species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>
                <w:b/>
              </w:rPr>
              <w:t>Parameter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>
                <w:b/>
              </w:rPr>
              <w:t>Value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>
                <w:b/>
              </w:rPr>
              <w:t>Unit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>
                <w:b/>
              </w:rPr>
              <w:t>Method for deriving the parameter in the  analytical method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>
                <w:b/>
              </w:rPr>
              <w:t>Parameter Group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>
                <w:b/>
              </w:rPr>
              <w:t>Source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Adalimumab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0.000127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SPR/Biacore (Biacore 3000); KD = 127 pM for soluble TNF-alpha trimer; 1:1 binding model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Shealy et al., 2011; PMC3180089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Adalimumab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koff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0.0096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1/min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SPR/Biacore (Biacore 3000); kd = 16 x 10^-5 s^-1 converted to 0.0096 min^-1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Shealy et al., 2011; PMC3180089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Adalimumab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kint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0.866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Estimated from minimal PBPK model; internalization rate constant for mAb-TNF complex in serum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Zheng et al., 2020; PMC7531524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Adalimumab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Reference target concentration 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0.001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TNF-alpha baseline concentration in healthy subject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Montes de Oca et al., 2025; doi: 10.3390/pharmaceutics18040445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Adalimumab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kdeg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0.223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First-order degradation rate constant for soluble TNF-alpha in PBPK-PD model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Montes de Oca et al., 2025; doi: 10.3390/pharmaceutics18040445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Adalimumab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 (FcRn) in endosomal space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1.05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Model-based meta analysis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Benamara et al., 2025; PMID: 41536283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Atezolizumab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0.299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Equilibrium binding studies using human PD-L1 expressed on 293 cells; weighted mean KD from reported in vitro values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Huang et al., 2022 PMID: 36225583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Atezolizumab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koff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0.00936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1/min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SPR/Biacore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Huang et al., 2022 PMID: 36225583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Atezolizumab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kint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0.606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Flow cytometry internalization assay in BxPC-3 cells; percent PD-L1 remaining at cell surface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Huang et al., 2022 PMID: 36225583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Atezolizumab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Reference target concentration 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0.609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Assumed same across species (estimated in source)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Huang et al., 2022 PMID: 36225583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Atezolizumab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kdeg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0.0426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Median PD-L1 degradation rate from meta-analysis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Huang et al., 2022 PMID: 36225583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Atezolizumab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 (FcRn) in endosomal space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0.65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SPR/Biacore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Huang et al., 2022 PMID: 36225583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Avelumab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0.0000467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 assay (Biacore T200), 1:1 kinetic fitting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Jin et al., 2021 PMID: 34484871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Avelumab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koff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0.00174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1/min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 assay (Biacore T200), 1:1 kinetic fitting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Benicky et al., 2022 PMID: 33073996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Avelumab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kint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0.25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pHrodo flow-cytometry internalization assay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Jin et al., 2021 PMID: 34484871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Avelumab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Reference target concentration 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0.609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Assumed same across species (estimated in source)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Huang et al., 2022 PMID: 36225583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Avelumab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kdeg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0.0426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Median PD-L1 degradation rate from Huang et al. meta-analysis; used as target-level parameter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Huang et al., 2022 PMID: 36225583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Avelumab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 (FcRn) in endosomal space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1.05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Model-based meta analysis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Benamara et al., 2025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Bevacizumab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0.000058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SPR-Biacore; bevacizumab captured on Protein A sensor chip; human VEGF-A165 KD = 58 pM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Papadopoulos et al., 2012; https://doi.org/10.1007/s10456-011-9249-6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Bevacizumab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koff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0.00186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1/min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SPR-Biacore; kd = 3.10e-5 s^-1 converted to 0.00186 min^-1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Papadopoulos et al., 2012; https://doi.org/10.1007/s10456-011-9249-6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Bevacizumab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kint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0.48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Assumed same as kdeg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Sarabipour et al., 2024 PMID 38324585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Bevacizumab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Reference target concentration 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0.013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quantitative fluorescence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Imoukhuede et al., 2012  PMID: 21185287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Bevacizumab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kdeg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0.48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Sarabipour et al., 2024 PMID 38324585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Bevacizumab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 (FcRn) in endosomal space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1.05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Model-based meta analysis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Benamara et al., 2025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Golimumab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0.000018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SPR/Biacore (Biacore 3000); KD = 18 pM for soluble TNF-alpha trimer; 1:1 binding model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Shealy et al., 2011; PMC3180089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Golimumab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koff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0.005583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1/min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SPR/Biacore (Biacore 3000); kd = 9.3 x 10^-5 s^-1 converted to 0.00558 min^-1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Shealy et al., 2011; PMC3180089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Golimumab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kint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0.866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Estimated from minimal PBPK model; internalization rate constant for mAb-TNF complex in serum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Zheng et al., 2020; PMC7531524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Golimumab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Reference target concentration 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0.001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TNF-alpha baseline concentration in healthy subject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Montes de Oca et al., 2025; doi: 10.3390/pharmaceutics18040445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Golimumab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kdeg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0.223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First-order degradation rate constant for soluble TNF-alpha in PBPK-PD model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Montes de Oca et al., 2025; doi: 10.3390/pharmaceutics18040445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Golimumab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 (FcRn) in endosomal space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1.05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Model-based meta analysis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Benamara et al., 2025; PMID: 41536283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Nivolumab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0.00145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 assay (BIAcore T100) using mammalian-expressed human PD-1; WT PD-1 KD = 1.45 nM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Tan et al., 2017; https://doi.org/10.1038/ncomms14369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Nivolumab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koff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0.114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SPR/Biacore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Tan et al., 2017; https://doi.org/10.1038/ncomms14369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Nivolumab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kint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0.027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Assumed same as kdeg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2017; https://doi.org/10.1002/psp4.12130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Nivolumab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Reference target concentration 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0.0166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Assumed same across species (estimated in source)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2017; https://doi.org/10.1002/psp4.12130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Nivolumab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kdeg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0.027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Estimated in source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2017; https://doi.org/10.1002/psp4.12130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Nivolumab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 (FcRn) in endosomal space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1.05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Model-based meta analysis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Benamara et al., 2025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Pembrolizumab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0.00031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SPR/Biacore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 PMID: 27863176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Pembrolizumab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koff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0.0017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1/min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SPR/Biacore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 PMID: 27863176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Pembrolizumab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kint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0.027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Estimated in source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 PMID: 27863176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Pembrolizumab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Reference target concentration 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0.0166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Assumed same across species (estimated in source)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 PMID: 27863176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Pembrolizumab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kdeg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0.027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Estimated in source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 PMID: 27863176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Pembrolizumab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 (FcRn) in endosomal space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0.081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SPR/Biacore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 PMID: 27863176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Tocilizumab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0.00134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SPR/Biacore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Xu et al., 2021 PMID: 33314148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Tocilizumab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koff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0.01284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1/min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SPR/Biacore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Xu et al., 2021 PMID: 33314148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Tocilizumab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kint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0.28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Assumed same as kdeg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Gerhartz et al., 1994 PMID: 8033901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Tocilizumab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Reference target concentration 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2.2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Ligand-binding receptor assay (assumed same across species)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Nesbitt et al., 1992 PMID: 1550952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Tocilizumab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kdeg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0.28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Pulse chase experiments 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Gerhartz et al., 1994 PMID: 8033901</w:t>
            </w:r>
          </w:p>
        </w:tc>
      </w:tr>
      <w:tr>
        <w:trPr>
          <w:trHeight w:val="720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Tocilizumab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Monkey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 (FcRn) in endosomal space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1.05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Model-based meta analysis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Benamara et al., 2025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Adalimumab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0.000127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SPR/Biacore (Biacore 3000); KD = 127 pM for soluble TNF-alpha trimer; 1:1 binding model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Shealy et al., 2011; PMC3180089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Adalimumab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koff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0.0096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1/min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SPR/Biacore (Biacore 3000); kd = 16 x 10^-5 s^-1 converted to 0.0096 min^-1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Shealy et al., 2011; PMC3180089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Adalimumab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kint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0.866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Estimated from minimal PBPK model; internalization rate constant for mAb-TNF complex in serum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Zheng et al., 2020; PMC7531524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Adalimumab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Reference target concentration 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0.001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TNF-alpha baseline concentration in healthy (assumed same across species)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Montes de Oca et al., 2025; doi: 10.3390/pharmaceutics18040445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Adalimumab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kdeg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0.223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Montes de Oca et al., 2025; doi: 10.3390/pharmaceutics18040445</w:t>
            </w:r>
          </w:p>
        </w:tc>
      </w:tr>
      <w:tr>
        <w:trPr>
          <w:trHeight w:val="256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Adalimumab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 (FcRn) in endosomal space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1.05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Model-based meta analysis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Benamara et al., 2025; PMID: 41536283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Atezolizumab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0.299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Equilibrium binding studies using human PD-L1 expressed on 293 cells; weighted mean KD from reported in vitro values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Huang et al., 2022 PMID: 36225583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Atezolizumab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koff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0.00936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1/min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SPR/Biacore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Huang et al., 2022 PMID: 36225583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Atezolizumab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kint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0.606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Flow cytometry internalization assay in BxPC-3 cells; percent PD-L1 remaining at cell surface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Huang et al., 2022 PMID: 36225583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Atezolizumab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Reference target concentration 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0.609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Assumed same across species (estimated in source)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Huang et al., 2022 PMID: 36225583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Atezolizumab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kdeg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0.0426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Median PD-L1 degradation rate from meta-analysis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Huang et al., 2022 PMID: 36225583</w:t>
            </w:r>
          </w:p>
        </w:tc>
      </w:tr>
      <w:tr>
        <w:trPr>
          <w:trHeight w:val="256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Atezolizumab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 (FcRn) in endosomal space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0.65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SPR/Biacore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Huang et al., 2022 PMID: 36225583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Avelumab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0.0000467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 assay (Biacore T200), 1:1 kinetic fitting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Jin et al., 2021 PMID: 34484871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Avelumab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koff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0.00174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1/min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 assay (Biacore T200), 1:1 kinetic fitting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Benicky et al., 2022 PMID: 33073996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Avelumab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kint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0.25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pHrodo flow-cytometry internalization assay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Jin et al., 2021 PMID: 34484871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Avelumab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Reference target concentration 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0.609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Assumed same across species (estimated in source)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Huang et al., 2022 PMID: 36225583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Avelumab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kdeg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0.0426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Median PD-L1 degradation rate from Huang et al. meta-analysis; used as target-level parameter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Huang et al., 2022 PMID: 36225583</w:t>
            </w:r>
          </w:p>
        </w:tc>
      </w:tr>
      <w:tr>
        <w:trPr>
          <w:trHeight w:val="256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Avelumab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 (FcRn) in endosomal space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1.05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Model-based meta analysis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Benamara et al., 2025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Bevacizumab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0.000058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SPR-Biacore; bevacizumab captured on Protein A sensor chip; human VEGF-A165 KD = 58 pM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Papadopoulos et al., 2012; https://doi.org/10.1007/s10456-011-9249-6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Bevacizumab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koff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0.00186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1/min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SPR-Biacore; kd = 3.10e-5 s^-1 converted to 0.00186 min^-1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Papadopoulos et al., 2012; https://doi.org/10.1007/s10456-011-9249-6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Bevacizumab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kint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0.48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Assumed same as kdeg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Sarabipour et al., 2024 PMID 38324585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Bevacizumab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Reference target concentration 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0.013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quantitative fluorescence (assumed same across species)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Imoukhuede et al., 2012  PMID: 21185287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Bevacizumab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kdeg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0.48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Sarabipour et al., 2024 PMID 38324585</w:t>
            </w:r>
          </w:p>
        </w:tc>
      </w:tr>
      <w:tr>
        <w:trPr>
          <w:trHeight w:val="256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Bevacizumab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 (FcRn) in endosomal space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1.05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Model-based meta analysis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Benamara et al., 2025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Golimumab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0.000018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SPR/Biacore (Biacore 3000); KD = 18 pM for soluble TNF-alpha trimer; 1:1 binding model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Shealy et al., 2011; PMC3180089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Golimumab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koff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0.005583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1/min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SPR/Biacore (Biacore 3000); kd = 9.3 x 10^-5 s^-1 converted to 0.00558 min^-1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Shealy et al., 2011; PMC3180089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Golimumab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kint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0.866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Estimated from minimal PBPK model; internalization rate constant for mAb-TNF complex in serum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Zheng et al., 2020; PMC7531524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Golimumab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Reference target concentration 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0.001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TNF-alpha baseline concentration in healthy (assumed same across species)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Montes de Oca et al., 2025; doi: 10.3390/pharmaceutics18040445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Golimumab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kdeg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0.223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Montes de Oca et al., 2025; doi: 10.3390/pharmaceutics18040445</w:t>
            </w:r>
          </w:p>
        </w:tc>
      </w:tr>
      <w:tr>
        <w:trPr>
          <w:trHeight w:val="256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Golimumab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 (FcRn) in endosomal space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1.05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Model-based meta analysis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Benamara et al., 2025; PMID: 41536283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Nivolumab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0.00145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SPR assay (BIAcore T100) using mammalian-expressed human PD-1; WT PD-1 KD = 1.45 nM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Tan et al., 2017; https://doi.org/10.1038/ncomms14369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Nivolumab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koff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0.114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SPR/Biacore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Tan et al., 2017; https://doi.org/10.1038/ncomms14369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Nivolumab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kint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0.027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Assumed same as kdeg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2017; https://doi.org/10.1002/psp4.12130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Nivolumab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Reference target concentration 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0.07138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Calculated based on tumor to blood ratio ~4.3 in source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2017; https://doi.org/10.1002/psp4.12130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Nivolumab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kdeg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0.027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Estimated in source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2017; https://doi.org/10.1002/psp4.12130</w:t>
            </w:r>
          </w:p>
        </w:tc>
      </w:tr>
      <w:tr>
        <w:trPr>
          <w:trHeight w:val="256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Nivolumab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 (FcRn) in endosomal space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1.05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Model-based meta analysis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Benamara et al., 2025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Pembrolizumab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0.00031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SPR/Biacore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 PMID: 27863176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Pembrolizumab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koff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0.0017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1/min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SPR/Biacore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 PMID: 27863176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Pembrolizumab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kint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0.027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Estimated in source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 PMID: 27863176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Pembrolizumab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Reference target concentration 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0.07138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Calculated based on tumor to blood ratio ~4.3 in source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 PMID: 27863176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Pembrolizumab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kdeg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0.027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Estimated in source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 PMID: 27863176</w:t>
            </w:r>
          </w:p>
        </w:tc>
      </w:tr>
      <w:tr>
        <w:trPr>
          <w:trHeight w:val="256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Pembrolizumab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 (FcRn) in endosomal space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0.081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SPR/Biacore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Lindauer et al., 2017 PMID: 27863176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Tocilizumab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0.00134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SPR/Biacore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Xu et al., 2021 PMID: 33314148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Tocilizumab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koff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0.01284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1/min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SPR/Biacore 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Xu et al., 2021 PMID: 33314148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Tocilizumab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kint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0.28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Assumed same as kdeg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Gerhartz et al., 1994 PMID: 8033901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Tocilizumab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 xml:space="preserve">Reference target concentration 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1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Ligand-binding receptor assay (assumed same across species)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Nesbitt et al., 1992 PMID: 1550952</w:t>
            </w:r>
          </w:p>
        </w:tc>
      </w:tr>
      <w:tr>
        <w:trPr>
          <w:trHeight w:val="417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Tocilizumab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kdeg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0.28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1/h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Pulse chase experiments 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 and Top Down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Gerhartz et al., 1994 PMID: 8033901</w:t>
            </w:r>
          </w:p>
        </w:tc>
      </w:tr>
      <w:tr>
        <w:trPr>
          <w:trHeight w:val="256" w:hRule="atLeast"/>
        </w:trPr>
        <w:tc>
          <w:tcPr>
            <w:tcW w:w="2028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Tocilizumab</w:t>
            </w:r>
          </w:p>
        </w:tc>
        <w:tc>
          <w:tcPr>
            <w:tcW w:w="96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Human</w:t>
            </w:r>
          </w:p>
        </w:tc>
        <w:tc>
          <w:tcPr>
            <w:tcW w:w="15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Kd (FcRn) in endosomal space</w:t>
            </w:r>
          </w:p>
        </w:tc>
        <w:tc>
          <w:tcPr>
            <w:tcW w:w="86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1.05</w:t>
            </w:r>
          </w:p>
        </w:tc>
        <w:tc>
          <w:tcPr>
            <w:tcW w:w="12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uM</w:t>
            </w:r>
          </w:p>
        </w:tc>
        <w:tc>
          <w:tcPr>
            <w:tcW w:w="392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Model-based meta analysis</w:t>
            </w:r>
          </w:p>
        </w:tc>
        <w:tc>
          <w:tcPr>
            <w:tcW w:w="188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center"/>
              <w:rPr/>
            </w:pPr>
            <w:r>
              <w:rPr/>
              <w:t>A Priori</w:t>
            </w:r>
          </w:p>
        </w:tc>
        <w:tc>
          <w:tcPr>
            <w:tcW w:w="4771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Benamara et al., 2025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S1.4. Top-down Linear Clearance Estimates for Monkey</w:t>
      </w:r>
    </w:p>
    <w:tbl>
      <w:tblPr>
        <w:tblW w:w="6870" w:type="dxa"/>
        <w:jc w:val="left"/>
        <w:tblInd w:w="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1740"/>
        <w:gridCol w:w="1080"/>
        <w:gridCol w:w="2160"/>
        <w:gridCol w:w="1890"/>
      </w:tblGrid>
      <w:tr>
        <w:trPr>
          <w:trHeight w:val="831" w:hRule="atLeast"/>
        </w:trPr>
        <w:tc>
          <w:tcPr>
            <w:tcW w:w="174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>
                <w:b/>
              </w:rPr>
              <w:t>Molecule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>
                <w:b/>
              </w:rPr>
              <w:t>Target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>
                <w:b/>
              </w:rPr>
              <w:t>TopDown Monkey Estimated CL (L/h/kg)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>
                <w:b/>
              </w:rPr>
              <w:t>CL RSE (%)</w:t>
            </w:r>
          </w:p>
        </w:tc>
      </w:tr>
      <w:tr>
        <w:trPr>
          <w:trHeight w:val="256" w:hRule="atLeast"/>
        </w:trPr>
        <w:tc>
          <w:tcPr>
            <w:tcW w:w="174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Adalimumab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TNFA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0.0003397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22.2</w:t>
            </w:r>
          </w:p>
        </w:tc>
      </w:tr>
      <w:tr>
        <w:trPr>
          <w:trHeight w:val="256" w:hRule="atLeast"/>
        </w:trPr>
        <w:tc>
          <w:tcPr>
            <w:tcW w:w="174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Atezolizumab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PD-L1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0.0002275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7.9</w:t>
            </w:r>
          </w:p>
        </w:tc>
      </w:tr>
      <w:tr>
        <w:trPr>
          <w:trHeight w:val="256" w:hRule="atLeast"/>
        </w:trPr>
        <w:tc>
          <w:tcPr>
            <w:tcW w:w="174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Avelumab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PD-L1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0.0011553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1.8</w:t>
            </w:r>
          </w:p>
        </w:tc>
      </w:tr>
      <w:tr>
        <w:trPr>
          <w:trHeight w:val="256" w:hRule="atLeast"/>
        </w:trPr>
        <w:tc>
          <w:tcPr>
            <w:tcW w:w="174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Bevacizumab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VEGFA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0.0003208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14.5</w:t>
            </w:r>
          </w:p>
        </w:tc>
      </w:tr>
      <w:tr>
        <w:trPr>
          <w:trHeight w:val="256" w:hRule="atLeast"/>
        </w:trPr>
        <w:tc>
          <w:tcPr>
            <w:tcW w:w="174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Golimumab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TNFA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0.0003822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5.9</w:t>
            </w:r>
          </w:p>
        </w:tc>
      </w:tr>
      <w:tr>
        <w:trPr>
          <w:trHeight w:val="256" w:hRule="atLeast"/>
        </w:trPr>
        <w:tc>
          <w:tcPr>
            <w:tcW w:w="174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Nivolumab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PD-1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0.0001861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5.4</w:t>
            </w:r>
          </w:p>
        </w:tc>
      </w:tr>
      <w:tr>
        <w:trPr>
          <w:trHeight w:val="256" w:hRule="atLeast"/>
        </w:trPr>
        <w:tc>
          <w:tcPr>
            <w:tcW w:w="174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Pembrolizumab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PD-1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0.0001889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18.6</w:t>
            </w:r>
          </w:p>
        </w:tc>
      </w:tr>
      <w:tr>
        <w:trPr>
          <w:trHeight w:val="256" w:hRule="atLeast"/>
        </w:trPr>
        <w:tc>
          <w:tcPr>
            <w:tcW w:w="174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Tocilizumab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left"/>
              <w:rPr/>
            </w:pPr>
            <w:r>
              <w:rPr/>
              <w:t>IL-6R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0.0008003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160"/>
              <w:jc w:val="right"/>
              <w:rPr/>
            </w:pPr>
            <w:r>
              <w:rPr/>
              <w:t>7.8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60"/>
        <w:jc w:val="left"/>
        <w:rPr>
          <w:b/>
          <w:bCs/>
        </w:rPr>
      </w:pPr>
      <w:r>
        <w:rPr>
          <w:b/>
          <w:bCs/>
        </w:rPr>
      </w:r>
    </w:p>
    <w:sectPr>
      <w:headerReference w:type="even" r:id="rId7"/>
      <w:headerReference w:type="default" r:id="rId8"/>
      <w:headerReference w:type="first" r:id="rId9"/>
      <w:footerReference w:type="even" r:id="rId10"/>
      <w:footerReference w:type="default" r:id="rId11"/>
      <w:footerReference w:type="first" r:id="rId12"/>
      <w:type w:val="nextPage"/>
      <w:pgSz w:orient="landscape" w:w="15840" w:h="122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view w:val="web"/>
  <w:zoom w:percent="100"/>
  <w:defaultTabStop w:val="720"/>
  <w:autoHyphenation w:val="true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e26181"/>
    <w:pPr>
      <w:widowControl/>
      <w:suppressAutoHyphens w:val="true"/>
      <w:bidi w:val="0"/>
      <w:spacing w:lineRule="auto" w:line="276" w:before="0" w:after="160"/>
      <w:jc w:val="both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7c2f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b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ad212e"/>
    <w:pPr>
      <w:spacing w:before="160" w:after="80"/>
      <w:outlineLvl w:val="1"/>
    </w:pPr>
    <w:rPr>
      <w:sz w:val="32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f2092"/>
    <w:pPr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64a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64a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64a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64a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64a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64a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b7c2f"/>
    <w:rPr>
      <w:rFonts w:ascii="Aptos Display" w:hAnsi="Aptos Display" w:eastAsia="" w:cs="" w:asciiTheme="majorHAnsi" w:cstheme="majorBidi" w:eastAsiaTheme="majorEastAsia" w:hAnsiTheme="majorHAnsi"/>
      <w:b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ad212e"/>
    <w:rPr>
      <w:rFonts w:ascii="Aptos Display" w:hAnsi="Aptos Display" w:eastAsia="" w:cs="" w:asciiTheme="majorHAnsi" w:cstheme="majorBidi" w:eastAsiaTheme="majorEastAsia" w:hAnsiTheme="majorHAnsi"/>
      <w:b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df2092"/>
    <w:rPr>
      <w:rFonts w:ascii="Aptos Display" w:hAnsi="Aptos Display" w:eastAsia="" w:cs="" w:asciiTheme="majorHAnsi" w:cstheme="majorBidi" w:eastAsiaTheme="majorEastAsia" w:hAnsiTheme="majorHAnsi"/>
      <w:b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764ac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764ac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764ac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764ac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764ac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764ac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764ac"/>
    <w:rPr>
      <w:rFonts w:ascii="Aptos Display" w:hAnsi="Aptos Display" w:eastAsia="" w:cs="" w:asciiTheme="majorHAnsi" w:cstheme="majorBidi" w:eastAsiaTheme="majorEastAsia" w:hAnsiTheme="majorHAnsi"/>
      <w:b/>
      <w:spacing w:val="-10"/>
      <w:kern w:val="2"/>
      <w:sz w:val="44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764a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a764a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a764ac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a764a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a764ac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basedOn w:val="DefaultParagraphFont"/>
    <w:uiPriority w:val="99"/>
    <w:unhideWhenUsed/>
    <w:rsid w:val="000c05b2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0c05b2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0c05b2"/>
    <w:rPr>
      <w:color w:themeColor="followedHyperlink" w:val="96607D"/>
      <w:u w:val="single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903b21"/>
    <w:rPr>
      <w:sz w:val="16"/>
      <w:szCs w:val="16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sid w:val="00903b21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903b21"/>
    <w:rPr>
      <w:b/>
      <w:bCs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4a5681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4a5681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ucida Sans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Caption11" w:customStyle="1">
    <w:name w:val="caption1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Caption111" w:customStyle="1">
    <w:name w:val="caption111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a764a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b/>
      <w:spacing w:val="-10"/>
      <w:sz w:val="4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64a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64a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a764ac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a764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Annotationtext">
    <w:name w:val="annotation text"/>
    <w:basedOn w:val="Normal"/>
    <w:link w:val="CommentTextChar"/>
    <w:uiPriority w:val="99"/>
    <w:unhideWhenUsed/>
    <w:qFormat/>
    <w:rsid w:val="00903b21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rsid w:val="00903b21"/>
    <w:pPr/>
    <w:rPr>
      <w:b/>
      <w:bCs/>
    </w:rPr>
  </w:style>
  <w:style w:type="paragraph" w:styleId="NormalWeb">
    <w:name w:val="Normal (Web)"/>
    <w:basedOn w:val="Normal"/>
    <w:uiPriority w:val="99"/>
    <w:semiHidden/>
    <w:unhideWhenUsed/>
    <w:qFormat/>
    <w:rsid w:val="006e0738"/>
    <w:pPr/>
    <w:rPr>
      <w:rFonts w:ascii="Times New Roman" w:hAnsi="Times New Roman" w:cs="Times New Roman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4a5681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4a5681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Grid1"/>
    <w:uiPriority w:val="39"/>
    <w:rsid w:val="00484e1c"/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blStylePr w:type="lastRow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484e1c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2926</TotalTime>
  <Application>LibreOffice/7.6.7.2$Windows_X86_64 LibreOffice_project/dd47e4b30cb7dab30588d6c79c651f218165e3c5</Application>
  <AppVersion>15.0000</AppVersion>
  <Pages>1</Pages>
  <Words>2381</Words>
  <Characters>13136</Characters>
  <CharactersWithSpaces>14740</CharactersWithSpaces>
  <Paragraphs>821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2026-01-06T17:11:00Z</dcterms:created>
  <dc:creator>Krina Mehta</dc:creator>
  <dc:description/>
  <dc:language>en-US</dc:language>
  <cp:lastModifiedBy/>
  <dcterms:modified xsi:type="dcterms:W3CDTF">2026-07-23T13:05:43Z</dcterms:modified>
  <cp:revision>199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