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0966" w14:textId="77777777" w:rsidR="00805009" w:rsidRDefault="00000000">
      <w:pPr>
        <w:pStyle w:val="Title"/>
      </w:pPr>
      <w:r>
        <w:t>Physiologically-based Pharmacokinetic Modeling as a New Approach Methodology for Monoclonal Antibodies</w:t>
      </w:r>
    </w:p>
    <w:p w14:paraId="442C76F4" w14:textId="77777777" w:rsidR="00805009" w:rsidRDefault="00000000">
      <w:r>
        <w:t>Akshat Shah</w:t>
      </w:r>
      <w:r>
        <w:rPr>
          <w:vertAlign w:val="superscript"/>
        </w:rPr>
        <w:t>1,2</w:t>
      </w:r>
      <w:r>
        <w:t>, Krina Mehta</w:t>
      </w:r>
      <w:r>
        <w:rPr>
          <w:vertAlign w:val="superscript"/>
        </w:rPr>
        <w:t>2,3</w:t>
      </w:r>
    </w:p>
    <w:p w14:paraId="78DC53DE" w14:textId="77777777" w:rsidR="00805009" w:rsidRDefault="00000000">
      <w:pPr>
        <w:rPr>
          <w:vertAlign w:val="superscript"/>
        </w:rPr>
      </w:pPr>
      <w:r>
        <w:rPr>
          <w:vertAlign w:val="superscript"/>
        </w:rPr>
        <w:t xml:space="preserve">1 </w:t>
      </w:r>
      <w:proofErr w:type="spellStart"/>
      <w:r>
        <w:t>Aivaura</w:t>
      </w:r>
      <w:proofErr w:type="spellEnd"/>
      <w:r>
        <w:t>, Bhavnagar, Gujarat, India</w:t>
      </w:r>
    </w:p>
    <w:p w14:paraId="378A54B3" w14:textId="77777777" w:rsidR="00805009" w:rsidRDefault="00000000">
      <w:r>
        <w:rPr>
          <w:vertAlign w:val="superscript"/>
        </w:rPr>
        <w:t xml:space="preserve">2 </w:t>
      </w:r>
      <w:proofErr w:type="spellStart"/>
      <w:r>
        <w:t>NAMLink</w:t>
      </w:r>
      <w:proofErr w:type="spellEnd"/>
      <w:r>
        <w:t>, Cypress, CA, USA</w:t>
      </w:r>
    </w:p>
    <w:p w14:paraId="50E023FA" w14:textId="77777777" w:rsidR="00805009" w:rsidRDefault="00000000">
      <w:r>
        <w:rPr>
          <w:vertAlign w:val="superscript"/>
        </w:rPr>
        <w:t xml:space="preserve">3 </w:t>
      </w:r>
      <w:r>
        <w:t>Enveda Therapeutics Inc., Boulder, CO, USA</w:t>
      </w:r>
    </w:p>
    <w:p w14:paraId="41D11C91" w14:textId="77777777" w:rsidR="00805009" w:rsidRDefault="00000000">
      <w:pPr>
        <w:pStyle w:val="Heading1"/>
      </w:pPr>
      <w:r>
        <w:t>Abstract</w:t>
      </w:r>
    </w:p>
    <w:p w14:paraId="0E41ABFD" w14:textId="77777777" w:rsidR="00805009" w:rsidRDefault="00000000">
      <w:pPr>
        <w:jc w:val="left"/>
        <w:rPr>
          <w:rFonts w:asciiTheme="majorHAnsi" w:eastAsiaTheme="majorEastAsia" w:hAnsiTheme="majorHAnsi" w:cstheme="majorBidi"/>
          <w:b/>
          <w:sz w:val="40"/>
          <w:szCs w:val="40"/>
        </w:rPr>
      </w:pPr>
      <w:r>
        <w:br w:type="page"/>
      </w:r>
    </w:p>
    <w:p w14:paraId="086FBD10" w14:textId="77777777" w:rsidR="00805009" w:rsidRDefault="00000000">
      <w:pPr>
        <w:pStyle w:val="Heading1"/>
        <w:spacing w:before="0"/>
      </w:pPr>
      <w:r>
        <w:lastRenderedPageBreak/>
        <w:t>Introduction</w:t>
      </w:r>
    </w:p>
    <w:p w14:paraId="41B4D279" w14:textId="77777777" w:rsidR="00805009" w:rsidRDefault="00000000">
      <w:r>
        <w:t>Adequate characterization of pharmacokinetics (PK) is crucial for a successful drug development program because it is the quantitative link between administered dose, systemic and tissue exposure, target engagement, pharmacodynamic (PD) response, and safety [PMIDs: 35865092]. For monoclonal antibodies (</w:t>
      </w:r>
      <w:proofErr w:type="spellStart"/>
      <w:r>
        <w:t>mAbs</w:t>
      </w:r>
      <w:proofErr w:type="spellEnd"/>
      <w:r>
        <w:t xml:space="preserve">)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w:t>
      </w:r>
      <w:proofErr w:type="spellStart"/>
      <w:r>
        <w:t>mAbs</w:t>
      </w:r>
      <w:proofErr w:type="spellEnd"/>
      <w:r>
        <w:t xml:space="preserve">,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[PMIDs: 17636457, 22143261, 29234936]. Overall, extensive work on PBPK models for </w:t>
      </w:r>
      <w:proofErr w:type="spellStart"/>
      <w:r>
        <w:t>mAbs</w:t>
      </w:r>
      <w:proofErr w:type="spellEnd"/>
      <w:r>
        <w:t xml:space="preserve"> has already established a robust scientific foundation, enabled reliable characterization of their PK, and supported their regulatory acceptance.</w:t>
      </w:r>
    </w:p>
    <w:p w14:paraId="50FB469F" w14:textId="77777777" w:rsidR="00805009" w:rsidRDefault="00000000">
      <w:r>
        <w:t xml:space="preserve">Momentum for new approach methodologies (NAMs) has increased exponentially since the FDA's April 2025 Roadmap to Reducing Animal Testing in Preclinical Safety Studies [ref: FDA roadmap and other NAM related guidance from 2025 and 2026; Mehta et al., 2025; NIH Common Fund, 2026]. Within this evolving regulatory infrastructure, current NAM-focused investment has focused on establishing context-of-use (COU) frameworks, advancing complex in vitro systems (organoids, </w:t>
      </w:r>
      <w:proofErr w:type="spellStart"/>
      <w:r>
        <w:t>microphysiological</w:t>
      </w:r>
      <w:proofErr w:type="spellEnd"/>
      <w:r>
        <w:t xml:space="preserve">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w:t>
      </w:r>
      <w:proofErr w:type="spellStart"/>
      <w:r>
        <w:t>microphysiological</w:t>
      </w:r>
      <w:proofErr w:type="spellEnd"/>
      <w:r>
        <w:t xml:space="preserve"> systems can be contextualized through predicted human concentration-time profiles, exposure margins, and time above biologically active or adverse effect thresholds [PMIDs: 38392990, 39574200, 40462462, 38201394].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w:t>
      </w:r>
      <w:r>
        <w:lastRenderedPageBreak/>
        <w:t xml:space="preserve">unclear [PMID: 41360337]. By contrast, mechanistic modeling approaches, such as, PBPK, quantitative systems pharmacology (QSP), and quantitative systems toxicology (QST), despite an established and steadily growing regulatory submission record under the parallel model-informed drug development (MIDD) paradigm and demonstrated translational utility [PMID: 40567279, PMID: 39423143], have received comparatively limited dedicated attention within the emerging NAM ecosystem, representing both a gap and an opportunity. Overall, the emerging NAM ecosystem presents a significant opportunity for greater integration of mechanistic modeling approaches. </w:t>
      </w:r>
    </w:p>
    <w:p w14:paraId="52D1135C" w14:textId="77777777" w:rsidR="00805009" w:rsidRDefault="00000000">
      <w:r>
        <w:t xml:space="preserve">Focusing on mAb PK characterization and the role of mechanistic PK modeling, although scientific framework for mAb PBPK is there,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[PMIDs: 31464379, 35491902]; however, these frameworks did not incorporate target-mAb interactions governing nonlinear, target-mediated clearance. Although some </w:t>
      </w:r>
      <w:proofErr w:type="spellStart"/>
      <w:r>
        <w:t>mAbs</w:t>
      </w:r>
      <w:proofErr w:type="spellEnd"/>
      <w:r>
        <w:t xml:space="preserve"> exhibit linear PK at dose range of interest, target-mediated drug disposition is inherent to therapeutic antibodies. For example, at high doses, even </w:t>
      </w:r>
      <w:proofErr w:type="spellStart"/>
      <w:r>
        <w:t>mAbs</w:t>
      </w:r>
      <w:proofErr w:type="spellEnd"/>
      <w:r>
        <w:t xml:space="preserve"> known to exhibit non-linear PK can appear linear upon target saturation, and at low doses, even </w:t>
      </w:r>
      <w:proofErr w:type="spellStart"/>
      <w:r>
        <w:t>mAbs</w:t>
      </w:r>
      <w:proofErr w:type="spellEnd"/>
      <w:r>
        <w:t xml:space="preserve"> known as linear may show nonlinearity. Overall, extending “a priori” PBPK frameworks to incorporate target-mediated disposition is therefore important for their broader application as NAMs with the potential to reduce preclinical monkey studies across the full range of mAb PK profiles.</w:t>
      </w:r>
    </w:p>
    <w:p w14:paraId="39E082D8" w14:textId="77777777" w:rsidR="00805009" w:rsidRDefault="00000000">
      <w:r>
        <w:t xml:space="preserve">The objectives of this manuscript were, (1) to perform a retrospective, proof-of-concept analysis of “a priori” PBPK modeling as a NAM to support human PK predictions for </w:t>
      </w:r>
      <w:proofErr w:type="spellStart"/>
      <w:r>
        <w:t>mAbs</w:t>
      </w:r>
      <w:proofErr w:type="spellEnd"/>
      <w:r>
        <w:t xml:space="preserve">, (2) to perform population simulations of preclinical monkey study designs to investigate sample size – power relationship to guide reduction in number of monkeys to use for PK studies, (3) to demonstrate a semi-automated workflow to run “a priori” PBPK simulations for </w:t>
      </w:r>
      <w:proofErr w:type="spellStart"/>
      <w:r>
        <w:t>mAbs</w:t>
      </w:r>
      <w:proofErr w:type="spellEnd"/>
      <w:r>
        <w:t xml:space="preserve"> other than the ones included in the current study.</w:t>
      </w:r>
    </w:p>
    <w:p w14:paraId="75086AD0" w14:textId="77777777" w:rsidR="00805009" w:rsidRDefault="00000000">
      <w:pPr>
        <w:pStyle w:val="Heading1"/>
      </w:pPr>
      <w:r>
        <w:lastRenderedPageBreak/>
        <w:t>Methods</w:t>
      </w:r>
    </w:p>
    <w:p w14:paraId="5EF69F4D" w14:textId="77777777" w:rsidR="00805009" w:rsidRDefault="00000000">
      <w:pPr>
        <w:pStyle w:val="Heading2"/>
      </w:pPr>
      <w:r>
        <w:t>Data</w:t>
      </w:r>
    </w:p>
    <w:p w14:paraId="364A42FC" w14:textId="77777777" w:rsidR="00805009" w:rsidRDefault="00000000">
      <w:r>
        <w:t xml:space="preserve">Pharmacokinetic profiles for eight monoclonal antibodies, spanning across 5 different targets, following intravenous dosing in monkeys and in humans were digitized from literature using </w:t>
      </w:r>
      <w:proofErr w:type="spellStart"/>
      <w:r>
        <w:t>webplotdigitizer</w:t>
      </w:r>
      <w:proofErr w:type="spellEnd"/>
      <w:r>
        <w:t xml:space="preserve"> tool [https://automeris.io/]. 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Supplementary material 2</w:t>
      </w:r>
      <w:r>
        <w:t xml:space="preserve">. </w:t>
      </w:r>
    </w:p>
    <w:p w14:paraId="59F89A9B" w14:textId="77777777" w:rsidR="00805009" w:rsidRDefault="00000000">
      <w:pPr>
        <w:rPr>
          <w:rFonts w:asciiTheme="majorHAnsi" w:eastAsiaTheme="majorEastAsia" w:hAnsiTheme="majorHAnsi" w:cstheme="majorBidi"/>
          <w:b/>
          <w:sz w:val="32"/>
          <w:szCs w:val="32"/>
        </w:rPr>
      </w:pPr>
      <w:r>
        <w:rPr>
          <w:rFonts w:asciiTheme="majorHAnsi" w:eastAsiaTheme="majorEastAsia" w:hAnsiTheme="majorHAnsi" w:cstheme="majorBidi"/>
          <w:b/>
          <w:sz w:val="32"/>
          <w:szCs w:val="32"/>
        </w:rPr>
        <w:t>“A priori” PBPK Approach</w:t>
      </w:r>
    </w:p>
    <w:p w14:paraId="31501D14" w14:textId="77777777" w:rsidR="00805009" w:rsidRDefault="00000000">
      <w:r>
        <w:t xml:space="preserve">A large molecule structural model was first incorporated in PK-Sim, including its binding to FcRn and to a generic target. The model was exported to Mobi and TMDD processes were added using a modular approach [PMIDs: ref to PK-Sim V12 modular approach paper/poster]. Next, we created target expressions profiles in monkeys and humans for each of the targets including relevant localization. PKML simulations files containing generic large molecule PK model and target expressions, one file per target and species (monkey or human), were exported [PMIDs: ref to expression database paper by OSPS]. IV single dose simulations were performed using R scripts using </w:t>
      </w:r>
      <w:proofErr w:type="spellStart"/>
      <w:r>
        <w:t>esqlabsr</w:t>
      </w:r>
      <w:proofErr w:type="spellEnd"/>
      <w:r>
        <w:t xml:space="preserve"> and </w:t>
      </w:r>
      <w:proofErr w:type="spellStart"/>
      <w:r>
        <w:t>ospsuite</w:t>
      </w:r>
      <w:proofErr w:type="spellEnd"/>
      <w:r>
        <w:t xml:space="preserve"> packages [PMIDs: ref]. Exposure metrics (</w:t>
      </w:r>
      <w:proofErr w:type="spellStart"/>
      <w:r>
        <w:t>Cmax</w:t>
      </w:r>
      <w:proofErr w:type="spellEnd"/>
      <w:r>
        <w:t>, AUC</w:t>
      </w:r>
      <w:r>
        <w:rPr>
          <w:sz w:val="22"/>
          <w:szCs w:val="22"/>
          <w:vertAlign w:val="subscript"/>
        </w:rPr>
        <w:t>0-28d</w:t>
      </w:r>
      <w:r>
        <w:t xml:space="preserve">) and fold errors were calculated for each molecule and dose level, where observed data were available. Full details of the workflow and all files and </w:t>
      </w:r>
      <w:proofErr w:type="gramStart"/>
      <w:r>
        <w:t>codes</w:t>
      </w:r>
      <w:proofErr w:type="gramEnd"/>
      <w:r>
        <w:t xml:space="preserve"> are provided in</w:t>
      </w:r>
      <w:r>
        <w:rPr>
          <w:bCs/>
        </w:rPr>
        <w:t xml:space="preserve"> Supplementary material 2</w:t>
      </w:r>
      <w:r>
        <w:t xml:space="preserve">. </w:t>
      </w:r>
    </w:p>
    <w:p w14:paraId="697849E7" w14:textId="77777777" w:rsidR="00805009" w:rsidRDefault="00000000">
      <w:pPr>
        <w:pStyle w:val="Heading2"/>
      </w:pPr>
      <w:r>
        <w:t>Top-Down TMDD Approach for Comparison</w:t>
      </w:r>
    </w:p>
    <w:p w14:paraId="46B80141" w14:textId="77777777" w:rsidR="00805009" w:rsidRDefault="00000000">
      <w:r>
        <w:t xml:space="preserve">In top-down TMDD modeling approach, quasi-steady-state (QSS) TMDD model was fitted to monkey PK profiles for each molecule using nlmxir2 package in R. Target concentration and binding affinity were fixed to literature-derived in vitro measured values. The same values that were used per molecule in “a priori” approach were used in this approach. Two parameters, clearance (CL) and internalization rate constant (kint) were estimated by model fitting. Other alternative models estimating target concentrations, target degradation rate (kdeg), </w:t>
      </w:r>
      <w:proofErr w:type="spellStart"/>
      <w:r>
        <w:t>etc</w:t>
      </w:r>
      <w:proofErr w:type="spellEnd"/>
      <w:r>
        <w:t xml:space="preserve"> were also evaluated. Given limited dose levels data available for fitting TMDD, fitting of minimal number of parameters was considered. Final model structure was selected based on objective function values (OFV). </w:t>
      </w:r>
    </w:p>
    <w:p w14:paraId="1C14E864" w14:textId="77777777" w:rsidR="00805009" w:rsidRDefault="00000000">
      <w:r>
        <w:t xml:space="preserve">Human PK predictions were generated by translating the final monkey TMDD model to humans. Linear clearance was scaled using standard allometric scaling with an exponent of 0.85, while distribution volumes were scaled proportionally to body weight. The </w:t>
      </w:r>
      <w:r>
        <w:lastRenderedPageBreak/>
        <w:t xml:space="preserve">internalization rate constant (kint) and binding affinity (KD) were assumed to be conserved across species and fixed to the monkey estimates. Human target concentrations were obtained from literature sources and remained same across both “a priori” and top-down approach. Simulated monkey and human exposures, </w:t>
      </w:r>
      <w:proofErr w:type="spellStart"/>
      <w:r>
        <w:t>Cmax</w:t>
      </w:r>
      <w:proofErr w:type="spellEnd"/>
      <w:r>
        <w:t>, AUC, were compared against the observed and fold-errors were calculated.</w:t>
      </w:r>
    </w:p>
    <w:p w14:paraId="69240CA2" w14:textId="77777777" w:rsidR="00805009" w:rsidRDefault="00000000">
      <w:pPr>
        <w:pStyle w:val="Heading2"/>
      </w:pPr>
      <w:r>
        <w:t>Preclinical PK Study Simulations to Support Sample Size and Dosing Groups Selections</w:t>
      </w:r>
    </w:p>
    <w:p w14:paraId="52CF6075" w14:textId="77777777" w:rsidR="00805009" w:rsidRDefault="00000000">
      <w:pPr>
        <w:pStyle w:val="Heading1"/>
      </w:pPr>
      <w:r>
        <w:t>Results</w:t>
      </w:r>
    </w:p>
    <w:p w14:paraId="78B44EC7" w14:textId="77777777" w:rsidR="00805009" w:rsidRDefault="00000000">
      <w:pPr>
        <w:pStyle w:val="Heading2"/>
      </w:pPr>
      <w:r>
        <w:t xml:space="preserve">Comparing “a priori” PBPK with Top-Down TMDD Approach for Human PK Predictions </w:t>
      </w:r>
    </w:p>
    <w:p w14:paraId="383F262C" w14:textId="77777777" w:rsidR="00805009" w:rsidRDefault="00000000">
      <w:pPr>
        <w:rPr>
          <w:b/>
        </w:rPr>
      </w:pPr>
      <w:r>
        <w:t xml:space="preserve">Both “a priori” PBPK and top-down TMDD approaches were first compared in monkeys to evaluate how well each workflow reproduced the PK data </w:t>
      </w:r>
      <w:r>
        <w:rPr>
          <w:b/>
          <w:bCs/>
        </w:rPr>
        <w:t>(Table 1)</w:t>
      </w:r>
      <w:r>
        <w:t xml:space="preserve">. Across the 8 drugs and 14 dose levels evaluated, “a priori” PBPK predictions captured </w:t>
      </w:r>
      <w:proofErr w:type="spellStart"/>
      <w:r>
        <w:t>Cmax</w:t>
      </w:r>
      <w:proofErr w:type="spellEnd"/>
      <w:r>
        <w:t xml:space="preserve"> well, with 13 of 14 </w:t>
      </w:r>
      <w:proofErr w:type="spellStart"/>
      <w:r>
        <w:t>Cmax</w:t>
      </w:r>
      <w:proofErr w:type="spellEnd"/>
      <w:r>
        <w:t xml:space="preserve"> values within two-fold of observed data (accuracy 0.92). AUC predictions were more variable, with 8 of 14 values within two-fold (accuracy 0.58). As expected, in top-down TMDD approach, in which monkey PK data were fitted by estimating CL and kint, all AUC values were within two</w:t>
      </w:r>
      <w:r>
        <w:rPr>
          <w:b/>
        </w:rPr>
        <w:t>-</w:t>
      </w:r>
      <w:r>
        <w:t xml:space="preserve">fold, and 13 of 14 </w:t>
      </w:r>
      <w:proofErr w:type="spellStart"/>
      <w:r>
        <w:t>Cmax</w:t>
      </w:r>
      <w:proofErr w:type="spellEnd"/>
      <w:r>
        <w:t xml:space="preserve"> values were within two-fold. Human PK predictions were then compared to priori PBPK workflow performance compared to translation from monkeys </w:t>
      </w:r>
      <w:r>
        <w:rPr>
          <w:b/>
          <w:bCs/>
        </w:rPr>
        <w:t>(Table 2).</w:t>
      </w:r>
      <w:r>
        <w:t xml:space="preserve"> Overall, both approaches provided comparable human prediction accuracy. </w:t>
      </w:r>
      <w:r>
        <w:rPr>
          <w:bCs/>
        </w:rPr>
        <w:t>F</w:t>
      </w:r>
      <w:r>
        <w:t xml:space="preserve">or AUC, both approaches showed similar overall performance, with 23 of 28 human dose levels within two-fold (accuracy 0.82). For </w:t>
      </w:r>
      <w:proofErr w:type="spellStart"/>
      <w:r>
        <w:t>Cmax</w:t>
      </w:r>
      <w:proofErr w:type="spellEnd"/>
      <w:r>
        <w:t>, 27 of 28 human dose levels were within two-fold for both “a priori” PBPK and top-down TMDD predictions (accuracy 0.96). Taken together, these results indicate that “a priori” PBPK provided human PK predictions that were broadly comparable to those translated from monkey-fitted top-down TMDD approach. Although top-down fitting improved recovery of monkey PK data, it did not provide a consistent advantage for human prediction across molecules.  Given that empirical fitting to monkey PK did not consistently improve human predictions compared to “a priori” approach, these findings support that the “a priori” PBPK framework captures the major mechanistic determinants of human mAb disposition sufficiently well.</w:t>
      </w:r>
    </w:p>
    <w:p w14:paraId="69A845D1" w14:textId="77777777" w:rsidR="00805009" w:rsidRDefault="00000000">
      <w:pPr>
        <w:pStyle w:val="Heading2"/>
      </w:pPr>
      <w:r>
        <w:t>Preclinical PK Study Simulations to Support Sample Size and Dosing Groups Selection</w:t>
      </w:r>
    </w:p>
    <w:p w14:paraId="778B48FA" w14:textId="77777777" w:rsidR="00805009" w:rsidRDefault="00805009"/>
    <w:p w14:paraId="357B87CC" w14:textId="77777777" w:rsidR="00805009" w:rsidRDefault="00000000">
      <w:r>
        <w:rPr>
          <w:highlight w:val="yellow"/>
        </w:rPr>
        <w:lastRenderedPageBreak/>
        <w:t>Using the prespecified illustrative study-design comparison, the PBPK-informed workflow was estimated to substantially reduce the animal use required for preclinical PK characterization. A conventional design consisting of 5 animals per dose group, 3 dose groups, and 2 species would require 30 animals, whereas a PBPK-optimized design using 3 animals per dose group, 2 dose groups, and 1 species would require 6 animals. This corresponds to an 80% reduction in animal use for the simulated PK study design. When benchmarked against the broader conventional mAb PK characterization strategy described above, which typically includes an exploratory single-dose PK study and a definitive repeat-dose PK study requiring approximately 24–42 monkeys per program, a reduced 6-animal confirmatory design would correspond to avoidance of approximately 18–36 monkeys, or a 75–86% reduction in monkey use. In addition to reducing animal use, the PBPK-informed strategy shifts key dose-selection and exposure-translation decisions earlier in development, allowing NHP studies, when still needed, to be designed as targeted confirmatory studies rather than empirical screening studies. Direct cost and timeline savings are therefore expected to scale with the reduction in animal numbers, dose groups, species, and repeat experimental iterations, although sponsor- and CRO-specific costs should be used for program-level budget estimates.</w:t>
      </w:r>
    </w:p>
    <w:p w14:paraId="5F156304" w14:textId="77777777" w:rsidR="00805009" w:rsidRDefault="00000000">
      <w:pPr>
        <w:pStyle w:val="Heading1"/>
      </w:pPr>
      <w:r>
        <w:t>Discussion</w:t>
      </w:r>
    </w:p>
    <w:p w14:paraId="52847C59" w14:textId="77777777" w:rsidR="00805009" w:rsidRDefault="00000000">
      <w:r>
        <w:t>In this retrospective, proof-of-concept analysis, the “a priori” PBPK approach achieved similar human predictive performance as compared to top-down monkey to human translation approach. The results support the feasibility of using mechanistic PBPK approach, informed by in vitro parameters as an early translational tool for human mAb PK prediction and as a basis for reducing reliance on conventional monkey preclinical PK studies.</w:t>
      </w:r>
    </w:p>
    <w:p w14:paraId="3FA351C0" w14:textId="77777777" w:rsidR="00805009" w:rsidRDefault="00000000">
      <w:proofErr w:type="gramStart"/>
      <w:r>
        <w:rPr>
          <w:shd w:val="clear" w:color="auto" w:fill="FFFF00"/>
        </w:rPr>
        <w:t>Strengths  -</w:t>
      </w:r>
      <w:proofErr w:type="gramEnd"/>
      <w:r>
        <w:rPr>
          <w:shd w:val="clear" w:color="auto" w:fill="FFFF00"/>
        </w:rPr>
        <w:t xml:space="preserve"> proof of concept, first analysis of PBPK as </w:t>
      </w:r>
      <w:proofErr w:type="gramStart"/>
      <w:r>
        <w:rPr>
          <w:shd w:val="clear" w:color="auto" w:fill="FFFF00"/>
        </w:rPr>
        <w:t>NAM  -</w:t>
      </w:r>
      <w:proofErr w:type="gramEnd"/>
      <w:r>
        <w:rPr>
          <w:shd w:val="clear" w:color="auto" w:fill="FFFF00"/>
        </w:rPr>
        <w:t xml:space="preserve"> combined with AI and robust in vitro data package. Our study proof-of-concept and retrospective due to limitation of readily available datasets available in literature; focus on value added; first evals of PBPK as </w:t>
      </w:r>
      <w:r>
        <w:rPr>
          <w:highlight w:val="yellow"/>
        </w:rPr>
        <w:t>NAMs larger scale retrospective analysis and prospective pilot program warranted for appropriate validation</w:t>
      </w:r>
    </w:p>
    <w:p w14:paraId="77841068" w14:textId="77777777" w:rsidR="00805009" w:rsidRDefault="00000000">
      <w:r>
        <w:rPr>
          <w:highlight w:val="yellow"/>
        </w:rPr>
        <w:t xml:space="preserve">Discussion about PK-Sim and </w:t>
      </w:r>
      <w:proofErr w:type="spellStart"/>
      <w:r>
        <w:rPr>
          <w:highlight w:val="yellow"/>
        </w:rPr>
        <w:t>esqlabsr</w:t>
      </w:r>
      <w:proofErr w:type="spellEnd"/>
      <w:r>
        <w:rPr>
          <w:highlight w:val="yellow"/>
        </w:rPr>
        <w:t xml:space="preserve"> as tools: Benefits open source, expression database available for multiple species, R packages such as </w:t>
      </w:r>
      <w:proofErr w:type="spellStart"/>
      <w:r>
        <w:rPr>
          <w:highlight w:val="yellow"/>
        </w:rPr>
        <w:t>esqlabsr</w:t>
      </w:r>
      <w:proofErr w:type="spellEnd"/>
      <w:r>
        <w:rPr>
          <w:highlight w:val="yellow"/>
        </w:rPr>
        <w:t xml:space="preserve"> and </w:t>
      </w:r>
      <w:proofErr w:type="spellStart"/>
      <w:r>
        <w:rPr>
          <w:highlight w:val="yellow"/>
        </w:rPr>
        <w:t>ospsuite</w:t>
      </w:r>
      <w:proofErr w:type="spellEnd"/>
      <w:r>
        <w:rPr>
          <w:highlight w:val="yellow"/>
        </w:rPr>
        <w:t xml:space="preserve"> allow automation of workflows</w:t>
      </w:r>
    </w:p>
    <w:p w14:paraId="207667EF" w14:textId="77777777" w:rsidR="00805009" w:rsidRDefault="00000000">
      <w:r>
        <w:t>The “a priori” PBPK modeling as NAM approach is feasible when robust in vitro experimental data for mechanistic parameters are available. In our retrospective analysis, in vitro parameters were derived from literature search (Supplementary Material 2). Drug–</w:t>
      </w:r>
      <w:r>
        <w:lastRenderedPageBreak/>
        <w:t>target binding affinity was available from experimental binding assays for all included molecules, either from equilibrium binding or SPR/</w:t>
      </w:r>
      <w:proofErr w:type="spellStart"/>
      <w:r>
        <w:t>Biacore</w:t>
      </w:r>
      <w:proofErr w:type="spellEnd"/>
      <w:r>
        <w:t xml:space="preserve"> assays. FcRn binding affinity was available from SPR/</w:t>
      </w:r>
      <w:proofErr w:type="spellStart"/>
      <w:r>
        <w:t>Biacore</w:t>
      </w:r>
      <w:proofErr w:type="spellEnd"/>
      <w:r>
        <w:t xml:space="preserve"> for only atezolizumab and pembrolizumab while a common model-based FcRn KD estimate from a published meta-analysis was used for several other </w:t>
      </w:r>
      <w:proofErr w:type="spellStart"/>
      <w:r>
        <w:t>mAbs</w:t>
      </w:r>
      <w:proofErr w:type="spellEnd"/>
      <w:r>
        <w:t xml:space="preserve"> where molecule-specific FcRn binding data were not available [ref.]. Drug-target complex internalization rate from flow-cytometry–based internalization assay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w:t>
      </w:r>
      <w:proofErr w:type="spellStart"/>
      <w:r>
        <w:t>mAbs</w:t>
      </w:r>
      <w:proofErr w:type="spellEnd"/>
      <w:r>
        <w:t xml:space="preserve"> would further strengthen prospective PBPK-based NAM workflows. </w:t>
      </w:r>
    </w:p>
    <w:p w14:paraId="797E02EE" w14:textId="77777777" w:rsidR="00805009" w:rsidRDefault="00000000">
      <w:r>
        <w:t xml:space="preserve">Our analysis focused on IV single-dose PK evaluations for </w:t>
      </w:r>
      <w:proofErr w:type="spellStart"/>
      <w:r>
        <w:t>mAbs</w:t>
      </w:r>
      <w:proofErr w:type="spellEnd"/>
      <w:r>
        <w:t xml:space="preserve">, which represent an appropriate starting point for “a priori” PBPK workflow evaluation because their disposition is comparatively well understood relative to many newer therapeutic modalities. Although TMDD, FcRn binding, and tissue-specific target expression can introduce complexity, the major processes governing systemic mAb PK are mechanistically defined and can often be parameterized using in vitro measurements, prior knowledge from other </w:t>
      </w:r>
      <w:proofErr w:type="spellStart"/>
      <w:r>
        <w:t>mAbs</w:t>
      </w:r>
      <w:proofErr w:type="spellEnd"/>
      <w:r>
        <w:t xml:space="preserve">, “a priori” PBPK modeling, and reduced-design single-dose in vivo data. Unlike </w:t>
      </w:r>
      <w:proofErr w:type="gramStart"/>
      <w:r>
        <w:t>oral small</w:t>
      </w:r>
      <w:proofErr w:type="gramEnd"/>
      <w:r>
        <w:t xml:space="preserve"> molecules, where bioavailability, absorption, first-pass metabolism, and metabolic induction can make single-dose behavior less predictive of steady-state exposure, IV mAb PK is generally more amenable to extrapolation from single-dose characterization. Once dose-dependent clearance, relevant mechanistic parameters, and single-dose exposures are adequately characterized, steady-state exposures and accumulation ratios under repeat-dose regimens can be predicted by simulation without requiring a separate multi-dose PK study. This is supported by preclinical and clinical evidence showing that mAb PK parameters estimated from single ascending IV doses in cynomolgus monkeys can accurately predict multi-dose exposure profiles, with clearance at target-saturating concentrations translating reliably to humans [PMIDs: 20962582, 21241072]. Within a PBPK framework incorporating the key mechanistic determinants of mAb PK, a well-characterized single-dose dataset can therefore provide a mechanistically sufficient basis for projecting repeat-dose PK in monkeys. This strategy is also complementary to other animal-use reduction approaches in preclinical mAb development; for example, PK/TK sampling embedded within GLP repeat-dose toxicology studies can provide repeat-dose exposure characterization without a dedicated standalone PK study [PMID: 23524271], further compressing the preclinical package while preserving scientific rigor. Once IV PK is adequately characterized, the same </w:t>
      </w:r>
      <w:r>
        <w:lastRenderedPageBreak/>
        <w:t xml:space="preserve">framework can be extended to subcutaneous mAb predictions by incorporating absorption-related processes such as lymphatic uptake, pre-systemic catabolism, bioavailability, and formulation- or injection-site–dependent absorption kinetics. Lessons learned from </w:t>
      </w:r>
      <w:proofErr w:type="spellStart"/>
      <w:r>
        <w:t>mAbs</w:t>
      </w:r>
      <w:proofErr w:type="spellEnd"/>
      <w:r>
        <w:t xml:space="preserve"> can subsequently inform analogous PBPK, or hybrid PBPK-QSP, workflows for other modalities, including bispecific antibodies, antibody-drug conjugates, fusion proteins, and gene or cell therapy platforms, where PK, biodistribution, target engagement, and safety are tightly linked. Together, these considerations support IV single-dose mAb PBPK evaluation as a scientifically justified and animal-sparing foundation for predicting repeat-dose exposure and informing broader “a priori” NAM-based workflows across therapeutic modalities.</w:t>
      </w:r>
    </w:p>
    <w:p w14:paraId="72434CC2" w14:textId="77777777" w:rsidR="00805009" w:rsidRDefault="00000000">
      <w:pPr>
        <w:pStyle w:val="Heading1"/>
      </w:pPr>
      <w:r>
        <w:t>Conclusions</w:t>
      </w:r>
    </w:p>
    <w:p w14:paraId="1AE4A8B0" w14:textId="77777777" w:rsidR="00805009" w:rsidRDefault="00000000">
      <w:pPr>
        <w:pStyle w:val="Heading1"/>
      </w:pPr>
      <w:r>
        <w:t>References</w:t>
      </w:r>
    </w:p>
    <w:p w14:paraId="5128254E" w14:textId="77777777" w:rsidR="00805009" w:rsidRDefault="00000000">
      <w:pPr>
        <w:jc w:val="left"/>
        <w:rPr>
          <w:rFonts w:asciiTheme="majorHAnsi" w:eastAsiaTheme="majorEastAsia" w:hAnsiTheme="majorHAnsi" w:cstheme="majorBidi"/>
          <w:b/>
          <w:sz w:val="40"/>
          <w:szCs w:val="40"/>
        </w:rPr>
      </w:pPr>
      <w:r>
        <w:br w:type="page"/>
      </w:r>
    </w:p>
    <w:p w14:paraId="0C2BF21D" w14:textId="77777777" w:rsidR="00805009" w:rsidRDefault="00000000">
      <w:pPr>
        <w:pStyle w:val="Heading1"/>
        <w:spacing w:before="0"/>
      </w:pPr>
      <w:r>
        <w:lastRenderedPageBreak/>
        <w:t>Figures</w:t>
      </w:r>
    </w:p>
    <w:p w14:paraId="0CF3EEAC" w14:textId="1494E26E" w:rsidR="00805009" w:rsidRDefault="00000000">
      <w:r>
        <w:rPr>
          <w:b/>
          <w:bCs/>
        </w:rPr>
        <w:t xml:space="preserve">Figure </w:t>
      </w:r>
      <w:r w:rsidR="00F044C2">
        <w:rPr>
          <w:b/>
          <w:bCs/>
        </w:rPr>
        <w:t>1</w:t>
      </w:r>
      <w:r>
        <w:rPr>
          <w:b/>
          <w:bCs/>
        </w:rPr>
        <w:t xml:space="preserve">. Proposed “a priori” PBPK workflow for monoclonal antibody PK translation as a NAM. </w:t>
      </w:r>
      <w:r>
        <w:t xml:space="preserve">The conventional workflow relies on </w:t>
      </w:r>
      <w:proofErr w:type="gramStart"/>
      <w:r>
        <w:t>exploratory</w:t>
      </w:r>
      <w:proofErr w:type="gramEnd"/>
      <w:r>
        <w:t xml:space="preserve"> and definitive monkey PK/TK studies before model-based first-in-human exposure prediction. In the proposed workflow, molecule- and target-specific in vitro data are integrated into “a priori” PBPK models before in vivo PK testing. Then, data from reduced PK studies along with PBPK models can be used to optimize any additional monkey PK studies (only if needed), support human PK/exposure prediction while reducing reliance on empirical preclinical species to human translation. FIH = first-in-human; PBPK = physiologically based pharmacokinetics. Figure generated with GPT-5.5. </w:t>
      </w:r>
    </w:p>
    <w:p w14:paraId="0517EF71" w14:textId="77777777" w:rsidR="00805009" w:rsidRDefault="00000000">
      <w:pPr>
        <w:rPr>
          <w:rFonts w:asciiTheme="majorHAnsi" w:eastAsiaTheme="majorEastAsia" w:hAnsiTheme="majorHAnsi" w:cstheme="majorBidi"/>
          <w:b/>
          <w:sz w:val="40"/>
          <w:szCs w:val="40"/>
        </w:rPr>
      </w:pPr>
      <w:r>
        <w:rPr>
          <w:noProof/>
        </w:rPr>
        <w:drawing>
          <wp:inline distT="0" distB="0" distL="0" distR="0" wp14:anchorId="79BAE179" wp14:editId="1168CC0E">
            <wp:extent cx="665607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6656070" cy="3333750"/>
                    </a:xfrm>
                    <a:prstGeom prst="rect">
                      <a:avLst/>
                    </a:prstGeom>
                  </pic:spPr>
                </pic:pic>
              </a:graphicData>
            </a:graphic>
          </wp:inline>
        </w:drawing>
      </w:r>
    </w:p>
    <w:p w14:paraId="024962F3" w14:textId="77777777" w:rsidR="00805009" w:rsidRDefault="00805009">
      <w:pPr>
        <w:rPr>
          <w:rFonts w:asciiTheme="majorHAnsi" w:eastAsiaTheme="majorEastAsia" w:hAnsiTheme="majorHAnsi" w:cstheme="majorBidi"/>
          <w:b/>
          <w:sz w:val="40"/>
          <w:szCs w:val="40"/>
        </w:rPr>
      </w:pPr>
    </w:p>
    <w:p w14:paraId="5465ADC9" w14:textId="77777777" w:rsidR="00805009" w:rsidRDefault="00000000">
      <w:pPr>
        <w:rPr>
          <w:rFonts w:asciiTheme="majorHAnsi" w:eastAsiaTheme="majorEastAsia" w:hAnsiTheme="majorHAnsi" w:cstheme="majorBidi"/>
          <w:b/>
          <w:sz w:val="40"/>
          <w:szCs w:val="40"/>
        </w:rPr>
      </w:pPr>
      <w:r>
        <w:br w:type="page"/>
      </w:r>
    </w:p>
    <w:p w14:paraId="5BC8E9FD" w14:textId="068A0CBE" w:rsidR="00805009" w:rsidRPr="00F044C2" w:rsidRDefault="00000000" w:rsidP="00F044C2">
      <w:pPr>
        <w:rPr>
          <w:rFonts w:asciiTheme="majorHAnsi" w:eastAsiaTheme="majorEastAsia" w:hAnsiTheme="majorHAnsi" w:cstheme="majorBidi"/>
          <w:sz w:val="40"/>
          <w:szCs w:val="40"/>
        </w:rPr>
      </w:pPr>
      <w:r w:rsidRPr="00F044C2">
        <w:rPr>
          <w:b/>
          <w:bCs/>
        </w:rPr>
        <w:lastRenderedPageBreak/>
        <w:t xml:space="preserve">Figure </w:t>
      </w:r>
      <w:r w:rsidR="00F044C2">
        <w:rPr>
          <w:b/>
          <w:bCs/>
        </w:rPr>
        <w:t>2. Geometric fold-errors for reduced sample size PK studies from reference model and design</w:t>
      </w:r>
      <w:r w:rsidRPr="00F044C2">
        <w:rPr>
          <w:b/>
          <w:bCs/>
        </w:rPr>
        <w:t>.</w:t>
      </w:r>
      <w:r w:rsidR="00F044C2">
        <w:rPr>
          <w:b/>
          <w:bCs/>
        </w:rPr>
        <w:t xml:space="preserve"> </w:t>
      </w:r>
      <w:r w:rsidR="00F044C2" w:rsidRPr="00F044C2">
        <w:t>Top-down model with 30%CV in all parameters was used for simulations of full population (n=100) and reduced sample size study designs with fixed sampling timepoints.</w:t>
      </w:r>
    </w:p>
    <w:p w14:paraId="409867B3" w14:textId="5C1D4148" w:rsidR="00805009" w:rsidRPr="00FE2EFA" w:rsidRDefault="00F044C2" w:rsidP="00F044C2">
      <w:pPr>
        <w:rPr>
          <w:rStyle w:val="Heading1Char"/>
        </w:rPr>
      </w:pPr>
      <w:r>
        <w:rPr>
          <w:noProof/>
        </w:rPr>
        <w:drawing>
          <wp:inline distT="0" distB="0" distL="0" distR="0" wp14:anchorId="695E48C9" wp14:editId="439D1DB0">
            <wp:extent cx="6007100" cy="3318024"/>
            <wp:effectExtent l="0" t="0" r="0" b="0"/>
            <wp:docPr id="129211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12755" name="Picture 12921127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18899" cy="3324541"/>
                    </a:xfrm>
                    <a:prstGeom prst="rect">
                      <a:avLst/>
                    </a:prstGeom>
                  </pic:spPr>
                </pic:pic>
              </a:graphicData>
            </a:graphic>
          </wp:inline>
        </w:drawing>
      </w:r>
      <w:r>
        <w:br w:type="page"/>
      </w:r>
      <w:r w:rsidRPr="00FE2EFA">
        <w:rPr>
          <w:rStyle w:val="Heading1Char"/>
        </w:rPr>
        <w:lastRenderedPageBreak/>
        <w:t>Tables</w:t>
      </w:r>
    </w:p>
    <w:p w14:paraId="31CF129F" w14:textId="77777777" w:rsidR="00805009" w:rsidRDefault="00000000">
      <w:r>
        <w:rPr>
          <w:b/>
        </w:rPr>
        <w:t xml:space="preserve">Table 1. Monkey </w:t>
      </w:r>
      <w:proofErr w:type="spellStart"/>
      <w:r>
        <w:rPr>
          <w:b/>
        </w:rPr>
        <w:t>Cmax</w:t>
      </w:r>
      <w:proofErr w:type="spellEnd"/>
      <w:r>
        <w:rPr>
          <w:b/>
        </w:rPr>
        <w:t xml:space="preserve"> and AUC fold-error by modeling approach. </w:t>
      </w:r>
      <w:r>
        <w:rPr>
          <w:bCs/>
        </w:rPr>
        <w:t>Fold-</w:t>
      </w:r>
      <w:r>
        <w:t>error is reported as predicted/observed. Green indicates within twofold (0.50–2.00); red indicates outside twofold.</w:t>
      </w:r>
    </w:p>
    <w:tbl>
      <w:tblPr>
        <w:tblW w:w="10255" w:type="dxa"/>
        <w:tblInd w:w="85" w:type="dxa"/>
        <w:tblLayout w:type="fixed"/>
        <w:tblCellMar>
          <w:top w:w="60" w:type="dxa"/>
          <w:left w:w="80" w:type="dxa"/>
          <w:bottom w:w="60" w:type="dxa"/>
          <w:right w:w="80" w:type="dxa"/>
        </w:tblCellMar>
        <w:tblLook w:val="04A0" w:firstRow="1" w:lastRow="0" w:firstColumn="1" w:lastColumn="0" w:noHBand="0" w:noVBand="1"/>
      </w:tblPr>
      <w:tblGrid>
        <w:gridCol w:w="1976"/>
        <w:gridCol w:w="1170"/>
        <w:gridCol w:w="1709"/>
        <w:gridCol w:w="1711"/>
        <w:gridCol w:w="1893"/>
        <w:gridCol w:w="1796"/>
      </w:tblGrid>
      <w:tr w:rsidR="00805009" w14:paraId="48D033F8" w14:textId="77777777">
        <w:trPr>
          <w:trHeight w:val="144"/>
          <w:tblHeader/>
        </w:trPr>
        <w:tc>
          <w:tcPr>
            <w:tcW w:w="1975" w:type="dxa"/>
            <w:vMerge w:val="restart"/>
            <w:tcBorders>
              <w:top w:val="single" w:sz="4" w:space="0" w:color="000000"/>
              <w:left w:val="single" w:sz="4" w:space="0" w:color="000000"/>
              <w:bottom w:val="single" w:sz="4" w:space="0" w:color="000000"/>
              <w:right w:val="single" w:sz="4" w:space="0" w:color="000000"/>
            </w:tcBorders>
            <w:vAlign w:val="center"/>
          </w:tcPr>
          <w:p w14:paraId="700A3A5F" w14:textId="77777777" w:rsidR="00805009" w:rsidRDefault="00000000">
            <w:pPr>
              <w:jc w:val="center"/>
              <w:rPr>
                <w:b/>
                <w:bCs/>
              </w:rPr>
            </w:pPr>
            <w:r>
              <w:rPr>
                <w:b/>
                <w:bCs/>
              </w:rPr>
              <w:t>Molecule</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536E3BD5" w14:textId="77777777" w:rsidR="00805009" w:rsidRDefault="00000000">
            <w:pPr>
              <w:jc w:val="center"/>
              <w:rPr>
                <w:b/>
                <w:bCs/>
              </w:rPr>
            </w:pPr>
            <w:r>
              <w:rPr>
                <w:b/>
                <w:bCs/>
              </w:rPr>
              <w:t>Dose (mg/kg)</w:t>
            </w:r>
          </w:p>
        </w:tc>
        <w:tc>
          <w:tcPr>
            <w:tcW w:w="3420" w:type="dxa"/>
            <w:gridSpan w:val="2"/>
            <w:tcBorders>
              <w:top w:val="single" w:sz="4" w:space="0" w:color="000000"/>
              <w:left w:val="single" w:sz="4" w:space="0" w:color="000000"/>
              <w:bottom w:val="single" w:sz="4" w:space="0" w:color="000000"/>
              <w:right w:val="single" w:sz="4" w:space="0" w:color="000000"/>
            </w:tcBorders>
            <w:vAlign w:val="center"/>
          </w:tcPr>
          <w:p w14:paraId="46FA34D1" w14:textId="77777777" w:rsidR="00805009" w:rsidRDefault="00000000">
            <w:pPr>
              <w:jc w:val="center"/>
              <w:rPr>
                <w:b/>
                <w:bCs/>
              </w:rPr>
            </w:pPr>
            <w:proofErr w:type="spellStart"/>
            <w:r>
              <w:rPr>
                <w:b/>
                <w:bCs/>
              </w:rPr>
              <w:t>Cmax</w:t>
            </w:r>
            <w:proofErr w:type="spellEnd"/>
            <w:r>
              <w:rPr>
                <w:b/>
                <w:bCs/>
              </w:rPr>
              <w:t xml:space="preserve"> fold-error</w:t>
            </w:r>
          </w:p>
        </w:tc>
        <w:tc>
          <w:tcPr>
            <w:tcW w:w="3689" w:type="dxa"/>
            <w:gridSpan w:val="2"/>
            <w:tcBorders>
              <w:top w:val="single" w:sz="4" w:space="0" w:color="000000"/>
              <w:left w:val="single" w:sz="4" w:space="0" w:color="000000"/>
              <w:bottom w:val="single" w:sz="4" w:space="0" w:color="000000"/>
              <w:right w:val="single" w:sz="4" w:space="0" w:color="000000"/>
            </w:tcBorders>
            <w:vAlign w:val="center"/>
          </w:tcPr>
          <w:p w14:paraId="07C918FC" w14:textId="77777777" w:rsidR="00805009" w:rsidRDefault="00000000">
            <w:pPr>
              <w:jc w:val="center"/>
              <w:rPr>
                <w:b/>
                <w:bCs/>
              </w:rPr>
            </w:pPr>
            <w:r>
              <w:rPr>
                <w:b/>
                <w:bCs/>
              </w:rPr>
              <w:t>AUC fold-error</w:t>
            </w:r>
          </w:p>
        </w:tc>
      </w:tr>
      <w:tr w:rsidR="00805009" w14:paraId="6B352F0F" w14:textId="77777777">
        <w:trPr>
          <w:trHeight w:val="461"/>
          <w:tblHeader/>
        </w:trPr>
        <w:tc>
          <w:tcPr>
            <w:tcW w:w="1975" w:type="dxa"/>
            <w:vMerge/>
            <w:tcBorders>
              <w:top w:val="single" w:sz="4" w:space="0" w:color="000000"/>
              <w:left w:val="single" w:sz="4" w:space="0" w:color="000000"/>
              <w:bottom w:val="single" w:sz="4" w:space="0" w:color="000000"/>
              <w:right w:val="single" w:sz="4" w:space="0" w:color="000000"/>
            </w:tcBorders>
            <w:vAlign w:val="center"/>
          </w:tcPr>
          <w:p w14:paraId="76668250" w14:textId="77777777" w:rsidR="00805009" w:rsidRDefault="00805009">
            <w:pPr>
              <w:jc w:val="center"/>
              <w:rPr>
                <w:b/>
                <w:bCs/>
              </w:rPr>
            </w:pP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55A2335E" w14:textId="77777777" w:rsidR="00805009" w:rsidRDefault="00805009">
            <w:pPr>
              <w:jc w:val="center"/>
              <w:rPr>
                <w:b/>
                <w:bCs/>
              </w:rPr>
            </w:pPr>
          </w:p>
        </w:tc>
        <w:tc>
          <w:tcPr>
            <w:tcW w:w="1709" w:type="dxa"/>
            <w:tcBorders>
              <w:top w:val="single" w:sz="4" w:space="0" w:color="000000"/>
              <w:left w:val="single" w:sz="4" w:space="0" w:color="000000"/>
              <w:bottom w:val="single" w:sz="4" w:space="0" w:color="000000"/>
              <w:right w:val="single" w:sz="4" w:space="0" w:color="000000"/>
            </w:tcBorders>
            <w:vAlign w:val="center"/>
          </w:tcPr>
          <w:p w14:paraId="4A99842D" w14:textId="77777777" w:rsidR="00805009" w:rsidRDefault="00000000">
            <w:pPr>
              <w:jc w:val="center"/>
              <w:rPr>
                <w:b/>
                <w:bCs/>
              </w:rPr>
            </w:pPr>
            <w:r>
              <w:rPr>
                <w:b/>
                <w:bCs/>
              </w:rPr>
              <w:t>“a priori”</w:t>
            </w:r>
          </w:p>
        </w:tc>
        <w:tc>
          <w:tcPr>
            <w:tcW w:w="1711" w:type="dxa"/>
            <w:tcBorders>
              <w:top w:val="single" w:sz="4" w:space="0" w:color="000000"/>
              <w:left w:val="single" w:sz="4" w:space="0" w:color="000000"/>
              <w:bottom w:val="single" w:sz="4" w:space="0" w:color="000000"/>
              <w:right w:val="single" w:sz="4" w:space="0" w:color="000000"/>
            </w:tcBorders>
            <w:vAlign w:val="center"/>
          </w:tcPr>
          <w:p w14:paraId="7E7082D1" w14:textId="77777777" w:rsidR="00805009" w:rsidRDefault="00000000">
            <w:pPr>
              <w:jc w:val="center"/>
              <w:rPr>
                <w:b/>
                <w:bCs/>
              </w:rPr>
            </w:pPr>
            <w:r>
              <w:rPr>
                <w:b/>
                <w:bCs/>
              </w:rPr>
              <w:t>Top-down (Fitted)</w:t>
            </w:r>
          </w:p>
        </w:tc>
        <w:tc>
          <w:tcPr>
            <w:tcW w:w="1893" w:type="dxa"/>
            <w:tcBorders>
              <w:top w:val="single" w:sz="4" w:space="0" w:color="000000"/>
              <w:left w:val="single" w:sz="4" w:space="0" w:color="000000"/>
              <w:bottom w:val="single" w:sz="4" w:space="0" w:color="000000"/>
              <w:right w:val="single" w:sz="4" w:space="0" w:color="000000"/>
            </w:tcBorders>
            <w:vAlign w:val="center"/>
          </w:tcPr>
          <w:p w14:paraId="3D578F47" w14:textId="77777777" w:rsidR="00805009" w:rsidRDefault="00000000">
            <w:pPr>
              <w:jc w:val="center"/>
              <w:rPr>
                <w:b/>
                <w:bCs/>
              </w:rPr>
            </w:pPr>
            <w:r>
              <w:rPr>
                <w:b/>
                <w:bCs/>
              </w:rPr>
              <w:t>“a priori”</w:t>
            </w:r>
          </w:p>
        </w:tc>
        <w:tc>
          <w:tcPr>
            <w:tcW w:w="1796" w:type="dxa"/>
            <w:tcBorders>
              <w:top w:val="single" w:sz="4" w:space="0" w:color="000000"/>
              <w:left w:val="single" w:sz="4" w:space="0" w:color="000000"/>
              <w:bottom w:val="single" w:sz="4" w:space="0" w:color="000000"/>
              <w:right w:val="single" w:sz="4" w:space="0" w:color="000000"/>
            </w:tcBorders>
            <w:vAlign w:val="center"/>
          </w:tcPr>
          <w:p w14:paraId="63205A4D" w14:textId="77777777" w:rsidR="00805009" w:rsidRDefault="00000000">
            <w:pPr>
              <w:jc w:val="center"/>
              <w:rPr>
                <w:b/>
                <w:bCs/>
              </w:rPr>
            </w:pPr>
            <w:r>
              <w:rPr>
                <w:b/>
                <w:bCs/>
              </w:rPr>
              <w:t>Top-down (Fitted)</w:t>
            </w:r>
          </w:p>
        </w:tc>
      </w:tr>
      <w:tr w:rsidR="00805009" w14:paraId="3A3CB8C3"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5B52A6" w14:textId="77777777" w:rsidR="00805009" w:rsidRDefault="00000000">
            <w:pPr>
              <w:jc w:val="center"/>
            </w:pPr>
            <w:r>
              <w:t>Adalimumab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7EA26A" w14:textId="77777777" w:rsidR="00805009"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9299CF0" w14:textId="77777777" w:rsidR="00805009" w:rsidRDefault="00000000">
            <w:pPr>
              <w:jc w:val="center"/>
            </w:pPr>
            <w:r>
              <w:t>1.21</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C769A9F" w14:textId="77777777" w:rsidR="00805009" w:rsidRDefault="00000000">
            <w:pPr>
              <w:jc w:val="center"/>
            </w:pPr>
            <w:r>
              <w:t>0.99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16B447" w14:textId="77777777" w:rsidR="00805009" w:rsidRDefault="00000000">
            <w:pPr>
              <w:jc w:val="center"/>
            </w:pPr>
            <w:r>
              <w:t>1.22</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B0F04EC" w14:textId="77777777" w:rsidR="00805009" w:rsidRDefault="00000000">
            <w:pPr>
              <w:jc w:val="center"/>
            </w:pPr>
            <w:r>
              <w:t>1.20</w:t>
            </w:r>
          </w:p>
        </w:tc>
      </w:tr>
      <w:tr w:rsidR="00805009" w14:paraId="44384016"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88E163" w14:textId="77777777" w:rsidR="00805009"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3B76EC" w14:textId="77777777" w:rsidR="00805009" w:rsidRDefault="00000000">
            <w:pPr>
              <w:jc w:val="center"/>
            </w:pPr>
            <w:r>
              <w:t>0.5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04DFB0C" w14:textId="77777777" w:rsidR="00805009" w:rsidRDefault="00000000">
            <w:pPr>
              <w:jc w:val="center"/>
            </w:pPr>
            <w:r>
              <w:t>1.42</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AA4E7DB" w14:textId="77777777" w:rsidR="00805009" w:rsidRDefault="00000000">
            <w:pPr>
              <w:jc w:val="center"/>
            </w:pPr>
            <w:r>
              <w:t>1.30</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135F9700" w14:textId="77777777" w:rsidR="00805009" w:rsidRDefault="00000000">
            <w:pPr>
              <w:jc w:val="center"/>
            </w:pPr>
            <w:r>
              <w:t>2.27</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3097B1" w14:textId="77777777" w:rsidR="00805009" w:rsidRDefault="00000000">
            <w:pPr>
              <w:jc w:val="center"/>
            </w:pPr>
            <w:r>
              <w:t>1.70</w:t>
            </w:r>
          </w:p>
        </w:tc>
      </w:tr>
      <w:tr w:rsidR="00805009" w14:paraId="7CD7B848"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FF5D37" w14:textId="77777777" w:rsidR="00805009"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7DCED" w14:textId="77777777" w:rsidR="00805009"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D330AF" w14:textId="77777777" w:rsidR="00805009" w:rsidRDefault="00000000">
            <w:pPr>
              <w:jc w:val="center"/>
            </w:pPr>
            <w:r>
              <w:t>1.09</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FF9970" w14:textId="77777777" w:rsidR="00805009" w:rsidRDefault="00000000">
            <w:pPr>
              <w:jc w:val="center"/>
            </w:pPr>
            <w:r>
              <w:t>0.99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1AE6528" w14:textId="77777777" w:rsidR="00805009" w:rsidRDefault="00000000">
            <w:pPr>
              <w:jc w:val="center"/>
            </w:pPr>
            <w:r>
              <w:t>1.11</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A6B98F5" w14:textId="77777777" w:rsidR="00805009" w:rsidRDefault="00000000">
            <w:pPr>
              <w:jc w:val="center"/>
            </w:pPr>
            <w:r>
              <w:t>1.19</w:t>
            </w:r>
          </w:p>
        </w:tc>
      </w:tr>
      <w:tr w:rsidR="00805009" w14:paraId="351D2165"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594B8" w14:textId="77777777" w:rsidR="00805009"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74CB6" w14:textId="77777777" w:rsidR="00805009" w:rsidRDefault="00000000">
            <w:pPr>
              <w:jc w:val="center"/>
            </w:pPr>
            <w:r>
              <w:t>20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C768AF4" w14:textId="77777777" w:rsidR="00805009" w:rsidRDefault="00000000">
            <w:pPr>
              <w:jc w:val="center"/>
            </w:pPr>
            <w:r>
              <w:t>0.86</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ABD8C41" w14:textId="77777777" w:rsidR="00805009" w:rsidRDefault="00000000">
            <w:pPr>
              <w:jc w:val="center"/>
            </w:pPr>
            <w:r>
              <w:t>0.78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4BA7CBF" w14:textId="77777777" w:rsidR="00805009" w:rsidRDefault="00000000">
            <w:pPr>
              <w:jc w:val="center"/>
            </w:pPr>
            <w:r>
              <w:t>0.87</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506AC6" w14:textId="77777777" w:rsidR="00805009" w:rsidRDefault="00000000">
            <w:pPr>
              <w:jc w:val="center"/>
            </w:pPr>
            <w:r>
              <w:t>0.96</w:t>
            </w:r>
          </w:p>
        </w:tc>
      </w:tr>
      <w:tr w:rsidR="00805009" w14:paraId="5F89AF9F"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96F616" w14:textId="77777777" w:rsidR="00805009" w:rsidRDefault="00000000">
            <w:pPr>
              <w:jc w:val="center"/>
            </w:pPr>
            <w:r>
              <w:t>Avelumab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6B6E06" w14:textId="77777777" w:rsidR="00805009"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68D9B0" w14:textId="77777777" w:rsidR="00805009" w:rsidRDefault="00000000">
            <w:pPr>
              <w:jc w:val="center"/>
            </w:pPr>
            <w:r>
              <w:t>1.30</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C73F201" w14:textId="77777777" w:rsidR="00805009" w:rsidRDefault="00000000">
            <w:pPr>
              <w:jc w:val="center"/>
            </w:pPr>
            <w:r>
              <w:t>0.96</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717EBA0" w14:textId="77777777" w:rsidR="00805009" w:rsidRDefault="00000000">
            <w:pPr>
              <w:jc w:val="center"/>
            </w:pPr>
            <w:r>
              <w:t>2.80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BB73C1C" w14:textId="77777777" w:rsidR="00805009" w:rsidRDefault="00000000">
            <w:pPr>
              <w:jc w:val="center"/>
            </w:pPr>
            <w:r>
              <w:t>1.20</w:t>
            </w:r>
          </w:p>
        </w:tc>
      </w:tr>
      <w:tr w:rsidR="00805009" w14:paraId="2C699CF9"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36278" w14:textId="77777777" w:rsidR="00805009" w:rsidRDefault="00000000">
            <w:pPr>
              <w:jc w:val="center"/>
            </w:pPr>
            <w:r>
              <w:t>Bevacizumab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856B2A" w14:textId="77777777" w:rsidR="00805009" w:rsidRDefault="00000000">
            <w:pPr>
              <w:jc w:val="center"/>
            </w:pPr>
            <w:r>
              <w:t>4</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16CEE5F" w14:textId="77777777" w:rsidR="00805009" w:rsidRDefault="00000000">
            <w:pPr>
              <w:jc w:val="center"/>
            </w:pPr>
            <w:r>
              <w:t>1.14</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B016A42" w14:textId="77777777" w:rsidR="00805009" w:rsidRDefault="00000000">
            <w:pPr>
              <w:jc w:val="center"/>
            </w:pPr>
            <w:r>
              <w:t>0.89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0564536" w14:textId="77777777" w:rsidR="00805009" w:rsidRDefault="00000000">
            <w:pPr>
              <w:jc w:val="center"/>
            </w:pPr>
            <w:r>
              <w:t>0.64</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8A9FD5C" w14:textId="77777777" w:rsidR="00805009" w:rsidRDefault="00000000">
            <w:pPr>
              <w:jc w:val="center"/>
            </w:pPr>
            <w:r>
              <w:t>0.71</w:t>
            </w:r>
          </w:p>
        </w:tc>
      </w:tr>
      <w:tr w:rsidR="00805009" w14:paraId="46327E36"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B7BB52" w14:textId="77777777" w:rsidR="00805009" w:rsidRDefault="00000000">
            <w:pPr>
              <w:jc w:val="center"/>
            </w:pPr>
            <w:r>
              <w:t>Bevacizumab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A21D7" w14:textId="77777777" w:rsidR="00805009"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51101E9" w14:textId="77777777" w:rsidR="00805009" w:rsidRDefault="00000000">
            <w:pPr>
              <w:jc w:val="center"/>
            </w:pPr>
            <w:r>
              <w:t>1.35</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8830217" w14:textId="77777777" w:rsidR="00805009" w:rsidRDefault="00000000">
            <w:pPr>
              <w:jc w:val="center"/>
            </w:pPr>
            <w:r>
              <w:t>1.08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4F3F9E7" w14:textId="77777777" w:rsidR="00805009" w:rsidRDefault="00000000">
            <w:pPr>
              <w:jc w:val="center"/>
            </w:pPr>
            <w:r>
              <w:t>1.48</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C7130B" w14:textId="77777777" w:rsidR="00805009" w:rsidRDefault="00000000">
            <w:pPr>
              <w:jc w:val="center"/>
            </w:pPr>
            <w:r>
              <w:t>1.60</w:t>
            </w:r>
          </w:p>
        </w:tc>
      </w:tr>
      <w:tr w:rsidR="00805009" w14:paraId="55E966F8"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20C911" w14:textId="77777777" w:rsidR="00805009" w:rsidRDefault="00000000">
            <w:pPr>
              <w:jc w:val="center"/>
            </w:pPr>
            <w:r>
              <w:t>Golimumab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E56C8" w14:textId="77777777" w:rsidR="00805009"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4E42D0B" w14:textId="77777777" w:rsidR="00805009" w:rsidRDefault="00000000">
            <w:pPr>
              <w:jc w:val="center"/>
            </w:pPr>
            <w:r>
              <w:t>0.80</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0A0D88A" w14:textId="77777777" w:rsidR="00805009" w:rsidRDefault="00000000">
            <w:pPr>
              <w:jc w:val="center"/>
            </w:pPr>
            <w:r>
              <w:t>1.00</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9FDBEE" w14:textId="77777777" w:rsidR="00805009" w:rsidRDefault="00000000">
            <w:pPr>
              <w:jc w:val="center"/>
            </w:pPr>
            <w:r>
              <w:t>1.00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0C52355" w14:textId="77777777" w:rsidR="00805009" w:rsidRDefault="00000000">
            <w:pPr>
              <w:jc w:val="center"/>
            </w:pPr>
            <w:r>
              <w:t>1.21</w:t>
            </w:r>
          </w:p>
        </w:tc>
      </w:tr>
      <w:tr w:rsidR="00805009" w14:paraId="15F3A754"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011EE" w14:textId="77777777" w:rsidR="00805009" w:rsidRDefault="00000000">
            <w:pPr>
              <w:jc w:val="center"/>
            </w:pPr>
            <w:r>
              <w:t>Nivolumab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CCF7F" w14:textId="77777777" w:rsidR="00805009" w:rsidRDefault="00000000">
            <w:pPr>
              <w:jc w:val="center"/>
            </w:pPr>
            <w:r>
              <w:t>1</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9114AD" w14:textId="77777777" w:rsidR="00805009" w:rsidRDefault="00000000">
            <w:pPr>
              <w:jc w:val="center"/>
            </w:pPr>
            <w:r>
              <w:t>0.97</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ED30D03" w14:textId="77777777" w:rsidR="00805009" w:rsidRDefault="00000000">
            <w:pPr>
              <w:jc w:val="center"/>
            </w:pPr>
            <w:r>
              <w:t>1.27</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A6EF99" w14:textId="77777777" w:rsidR="00805009" w:rsidRDefault="00000000">
            <w:pPr>
              <w:jc w:val="center"/>
            </w:pPr>
            <w:r>
              <w:t>0.62</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C42B3AC" w14:textId="77777777" w:rsidR="00805009" w:rsidRDefault="00000000">
            <w:pPr>
              <w:jc w:val="center"/>
            </w:pPr>
            <w:r>
              <w:t>1.34</w:t>
            </w:r>
          </w:p>
        </w:tc>
      </w:tr>
      <w:tr w:rsidR="00805009" w14:paraId="3A58CE0D"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66ECD3" w14:textId="77777777" w:rsidR="00805009" w:rsidRDefault="00000000">
            <w:pPr>
              <w:jc w:val="center"/>
            </w:pPr>
            <w:r>
              <w:t>Nivolumab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8340A" w14:textId="77777777" w:rsidR="00805009" w:rsidRDefault="00000000">
            <w:pPr>
              <w:jc w:val="center"/>
            </w:pPr>
            <w:r>
              <w:t>10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C115838" w14:textId="77777777" w:rsidR="00805009" w:rsidRDefault="00000000">
            <w:pPr>
              <w:jc w:val="center"/>
            </w:pPr>
            <w:r>
              <w:t>0.74</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0724E75" w14:textId="77777777" w:rsidR="00805009" w:rsidRDefault="00000000">
            <w:pPr>
              <w:jc w:val="center"/>
            </w:pPr>
            <w:r>
              <w:t>0.73</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C38D0EB" w14:textId="77777777" w:rsidR="00805009" w:rsidRDefault="00000000">
            <w:pPr>
              <w:jc w:val="center"/>
            </w:pPr>
            <w:r>
              <w:t>0.49</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AB3AF4C" w14:textId="77777777" w:rsidR="00805009" w:rsidRDefault="00000000">
            <w:pPr>
              <w:jc w:val="center"/>
            </w:pPr>
            <w:r>
              <w:t>0.96</w:t>
            </w:r>
          </w:p>
        </w:tc>
      </w:tr>
      <w:tr w:rsidR="00805009" w14:paraId="54B7FDAB"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5A196" w14:textId="77777777" w:rsidR="00805009"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4E1AB" w14:textId="77777777" w:rsidR="00805009" w:rsidRDefault="00000000">
            <w:pPr>
              <w:jc w:val="center"/>
            </w:pPr>
            <w:r>
              <w:t>0.3</w:t>
            </w:r>
          </w:p>
        </w:tc>
        <w:tc>
          <w:tcPr>
            <w:tcW w:w="1709"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6021F6F" w14:textId="77777777" w:rsidR="00805009" w:rsidRDefault="00000000">
            <w:pPr>
              <w:jc w:val="center"/>
            </w:pPr>
            <w:r>
              <w:t>0.40</w:t>
            </w:r>
          </w:p>
        </w:tc>
        <w:tc>
          <w:tcPr>
            <w:tcW w:w="1711"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A7CB5A6" w14:textId="77777777" w:rsidR="00805009" w:rsidRDefault="00000000">
            <w:pPr>
              <w:jc w:val="center"/>
            </w:pPr>
            <w:r>
              <w:t>0.39</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D51705A" w14:textId="77777777" w:rsidR="00805009" w:rsidRDefault="00000000">
            <w:pPr>
              <w:jc w:val="center"/>
            </w:pPr>
            <w:r>
              <w:t>2.39</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8501EBD" w14:textId="77777777" w:rsidR="00805009" w:rsidRDefault="00000000">
            <w:pPr>
              <w:jc w:val="center"/>
            </w:pPr>
            <w:r>
              <w:t>0.87</w:t>
            </w:r>
          </w:p>
        </w:tc>
      </w:tr>
      <w:tr w:rsidR="00805009" w14:paraId="45FFD32C"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8B6E20" w14:textId="77777777" w:rsidR="00805009"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C95C5" w14:textId="77777777" w:rsidR="00805009"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6DA7FBA" w14:textId="77777777" w:rsidR="00805009" w:rsidRDefault="00000000">
            <w:pPr>
              <w:jc w:val="center"/>
            </w:pPr>
            <w:r>
              <w:t>0.99</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763089E" w14:textId="77777777" w:rsidR="00805009" w:rsidRDefault="00000000">
            <w:pPr>
              <w:jc w:val="center"/>
            </w:pPr>
            <w:r>
              <w:t>0.95</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D4E6D96" w14:textId="77777777" w:rsidR="00805009" w:rsidRDefault="00000000">
            <w:pPr>
              <w:jc w:val="center"/>
            </w:pPr>
            <w:r>
              <w:t>2.88</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4CF0BAD" w14:textId="77777777" w:rsidR="00805009" w:rsidRDefault="00000000">
            <w:pPr>
              <w:jc w:val="center"/>
            </w:pPr>
            <w:r>
              <w:t>1.01</w:t>
            </w:r>
          </w:p>
        </w:tc>
      </w:tr>
      <w:tr w:rsidR="00805009" w14:paraId="32D1A373"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552B69" w14:textId="77777777" w:rsidR="00805009"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F0841" w14:textId="77777777" w:rsidR="00805009" w:rsidRDefault="00000000">
            <w:pPr>
              <w:jc w:val="center"/>
            </w:pPr>
            <w:r>
              <w:t>30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69C666D" w14:textId="77777777" w:rsidR="00805009" w:rsidRDefault="00000000">
            <w:pPr>
              <w:jc w:val="center"/>
            </w:pPr>
            <w:r>
              <w:t>1.05</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9125902" w14:textId="77777777" w:rsidR="00805009" w:rsidRDefault="00000000">
            <w:pPr>
              <w:jc w:val="center"/>
            </w:pPr>
            <w:r>
              <w:t>0.97</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FED93D7" w14:textId="77777777" w:rsidR="00805009" w:rsidRDefault="00000000">
            <w:pPr>
              <w:jc w:val="center"/>
            </w:pPr>
            <w:r>
              <w:t>3.23</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84D9172" w14:textId="77777777" w:rsidR="00805009" w:rsidRDefault="00000000">
            <w:pPr>
              <w:jc w:val="center"/>
            </w:pPr>
            <w:r>
              <w:t>1.08</w:t>
            </w:r>
          </w:p>
        </w:tc>
      </w:tr>
      <w:tr w:rsidR="00805009" w14:paraId="63BAE65B"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782EDF" w14:textId="77777777" w:rsidR="00805009" w:rsidRDefault="00000000">
            <w:pPr>
              <w:jc w:val="center"/>
            </w:pPr>
            <w:r>
              <w:t>Tocilizumab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AAEE6A" w14:textId="77777777" w:rsidR="00805009" w:rsidRDefault="00000000">
            <w:pPr>
              <w:jc w:val="center"/>
            </w:pPr>
            <w:r>
              <w:t>10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8892456" w14:textId="77777777" w:rsidR="00805009" w:rsidRDefault="00000000">
            <w:pPr>
              <w:jc w:val="center"/>
            </w:pPr>
            <w:r>
              <w:t>1.06</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043CA30" w14:textId="77777777" w:rsidR="00805009" w:rsidRDefault="00000000">
            <w:pPr>
              <w:jc w:val="center"/>
            </w:pPr>
            <w:r>
              <w:t>0.98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B07033" w14:textId="77777777" w:rsidR="00805009" w:rsidRDefault="00000000">
            <w:pPr>
              <w:jc w:val="center"/>
            </w:pPr>
            <w:r>
              <w:t>1.80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CD296D" w14:textId="77777777" w:rsidR="00805009" w:rsidRDefault="00000000">
            <w:pPr>
              <w:jc w:val="center"/>
            </w:pPr>
            <w:r>
              <w:t>1.00</w:t>
            </w:r>
          </w:p>
        </w:tc>
      </w:tr>
    </w:tbl>
    <w:p w14:paraId="14240DE6" w14:textId="77777777" w:rsidR="00805009" w:rsidRDefault="00000000">
      <w:r>
        <w:br w:type="page"/>
      </w:r>
    </w:p>
    <w:p w14:paraId="4635E60E" w14:textId="77777777" w:rsidR="00805009" w:rsidRDefault="00000000">
      <w:r>
        <w:rPr>
          <w:b/>
          <w:bCs/>
        </w:rPr>
        <w:lastRenderedPageBreak/>
        <w:t xml:space="preserve">Table 2. Human </w:t>
      </w:r>
      <w:proofErr w:type="spellStart"/>
      <w:r>
        <w:rPr>
          <w:b/>
          <w:bCs/>
        </w:rPr>
        <w:t>Cmax</w:t>
      </w:r>
      <w:proofErr w:type="spellEnd"/>
      <w:r>
        <w:rPr>
          <w:b/>
          <w:bCs/>
        </w:rPr>
        <w:t xml:space="preserve"> and AUC fold-error by modeling approach.</w:t>
      </w:r>
      <w:r>
        <w:t xml:space="preserve"> Fold-error is reported as predicted/observed. Green indicates within twofold (0.50–2.00); red indicates outside twofold.</w:t>
      </w:r>
    </w:p>
    <w:tbl>
      <w:tblPr>
        <w:tblW w:w="10158" w:type="dxa"/>
        <w:tblInd w:w="-28" w:type="dxa"/>
        <w:tblLayout w:type="fixed"/>
        <w:tblCellMar>
          <w:top w:w="60" w:type="dxa"/>
          <w:left w:w="80" w:type="dxa"/>
          <w:bottom w:w="60" w:type="dxa"/>
          <w:right w:w="80" w:type="dxa"/>
        </w:tblCellMar>
        <w:tblLook w:val="04A0" w:firstRow="1" w:lastRow="0" w:firstColumn="1" w:lastColumn="0" w:noHBand="0" w:noVBand="1"/>
      </w:tblPr>
      <w:tblGrid>
        <w:gridCol w:w="2174"/>
        <w:gridCol w:w="1529"/>
        <w:gridCol w:w="1613"/>
        <w:gridCol w:w="1614"/>
        <w:gridCol w:w="1613"/>
        <w:gridCol w:w="1615"/>
      </w:tblGrid>
      <w:tr w:rsidR="00805009" w14:paraId="18EEFF0A" w14:textId="77777777">
        <w:trPr>
          <w:trHeight w:val="497"/>
          <w:tblHeader/>
        </w:trPr>
        <w:tc>
          <w:tcPr>
            <w:tcW w:w="2173" w:type="dxa"/>
            <w:vMerge w:val="restart"/>
            <w:tcBorders>
              <w:top w:val="single" w:sz="4" w:space="0" w:color="000000"/>
              <w:left w:val="single" w:sz="4" w:space="0" w:color="000000"/>
              <w:bottom w:val="single" w:sz="4" w:space="0" w:color="000000"/>
              <w:right w:val="single" w:sz="4" w:space="0" w:color="000000"/>
            </w:tcBorders>
            <w:vAlign w:val="center"/>
          </w:tcPr>
          <w:p w14:paraId="1CC77517" w14:textId="77777777" w:rsidR="00805009" w:rsidRDefault="00000000">
            <w:pPr>
              <w:jc w:val="center"/>
              <w:rPr>
                <w:b/>
                <w:bCs/>
              </w:rPr>
            </w:pPr>
            <w:r>
              <w:rPr>
                <w:b/>
                <w:bCs/>
              </w:rPr>
              <w:t>Molecule</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14:paraId="2AE3AA34" w14:textId="77777777" w:rsidR="00805009" w:rsidRDefault="00000000">
            <w:pPr>
              <w:jc w:val="center"/>
              <w:rPr>
                <w:b/>
                <w:bCs/>
              </w:rPr>
            </w:pPr>
            <w:r>
              <w:rPr>
                <w:b/>
                <w:bCs/>
              </w:rPr>
              <w:t>Dose (mg/kg)</w:t>
            </w:r>
          </w:p>
        </w:tc>
        <w:tc>
          <w:tcPr>
            <w:tcW w:w="3227" w:type="dxa"/>
            <w:gridSpan w:val="2"/>
            <w:tcBorders>
              <w:top w:val="single" w:sz="4" w:space="0" w:color="000000"/>
              <w:left w:val="single" w:sz="4" w:space="0" w:color="000000"/>
              <w:bottom w:val="single" w:sz="4" w:space="0" w:color="000000"/>
              <w:right w:val="single" w:sz="4" w:space="0" w:color="000000"/>
            </w:tcBorders>
            <w:vAlign w:val="center"/>
          </w:tcPr>
          <w:p w14:paraId="7B05653A" w14:textId="77777777" w:rsidR="00805009" w:rsidRDefault="00000000">
            <w:pPr>
              <w:jc w:val="center"/>
              <w:rPr>
                <w:b/>
                <w:bCs/>
              </w:rPr>
            </w:pPr>
            <w:proofErr w:type="spellStart"/>
            <w:r>
              <w:rPr>
                <w:b/>
                <w:bCs/>
              </w:rPr>
              <w:t>Cmax</w:t>
            </w:r>
            <w:proofErr w:type="spellEnd"/>
            <w:r>
              <w:rPr>
                <w:b/>
                <w:bCs/>
              </w:rPr>
              <w:t xml:space="preserve"> fold-error</w:t>
            </w:r>
          </w:p>
        </w:tc>
        <w:tc>
          <w:tcPr>
            <w:tcW w:w="3228" w:type="dxa"/>
            <w:gridSpan w:val="2"/>
            <w:tcBorders>
              <w:top w:val="single" w:sz="4" w:space="0" w:color="000000"/>
              <w:left w:val="single" w:sz="4" w:space="0" w:color="000000"/>
              <w:bottom w:val="single" w:sz="4" w:space="0" w:color="000000"/>
              <w:right w:val="single" w:sz="4" w:space="0" w:color="000000"/>
            </w:tcBorders>
            <w:vAlign w:val="center"/>
          </w:tcPr>
          <w:p w14:paraId="19096832" w14:textId="77777777" w:rsidR="00805009" w:rsidRDefault="00000000">
            <w:pPr>
              <w:jc w:val="center"/>
              <w:rPr>
                <w:b/>
                <w:bCs/>
              </w:rPr>
            </w:pPr>
            <w:r>
              <w:rPr>
                <w:b/>
                <w:bCs/>
              </w:rPr>
              <w:t>AUC fold-error</w:t>
            </w:r>
          </w:p>
        </w:tc>
      </w:tr>
      <w:tr w:rsidR="00805009" w14:paraId="56FCE652" w14:textId="77777777">
        <w:trPr>
          <w:trHeight w:val="497"/>
          <w:tblHeader/>
        </w:trPr>
        <w:tc>
          <w:tcPr>
            <w:tcW w:w="2173" w:type="dxa"/>
            <w:vMerge/>
            <w:tcBorders>
              <w:top w:val="single" w:sz="4" w:space="0" w:color="000000"/>
              <w:left w:val="single" w:sz="4" w:space="0" w:color="000000"/>
              <w:bottom w:val="single" w:sz="4" w:space="0" w:color="000000"/>
              <w:right w:val="single" w:sz="4" w:space="0" w:color="000000"/>
            </w:tcBorders>
            <w:vAlign w:val="center"/>
          </w:tcPr>
          <w:p w14:paraId="23BAD0F1" w14:textId="77777777" w:rsidR="00805009" w:rsidRDefault="00805009">
            <w:pPr>
              <w:jc w:val="center"/>
              <w:rPr>
                <w:b/>
                <w:bCs/>
              </w:rPr>
            </w:pPr>
          </w:p>
        </w:tc>
        <w:tc>
          <w:tcPr>
            <w:tcW w:w="1529" w:type="dxa"/>
            <w:vMerge/>
            <w:tcBorders>
              <w:top w:val="single" w:sz="4" w:space="0" w:color="000000"/>
              <w:left w:val="single" w:sz="4" w:space="0" w:color="000000"/>
              <w:bottom w:val="single" w:sz="4" w:space="0" w:color="000000"/>
              <w:right w:val="single" w:sz="4" w:space="0" w:color="000000"/>
            </w:tcBorders>
            <w:vAlign w:val="center"/>
          </w:tcPr>
          <w:p w14:paraId="50EE6AC4" w14:textId="77777777" w:rsidR="00805009" w:rsidRDefault="00805009">
            <w:pPr>
              <w:jc w:val="center"/>
              <w:rPr>
                <w:b/>
                <w:bCs/>
              </w:rPr>
            </w:pPr>
          </w:p>
        </w:tc>
        <w:tc>
          <w:tcPr>
            <w:tcW w:w="1613" w:type="dxa"/>
            <w:tcBorders>
              <w:top w:val="single" w:sz="4" w:space="0" w:color="000000"/>
              <w:left w:val="single" w:sz="4" w:space="0" w:color="000000"/>
              <w:bottom w:val="single" w:sz="4" w:space="0" w:color="000000"/>
              <w:right w:val="single" w:sz="4" w:space="0" w:color="000000"/>
            </w:tcBorders>
            <w:vAlign w:val="center"/>
          </w:tcPr>
          <w:p w14:paraId="6582CA67" w14:textId="77777777" w:rsidR="00805009" w:rsidRDefault="00000000">
            <w:pPr>
              <w:jc w:val="center"/>
              <w:rPr>
                <w:b/>
                <w:bCs/>
              </w:rPr>
            </w:pPr>
            <w:r>
              <w:rPr>
                <w:b/>
                <w:bCs/>
              </w:rPr>
              <w:t>“a priori”</w:t>
            </w:r>
          </w:p>
        </w:tc>
        <w:tc>
          <w:tcPr>
            <w:tcW w:w="1614" w:type="dxa"/>
            <w:tcBorders>
              <w:top w:val="single" w:sz="4" w:space="0" w:color="000000"/>
              <w:left w:val="single" w:sz="4" w:space="0" w:color="000000"/>
              <w:bottom w:val="single" w:sz="4" w:space="0" w:color="000000"/>
              <w:right w:val="single" w:sz="4" w:space="0" w:color="000000"/>
            </w:tcBorders>
            <w:vAlign w:val="center"/>
          </w:tcPr>
          <w:p w14:paraId="659BAC27" w14:textId="77777777" w:rsidR="00805009" w:rsidRDefault="00000000">
            <w:pPr>
              <w:jc w:val="center"/>
              <w:rPr>
                <w:b/>
                <w:bCs/>
              </w:rPr>
            </w:pPr>
            <w:r>
              <w:rPr>
                <w:b/>
                <w:bCs/>
              </w:rPr>
              <w:t>Top-down</w:t>
            </w:r>
          </w:p>
        </w:tc>
        <w:tc>
          <w:tcPr>
            <w:tcW w:w="1613" w:type="dxa"/>
            <w:tcBorders>
              <w:top w:val="single" w:sz="4" w:space="0" w:color="000000"/>
              <w:left w:val="single" w:sz="4" w:space="0" w:color="000000"/>
              <w:bottom w:val="single" w:sz="4" w:space="0" w:color="000000"/>
              <w:right w:val="single" w:sz="4" w:space="0" w:color="000000"/>
            </w:tcBorders>
            <w:vAlign w:val="center"/>
          </w:tcPr>
          <w:p w14:paraId="20285319" w14:textId="77777777" w:rsidR="00805009" w:rsidRDefault="00000000">
            <w:pPr>
              <w:jc w:val="center"/>
              <w:rPr>
                <w:b/>
                <w:bCs/>
              </w:rPr>
            </w:pPr>
            <w:r>
              <w:rPr>
                <w:b/>
                <w:bCs/>
              </w:rPr>
              <w:t>“a priori”</w:t>
            </w:r>
          </w:p>
        </w:tc>
        <w:tc>
          <w:tcPr>
            <w:tcW w:w="1615" w:type="dxa"/>
            <w:tcBorders>
              <w:top w:val="single" w:sz="4" w:space="0" w:color="000000"/>
              <w:left w:val="single" w:sz="4" w:space="0" w:color="000000"/>
              <w:bottom w:val="single" w:sz="4" w:space="0" w:color="000000"/>
              <w:right w:val="single" w:sz="4" w:space="0" w:color="000000"/>
            </w:tcBorders>
            <w:vAlign w:val="center"/>
          </w:tcPr>
          <w:p w14:paraId="4608B462" w14:textId="77777777" w:rsidR="00805009" w:rsidRDefault="00000000">
            <w:pPr>
              <w:jc w:val="center"/>
              <w:rPr>
                <w:b/>
                <w:bCs/>
              </w:rPr>
            </w:pPr>
            <w:r>
              <w:rPr>
                <w:b/>
                <w:bCs/>
              </w:rPr>
              <w:t>Top-down</w:t>
            </w:r>
          </w:p>
        </w:tc>
      </w:tr>
      <w:tr w:rsidR="00805009" w14:paraId="00A73AD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CC602" w14:textId="77777777" w:rsidR="00805009"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51BFC" w14:textId="77777777" w:rsidR="00805009" w:rsidRDefault="00000000">
            <w:pPr>
              <w:jc w:val="center"/>
            </w:pPr>
            <w:r>
              <w:t>0.5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96F638B" w14:textId="77777777" w:rsidR="00805009" w:rsidRDefault="00000000">
            <w:pPr>
              <w:jc w:val="center"/>
            </w:pPr>
            <w:r>
              <w:t>0.98</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4AB2E5" w14:textId="77777777" w:rsidR="00805009" w:rsidRDefault="00000000">
            <w:pPr>
              <w:jc w:val="center"/>
            </w:pPr>
            <w:r>
              <w:t>1.05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9BDEE81" w14:textId="77777777" w:rsidR="00805009" w:rsidRDefault="00000000">
            <w:pPr>
              <w:jc w:val="center"/>
            </w:pPr>
            <w:r>
              <w:t>1.28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673B9AE" w14:textId="77777777" w:rsidR="00805009" w:rsidRDefault="00000000">
            <w:pPr>
              <w:jc w:val="center"/>
            </w:pPr>
            <w:r>
              <w:t>1.06</w:t>
            </w:r>
          </w:p>
        </w:tc>
      </w:tr>
      <w:tr w:rsidR="00805009" w14:paraId="6255EC34"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899397" w14:textId="77777777" w:rsidR="00805009"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FCBE3" w14:textId="77777777" w:rsidR="00805009"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C6DCC78" w14:textId="77777777" w:rsidR="00805009" w:rsidRDefault="00000000">
            <w:pPr>
              <w:jc w:val="center"/>
            </w:pPr>
            <w:r>
              <w:t>0.93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B4A09B5" w14:textId="77777777" w:rsidR="00805009" w:rsidRDefault="00000000">
            <w:pPr>
              <w:jc w:val="center"/>
            </w:pPr>
            <w:r>
              <w:t>0.99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2635718" w14:textId="77777777" w:rsidR="00805009" w:rsidRDefault="00000000">
            <w:pPr>
              <w:jc w:val="center"/>
            </w:pPr>
            <w:r>
              <w:t>1.50</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81114C1" w14:textId="77777777" w:rsidR="00805009" w:rsidRDefault="00000000">
            <w:pPr>
              <w:jc w:val="center"/>
            </w:pPr>
            <w:r>
              <w:t>1.25</w:t>
            </w:r>
          </w:p>
        </w:tc>
      </w:tr>
      <w:tr w:rsidR="00805009" w14:paraId="20EA071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37AA8" w14:textId="77777777" w:rsidR="00805009"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54ADC" w14:textId="77777777" w:rsidR="00805009"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065ACDF" w14:textId="77777777" w:rsidR="00805009" w:rsidRDefault="00000000">
            <w:pPr>
              <w:jc w:val="center"/>
            </w:pPr>
            <w:r>
              <w:t>1.02</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7A59D69" w14:textId="77777777" w:rsidR="00805009"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949A0B" w14:textId="77777777" w:rsidR="00805009" w:rsidRDefault="00000000">
            <w:pPr>
              <w:jc w:val="center"/>
            </w:pPr>
            <w:r>
              <w:t>1.50</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E65223" w14:textId="77777777" w:rsidR="00805009" w:rsidRDefault="00000000">
            <w:pPr>
              <w:jc w:val="center"/>
            </w:pPr>
            <w:r>
              <w:t>1.24</w:t>
            </w:r>
          </w:p>
        </w:tc>
      </w:tr>
      <w:tr w:rsidR="00805009" w14:paraId="4FFFF7A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FF439" w14:textId="77777777" w:rsidR="00805009"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E8FEE1" w14:textId="77777777" w:rsidR="00805009" w:rsidRDefault="00000000">
            <w:pPr>
              <w:jc w:val="center"/>
            </w:pPr>
            <w:r>
              <w:t>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86E537" w14:textId="77777777" w:rsidR="00805009" w:rsidRDefault="00000000">
            <w:pPr>
              <w:jc w:val="center"/>
            </w:pPr>
            <w:r>
              <w:t>0.75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81442E7" w14:textId="77777777" w:rsidR="00805009" w:rsidRDefault="00000000">
            <w:pPr>
              <w:jc w:val="center"/>
            </w:pPr>
            <w:r>
              <w:t>0.81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C575C2E" w14:textId="77777777" w:rsidR="00805009" w:rsidRDefault="00000000">
            <w:pPr>
              <w:jc w:val="center"/>
            </w:pPr>
            <w:r>
              <w:t>1.12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E781665" w14:textId="77777777" w:rsidR="00805009" w:rsidRDefault="00000000">
            <w:pPr>
              <w:jc w:val="center"/>
            </w:pPr>
            <w:r>
              <w:t>0.93</w:t>
            </w:r>
          </w:p>
        </w:tc>
      </w:tr>
      <w:tr w:rsidR="00805009" w14:paraId="4FEC078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DC9FF" w14:textId="77777777" w:rsidR="00805009"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AF1CF" w14:textId="77777777" w:rsidR="00805009"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2AB788D" w14:textId="77777777" w:rsidR="00805009" w:rsidRDefault="00000000">
            <w:pPr>
              <w:jc w:val="center"/>
            </w:pPr>
            <w:r>
              <w:t>0.83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73C97B5" w14:textId="77777777" w:rsidR="00805009" w:rsidRDefault="00000000">
            <w:pPr>
              <w:jc w:val="center"/>
            </w:pPr>
            <w:r>
              <w:t>0.89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A94D676" w14:textId="77777777" w:rsidR="00805009" w:rsidRDefault="00000000">
            <w:pPr>
              <w:jc w:val="center"/>
            </w:pPr>
            <w:r>
              <w:t>1.08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AF479A8" w14:textId="77777777" w:rsidR="00805009" w:rsidRDefault="00000000">
            <w:pPr>
              <w:jc w:val="center"/>
            </w:pPr>
            <w:r>
              <w:t>0.90</w:t>
            </w:r>
          </w:p>
        </w:tc>
      </w:tr>
      <w:tr w:rsidR="00805009" w14:paraId="1F1307B5"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EAD783" w14:textId="77777777" w:rsidR="00805009"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5A78E8" w14:textId="77777777" w:rsidR="00805009"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1DD3E96" w14:textId="77777777" w:rsidR="00805009" w:rsidRDefault="00000000">
            <w:pPr>
              <w:jc w:val="center"/>
            </w:pPr>
            <w:r>
              <w:t>1.10</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FB6E652" w14:textId="77777777" w:rsidR="00805009"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6AEABDD" w14:textId="77777777" w:rsidR="00805009" w:rsidRDefault="00000000">
            <w:pPr>
              <w:jc w:val="center"/>
            </w:pPr>
            <w:r>
              <w:t>1.34</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03E91E" w14:textId="77777777" w:rsidR="00805009" w:rsidRDefault="00000000">
            <w:pPr>
              <w:jc w:val="center"/>
            </w:pPr>
            <w:r>
              <w:t>1.26</w:t>
            </w:r>
          </w:p>
        </w:tc>
      </w:tr>
      <w:tr w:rsidR="00805009" w14:paraId="657127A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B5C22" w14:textId="77777777" w:rsidR="00805009"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AA52BB" w14:textId="77777777" w:rsidR="00805009"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348342" w14:textId="77777777" w:rsidR="00805009" w:rsidRDefault="00000000">
            <w:pPr>
              <w:jc w:val="center"/>
            </w:pPr>
            <w:r>
              <w:t>0.83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29C6513" w14:textId="77777777" w:rsidR="00805009" w:rsidRDefault="00000000">
            <w:pPr>
              <w:jc w:val="center"/>
            </w:pPr>
            <w:r>
              <w:t>0.82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4DE6B89" w14:textId="77777777" w:rsidR="00805009" w:rsidRDefault="00000000">
            <w:pPr>
              <w:jc w:val="center"/>
            </w:pPr>
            <w:r>
              <w:t>1.13</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3D03440" w14:textId="77777777" w:rsidR="00805009" w:rsidRDefault="00000000">
            <w:pPr>
              <w:jc w:val="center"/>
            </w:pPr>
            <w:r>
              <w:t>1.09</w:t>
            </w:r>
          </w:p>
        </w:tc>
      </w:tr>
      <w:tr w:rsidR="00805009" w14:paraId="30E2E9E5"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0C3366" w14:textId="77777777" w:rsidR="00805009"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1CAD32" w14:textId="77777777" w:rsidR="00805009"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32D022C" w14:textId="77777777" w:rsidR="00805009" w:rsidRDefault="00000000">
            <w:pPr>
              <w:jc w:val="center"/>
            </w:pPr>
            <w:r>
              <w:t>1.02</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0B935DD" w14:textId="77777777" w:rsidR="00805009" w:rsidRDefault="00000000">
            <w:pPr>
              <w:jc w:val="center"/>
            </w:pPr>
            <w:r>
              <w:t>1.01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C543DFE" w14:textId="77777777" w:rsidR="00805009" w:rsidRDefault="00000000">
            <w:pPr>
              <w:jc w:val="center"/>
            </w:pPr>
            <w:r>
              <w:t>1.21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6DB29E4" w14:textId="77777777" w:rsidR="00805009" w:rsidRDefault="00000000">
            <w:pPr>
              <w:jc w:val="center"/>
            </w:pPr>
            <w:r>
              <w:t>1.19</w:t>
            </w:r>
          </w:p>
        </w:tc>
      </w:tr>
      <w:tr w:rsidR="00805009" w14:paraId="7C5B0412"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33B669" w14:textId="77777777" w:rsidR="00805009"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E980CF" w14:textId="77777777" w:rsidR="00805009" w:rsidRDefault="00000000">
            <w:pPr>
              <w:jc w:val="center"/>
            </w:pPr>
            <w:r>
              <w:t>15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6FF548D" w14:textId="77777777" w:rsidR="00805009" w:rsidRDefault="00000000">
            <w:pPr>
              <w:jc w:val="center"/>
            </w:pPr>
            <w:r>
              <w:t>1.03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5B6668" w14:textId="77777777" w:rsidR="00805009" w:rsidRDefault="00000000">
            <w:pPr>
              <w:jc w:val="center"/>
            </w:pPr>
            <w:r>
              <w:t>1.02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974A508" w14:textId="77777777" w:rsidR="00805009" w:rsidRDefault="00000000">
            <w:pPr>
              <w:jc w:val="center"/>
            </w:pPr>
            <w:r>
              <w:t>1.29</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EC0A7B" w14:textId="77777777" w:rsidR="00805009" w:rsidRDefault="00000000">
            <w:pPr>
              <w:jc w:val="center"/>
            </w:pPr>
            <w:r>
              <w:t>1.28</w:t>
            </w:r>
          </w:p>
        </w:tc>
      </w:tr>
      <w:tr w:rsidR="00805009" w14:paraId="190C5E16"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81C40" w14:textId="77777777" w:rsidR="00805009"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20AAE1" w14:textId="77777777" w:rsidR="00805009"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448353B" w14:textId="77777777" w:rsidR="00805009" w:rsidRDefault="00000000">
            <w:pPr>
              <w:jc w:val="center"/>
            </w:pPr>
            <w:r>
              <w:t>0.86</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12EFAD1" w14:textId="77777777" w:rsidR="00805009" w:rsidRDefault="00000000">
            <w:pPr>
              <w:jc w:val="center"/>
            </w:pPr>
            <w:r>
              <w:t>0.85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258EA5C" w14:textId="77777777" w:rsidR="00805009" w:rsidRDefault="00000000">
            <w:pPr>
              <w:jc w:val="center"/>
            </w:pPr>
            <w:r>
              <w:t>1.15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239B5F" w14:textId="77777777" w:rsidR="00805009" w:rsidRDefault="00000000">
            <w:pPr>
              <w:jc w:val="center"/>
            </w:pPr>
            <w:r>
              <w:t>1.14</w:t>
            </w:r>
          </w:p>
        </w:tc>
      </w:tr>
      <w:tr w:rsidR="00805009" w14:paraId="614ABE3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22BEA" w14:textId="77777777" w:rsidR="00805009"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B7325" w14:textId="77777777" w:rsidR="00805009"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3DD22B2" w14:textId="77777777" w:rsidR="00805009" w:rsidRDefault="00000000">
            <w:pPr>
              <w:jc w:val="center"/>
            </w:pPr>
            <w:r>
              <w:t>1.27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88A861" w14:textId="77777777" w:rsidR="00805009" w:rsidRDefault="00000000">
            <w:pPr>
              <w:jc w:val="center"/>
            </w:pPr>
            <w:r>
              <w:t>1.06</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6B08766" w14:textId="77777777" w:rsidR="00805009" w:rsidRDefault="00000000">
            <w:pPr>
              <w:jc w:val="center"/>
            </w:pPr>
            <w:r>
              <w:t>5.51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D473F0D" w14:textId="77777777" w:rsidR="00805009" w:rsidRDefault="00000000">
            <w:pPr>
              <w:jc w:val="center"/>
            </w:pPr>
            <w:r>
              <w:t>1.69</w:t>
            </w:r>
          </w:p>
        </w:tc>
      </w:tr>
      <w:tr w:rsidR="00805009" w14:paraId="2C56092C"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715FB7" w14:textId="77777777" w:rsidR="00805009"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1A761" w14:textId="77777777" w:rsidR="00805009"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E2EFB0B" w14:textId="77777777" w:rsidR="00805009" w:rsidRDefault="00000000">
            <w:pPr>
              <w:jc w:val="center"/>
            </w:pPr>
            <w:r>
              <w:t>0.84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B61C7C9" w14:textId="77777777" w:rsidR="00805009" w:rsidRDefault="00000000">
            <w:pPr>
              <w:jc w:val="center"/>
            </w:pPr>
            <w:r>
              <w:t>0.70</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13A4E5A" w14:textId="77777777" w:rsidR="00805009" w:rsidRDefault="00000000">
            <w:pPr>
              <w:jc w:val="center"/>
            </w:pPr>
            <w:r>
              <w:t>2.46</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4DC8E90" w14:textId="77777777" w:rsidR="00805009" w:rsidRDefault="00000000">
            <w:pPr>
              <w:jc w:val="center"/>
            </w:pPr>
            <w:r>
              <w:t>0.79</w:t>
            </w:r>
          </w:p>
        </w:tc>
      </w:tr>
      <w:tr w:rsidR="00805009" w14:paraId="7FE0CF73"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AAB52C" w14:textId="77777777" w:rsidR="00805009"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F5512B" w14:textId="77777777" w:rsidR="00805009"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37C5F4" w14:textId="77777777" w:rsidR="00805009" w:rsidRDefault="00000000">
            <w:pPr>
              <w:jc w:val="center"/>
            </w:pPr>
            <w:r>
              <w:t>0.91</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B1C142" w14:textId="77777777" w:rsidR="00805009" w:rsidRDefault="00000000">
            <w:pPr>
              <w:jc w:val="center"/>
            </w:pPr>
            <w:r>
              <w:t>0.66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04FF3D8" w14:textId="77777777" w:rsidR="00805009" w:rsidRDefault="00000000">
            <w:pPr>
              <w:jc w:val="center"/>
            </w:pPr>
            <w:r>
              <w:t>1.47</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64A6A67" w14:textId="77777777" w:rsidR="00805009" w:rsidRDefault="00000000">
            <w:pPr>
              <w:jc w:val="center"/>
            </w:pPr>
            <w:r>
              <w:t>0.35</w:t>
            </w:r>
          </w:p>
        </w:tc>
      </w:tr>
      <w:tr w:rsidR="00805009" w14:paraId="6BF57432"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36D67" w14:textId="77777777" w:rsidR="00805009"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0907B9" w14:textId="77777777" w:rsidR="00805009"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C7A0F0F" w14:textId="77777777" w:rsidR="00805009" w:rsidRDefault="00000000">
            <w:pPr>
              <w:jc w:val="center"/>
            </w:pPr>
            <w:r>
              <w:t>0.95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1A09DE7" w14:textId="77777777" w:rsidR="00805009" w:rsidRDefault="00000000">
            <w:pPr>
              <w:jc w:val="center"/>
            </w:pPr>
            <w:r>
              <w:t>0.79</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9D6462B" w14:textId="77777777" w:rsidR="00805009" w:rsidRDefault="00000000">
            <w:pPr>
              <w:jc w:val="center"/>
            </w:pPr>
            <w:r>
              <w:t>2.05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4E8947" w14:textId="77777777" w:rsidR="00805009" w:rsidRDefault="00000000">
            <w:pPr>
              <w:jc w:val="center"/>
            </w:pPr>
            <w:r>
              <w:t>0.68</w:t>
            </w:r>
          </w:p>
        </w:tc>
      </w:tr>
      <w:tr w:rsidR="00805009" w14:paraId="528464E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78D16" w14:textId="77777777" w:rsidR="00805009" w:rsidRDefault="00000000">
            <w:pPr>
              <w:jc w:val="center"/>
            </w:pPr>
            <w:r>
              <w:t>Bevacizumab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C669F" w14:textId="77777777" w:rsidR="00805009" w:rsidRDefault="00000000">
            <w:pPr>
              <w:jc w:val="center"/>
            </w:pPr>
            <w:r>
              <w:t>15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A9D599" w14:textId="77777777" w:rsidR="00805009" w:rsidRDefault="00000000">
            <w:pPr>
              <w:jc w:val="center"/>
            </w:pPr>
            <w:r>
              <w:t>1.26</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7447E5" w14:textId="77777777" w:rsidR="00805009"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9F6D2A9" w14:textId="77777777" w:rsidR="00805009" w:rsidRDefault="00000000">
            <w:pPr>
              <w:jc w:val="center"/>
            </w:pPr>
            <w:r>
              <w:t>1.25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CFC9FA0" w14:textId="77777777" w:rsidR="00805009" w:rsidRDefault="00000000">
            <w:pPr>
              <w:jc w:val="center"/>
            </w:pPr>
            <w:r>
              <w:t>0.95</w:t>
            </w:r>
          </w:p>
        </w:tc>
      </w:tr>
      <w:tr w:rsidR="00805009" w14:paraId="2545F9E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029CB" w14:textId="77777777" w:rsidR="00805009"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020D8" w14:textId="77777777" w:rsidR="00805009" w:rsidRDefault="00000000">
            <w:pPr>
              <w:jc w:val="center"/>
            </w:pPr>
            <w:r>
              <w:t>0.1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F28DEF9" w14:textId="77777777" w:rsidR="00805009" w:rsidRDefault="00000000">
            <w:pPr>
              <w:jc w:val="center"/>
            </w:pPr>
            <w:r>
              <w:t>0.95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DFEF4DD" w14:textId="77777777" w:rsidR="00805009" w:rsidRDefault="00000000">
            <w:pPr>
              <w:jc w:val="center"/>
            </w:pPr>
            <w:r>
              <w:t>1.27</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9048640" w14:textId="77777777" w:rsidR="00805009" w:rsidRDefault="00000000">
            <w:pPr>
              <w:jc w:val="center"/>
            </w:pPr>
            <w:r>
              <w:t>2.13</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D9EEF10" w14:textId="77777777" w:rsidR="00805009" w:rsidRDefault="00000000">
            <w:pPr>
              <w:jc w:val="center"/>
            </w:pPr>
            <w:r>
              <w:t>2.01</w:t>
            </w:r>
          </w:p>
        </w:tc>
      </w:tr>
      <w:tr w:rsidR="00805009" w14:paraId="58BC557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91CD05" w14:textId="77777777" w:rsidR="00805009" w:rsidRDefault="00000000">
            <w:pPr>
              <w:jc w:val="center"/>
            </w:pPr>
            <w:r>
              <w:lastRenderedPageBreak/>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72FD13" w14:textId="77777777" w:rsidR="00805009" w:rsidRDefault="00000000">
            <w:pPr>
              <w:jc w:val="center"/>
            </w:pPr>
            <w:r>
              <w:t>0.3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263ADF3" w14:textId="77777777" w:rsidR="00805009" w:rsidRDefault="00000000">
            <w:pPr>
              <w:jc w:val="center"/>
            </w:pPr>
            <w:r>
              <w:t>0.63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5151A46" w14:textId="77777777" w:rsidR="00805009" w:rsidRDefault="00000000">
            <w:pPr>
              <w:jc w:val="center"/>
            </w:pPr>
            <w:r>
              <w:t>0.84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59D9E7D" w14:textId="77777777" w:rsidR="00805009" w:rsidRDefault="00000000">
            <w:pPr>
              <w:jc w:val="center"/>
            </w:pPr>
            <w:r>
              <w:t>1.44</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AD5D795" w14:textId="77777777" w:rsidR="00805009" w:rsidRDefault="00000000">
            <w:pPr>
              <w:jc w:val="center"/>
            </w:pPr>
            <w:r>
              <w:t>1.36</w:t>
            </w:r>
          </w:p>
        </w:tc>
      </w:tr>
      <w:tr w:rsidR="00805009" w14:paraId="67208B6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82E2B" w14:textId="77777777" w:rsidR="00805009"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800355" w14:textId="77777777" w:rsidR="00805009"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60CBA4F" w14:textId="77777777" w:rsidR="00805009" w:rsidRDefault="00000000">
            <w:pPr>
              <w:jc w:val="center"/>
            </w:pPr>
            <w:r>
              <w:t>0.87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15427CB" w14:textId="77777777" w:rsidR="00805009" w:rsidRDefault="00000000">
            <w:pPr>
              <w:jc w:val="center"/>
            </w:pPr>
            <w:r>
              <w:t>1.17</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48747FA" w14:textId="77777777" w:rsidR="00805009" w:rsidRDefault="00000000">
            <w:pPr>
              <w:jc w:val="center"/>
            </w:pPr>
            <w:r>
              <w:t>1.31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4E10243" w14:textId="77777777" w:rsidR="00805009" w:rsidRDefault="00000000">
            <w:pPr>
              <w:jc w:val="center"/>
            </w:pPr>
            <w:r>
              <w:t>1.24</w:t>
            </w:r>
          </w:p>
        </w:tc>
      </w:tr>
      <w:tr w:rsidR="00805009" w14:paraId="7E66625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10CC7" w14:textId="77777777" w:rsidR="00805009"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41757" w14:textId="77777777" w:rsidR="00805009"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32057C5" w14:textId="77777777" w:rsidR="00805009"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D4015F" w14:textId="77777777" w:rsidR="00805009" w:rsidRDefault="00000000">
            <w:pPr>
              <w:jc w:val="center"/>
            </w:pPr>
            <w:r>
              <w:t>1.57</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2458D6D" w14:textId="77777777" w:rsidR="00805009" w:rsidRDefault="00000000">
            <w:pPr>
              <w:jc w:val="center"/>
            </w:pPr>
            <w:r>
              <w:t>1.82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14F6870" w14:textId="77777777" w:rsidR="00805009" w:rsidRDefault="00000000">
            <w:pPr>
              <w:jc w:val="center"/>
            </w:pPr>
            <w:r>
              <w:t>1.73</w:t>
            </w:r>
          </w:p>
        </w:tc>
      </w:tr>
      <w:tr w:rsidR="00805009" w14:paraId="087035D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83CD0" w14:textId="77777777" w:rsidR="00805009"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1C5DC" w14:textId="77777777" w:rsidR="00805009" w:rsidRDefault="00000000">
            <w:pPr>
              <w:jc w:val="center"/>
            </w:pPr>
            <w:r>
              <w:t>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B308202" w14:textId="77777777" w:rsidR="00805009" w:rsidRDefault="00000000">
            <w:pPr>
              <w:jc w:val="center"/>
            </w:pPr>
            <w:r>
              <w:t>0.94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EF84E95" w14:textId="77777777" w:rsidR="00805009" w:rsidRDefault="00000000">
            <w:pPr>
              <w:jc w:val="center"/>
            </w:pPr>
            <w:r>
              <w:t>1.26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6EB8B62" w14:textId="77777777" w:rsidR="00805009" w:rsidRDefault="00000000">
            <w:pPr>
              <w:jc w:val="center"/>
            </w:pPr>
            <w:r>
              <w:t>1.52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54F25F6" w14:textId="77777777" w:rsidR="00805009" w:rsidRDefault="00000000">
            <w:pPr>
              <w:jc w:val="center"/>
            </w:pPr>
            <w:r>
              <w:t>1.45</w:t>
            </w:r>
          </w:p>
        </w:tc>
      </w:tr>
      <w:tr w:rsidR="00805009" w14:paraId="1C30C4C3"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E7363" w14:textId="77777777" w:rsidR="00805009"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2D8797" w14:textId="77777777" w:rsidR="00805009"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7B7718B" w14:textId="77777777" w:rsidR="00805009" w:rsidRDefault="00000000">
            <w:pPr>
              <w:jc w:val="center"/>
            </w:pPr>
            <w:r>
              <w:t>1.11</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38B921F" w14:textId="77777777" w:rsidR="00805009" w:rsidRDefault="00000000">
            <w:pPr>
              <w:jc w:val="center"/>
            </w:pPr>
            <w:r>
              <w:t>1.48</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C71AB0B" w14:textId="77777777" w:rsidR="00805009" w:rsidRDefault="00000000">
            <w:pPr>
              <w:jc w:val="center"/>
            </w:pPr>
            <w:r>
              <w:t>1.78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FBBA188" w14:textId="77777777" w:rsidR="00805009" w:rsidRDefault="00000000">
            <w:pPr>
              <w:jc w:val="center"/>
            </w:pPr>
            <w:r>
              <w:t>1.71</w:t>
            </w:r>
          </w:p>
        </w:tc>
      </w:tr>
      <w:tr w:rsidR="00805009" w14:paraId="608489B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924F7" w14:textId="77777777" w:rsidR="00805009"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BCD15" w14:textId="77777777" w:rsidR="00805009"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9C75EB1" w14:textId="77777777" w:rsidR="00805009" w:rsidRDefault="00000000">
            <w:pPr>
              <w:jc w:val="center"/>
            </w:pPr>
            <w:r>
              <w:t>1.00</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08891C2" w14:textId="77777777" w:rsidR="00805009" w:rsidRDefault="00000000">
            <w:pPr>
              <w:jc w:val="center"/>
            </w:pPr>
            <w:r>
              <w:t>1.42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24C70B5" w14:textId="77777777" w:rsidR="00805009" w:rsidRDefault="00000000">
            <w:pPr>
              <w:jc w:val="center"/>
            </w:pPr>
            <w:r>
              <w:t>1.09</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98C9031" w14:textId="77777777" w:rsidR="00805009" w:rsidRDefault="00000000">
            <w:pPr>
              <w:jc w:val="center"/>
            </w:pPr>
            <w:r>
              <w:t>1.50</w:t>
            </w:r>
          </w:p>
        </w:tc>
      </w:tr>
      <w:tr w:rsidR="00805009" w14:paraId="69731F4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4B448" w14:textId="77777777" w:rsidR="00805009"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516D4" w14:textId="77777777" w:rsidR="00805009"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C69B9B4" w14:textId="77777777" w:rsidR="00805009"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F05FD70" w14:textId="77777777" w:rsidR="00805009" w:rsidRDefault="00000000">
            <w:pPr>
              <w:jc w:val="center"/>
            </w:pPr>
            <w:r>
              <w:t>1.54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D8A3BA" w14:textId="77777777" w:rsidR="00805009" w:rsidRDefault="00000000">
            <w:pPr>
              <w:jc w:val="center"/>
            </w:pPr>
            <w:r>
              <w:t>1.38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90E0218" w14:textId="77777777" w:rsidR="00805009" w:rsidRDefault="00000000">
            <w:pPr>
              <w:jc w:val="center"/>
            </w:pPr>
            <w:r>
              <w:t>1.92</w:t>
            </w:r>
          </w:p>
        </w:tc>
      </w:tr>
      <w:tr w:rsidR="00805009" w14:paraId="5300F62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847284" w14:textId="77777777" w:rsidR="00805009"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29E580" w14:textId="77777777" w:rsidR="00805009" w:rsidRDefault="00000000">
            <w:pPr>
              <w:jc w:val="center"/>
            </w:pPr>
            <w:r>
              <w:t>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6565E82" w14:textId="77777777" w:rsidR="00805009" w:rsidRDefault="00000000">
            <w:pPr>
              <w:jc w:val="center"/>
            </w:pPr>
            <w:r>
              <w:t>1.34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A745BBF" w14:textId="77777777" w:rsidR="00805009" w:rsidRDefault="00000000">
            <w:pPr>
              <w:jc w:val="center"/>
            </w:pPr>
            <w:r>
              <w:t>1.94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F082E9" w14:textId="77777777" w:rsidR="00805009" w:rsidRDefault="00000000">
            <w:pPr>
              <w:jc w:val="center"/>
            </w:pPr>
            <w:r>
              <w:t>1.56</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1DAD3EC" w14:textId="77777777" w:rsidR="00805009" w:rsidRDefault="00000000">
            <w:pPr>
              <w:jc w:val="center"/>
            </w:pPr>
            <w:r>
              <w:t>2.44</w:t>
            </w:r>
          </w:p>
        </w:tc>
      </w:tr>
      <w:tr w:rsidR="00805009" w14:paraId="1E7B933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F0F656" w14:textId="77777777" w:rsidR="00805009"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2720DA" w14:textId="77777777" w:rsidR="00805009" w:rsidRDefault="00000000">
            <w:pPr>
              <w:jc w:val="center"/>
            </w:pPr>
            <w:r>
              <w:t>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9241C59" w14:textId="77777777" w:rsidR="00805009" w:rsidRDefault="00000000">
            <w:pPr>
              <w:jc w:val="center"/>
            </w:pPr>
            <w:r>
              <w:t>1.28</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9602AF1" w14:textId="77777777" w:rsidR="00805009" w:rsidRDefault="00000000">
            <w:pPr>
              <w:jc w:val="center"/>
            </w:pPr>
            <w:r>
              <w:t>1.86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95C4AA1" w14:textId="77777777" w:rsidR="00805009" w:rsidRDefault="00000000">
            <w:pPr>
              <w:jc w:val="center"/>
            </w:pPr>
            <w:r>
              <w:t>1.61</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4A7A542" w14:textId="77777777" w:rsidR="00805009" w:rsidRDefault="00000000">
            <w:pPr>
              <w:jc w:val="center"/>
            </w:pPr>
            <w:r>
              <w:t>2.53</w:t>
            </w:r>
          </w:p>
        </w:tc>
      </w:tr>
      <w:tr w:rsidR="00805009" w14:paraId="7FFF6FD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C8932" w14:textId="77777777" w:rsidR="00805009"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7E436" w14:textId="77777777" w:rsidR="00805009"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BAA311" w14:textId="77777777" w:rsidR="00805009"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0E868A" w14:textId="77777777" w:rsidR="00805009" w:rsidRDefault="00000000">
            <w:pPr>
              <w:jc w:val="center"/>
            </w:pPr>
            <w:r>
              <w:t>1.49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A4C1AEC" w14:textId="77777777" w:rsidR="00805009" w:rsidRDefault="00000000">
            <w:pPr>
              <w:jc w:val="center"/>
            </w:pPr>
            <w:r>
              <w:t>1.32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4B1B1D2" w14:textId="77777777" w:rsidR="00805009" w:rsidRDefault="00000000">
            <w:pPr>
              <w:jc w:val="center"/>
            </w:pPr>
            <w:r>
              <w:t>1.82</w:t>
            </w:r>
          </w:p>
        </w:tc>
      </w:tr>
      <w:tr w:rsidR="00805009" w14:paraId="5A46728A"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72B845" w14:textId="77777777" w:rsidR="00805009"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3D9DA" w14:textId="77777777" w:rsidR="00805009"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1D994F2C" w14:textId="77777777" w:rsidR="00805009" w:rsidRDefault="00000000">
            <w:pPr>
              <w:jc w:val="center"/>
            </w:pPr>
            <w:r>
              <w:t>2.39</w:t>
            </w:r>
          </w:p>
        </w:tc>
        <w:tc>
          <w:tcPr>
            <w:tcW w:w="1614"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1D7F0FB2" w14:textId="77777777" w:rsidR="00805009" w:rsidRDefault="00000000">
            <w:pPr>
              <w:jc w:val="center"/>
            </w:pPr>
            <w:r>
              <w:t>3.46</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E89E8CC" w14:textId="77777777" w:rsidR="00805009" w:rsidRDefault="00000000">
            <w:pPr>
              <w:jc w:val="center"/>
            </w:pPr>
            <w:r>
              <w:t>2.11</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BB4985F" w14:textId="77777777" w:rsidR="00805009" w:rsidRDefault="00000000">
            <w:pPr>
              <w:jc w:val="center"/>
            </w:pPr>
            <w:r>
              <w:t>3.37</w:t>
            </w:r>
          </w:p>
        </w:tc>
      </w:tr>
      <w:tr w:rsidR="00805009" w14:paraId="1F9F22F5"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5060D" w14:textId="77777777" w:rsidR="00805009" w:rsidRDefault="00000000">
            <w:pPr>
              <w:pStyle w:val="TableContents"/>
              <w:jc w:val="center"/>
              <w:rPr>
                <w:rFonts w:ascii="Arial" w:hAnsi="Arial"/>
                <w:sz w:val="20"/>
              </w:rPr>
            </w:pPr>
            <w:r>
              <w:rPr>
                <w:rFonts w:ascii="Arial" w:hAnsi="Arial"/>
                <w:sz w:val="20"/>
              </w:rPr>
              <w:t>Pembrolizumab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E60C78" w14:textId="77777777" w:rsidR="00805009" w:rsidRDefault="00000000">
            <w:pPr>
              <w:pStyle w:val="TableContents"/>
              <w:jc w:val="center"/>
              <w:rPr>
                <w:rFonts w:ascii="Arial" w:hAnsi="Arial"/>
                <w:sz w:val="20"/>
              </w:rPr>
            </w:pPr>
            <w:r>
              <w:rPr>
                <w:rFonts w:ascii="Arial" w:hAnsi="Arial"/>
                <w:sz w:val="20"/>
              </w:rPr>
              <w:t>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8793913" w14:textId="77777777" w:rsidR="00805009" w:rsidRDefault="00000000">
            <w:pPr>
              <w:pStyle w:val="TableContents"/>
              <w:jc w:val="center"/>
              <w:rPr>
                <w:rFonts w:ascii="Arial" w:hAnsi="Arial"/>
                <w:sz w:val="20"/>
              </w:rPr>
            </w:pPr>
            <w:r>
              <w:rPr>
                <w:rFonts w:ascii="Arial" w:hAnsi="Arial"/>
                <w:sz w:val="20"/>
              </w:rPr>
              <w:t>1.03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D8F73CF" w14:textId="77777777" w:rsidR="00805009" w:rsidRDefault="00000000">
            <w:pPr>
              <w:pStyle w:val="TableContents"/>
              <w:jc w:val="center"/>
              <w:rPr>
                <w:rFonts w:ascii="Arial" w:hAnsi="Arial"/>
                <w:sz w:val="20"/>
              </w:rPr>
            </w:pPr>
            <w:r>
              <w:rPr>
                <w:rFonts w:ascii="Arial" w:hAnsi="Arial"/>
                <w:sz w:val="20"/>
              </w:rPr>
              <w:t>1.13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5A80DF" w14:textId="77777777" w:rsidR="00805009" w:rsidRDefault="00000000">
            <w:pPr>
              <w:pStyle w:val="TableContents"/>
              <w:jc w:val="center"/>
              <w:rPr>
                <w:rFonts w:ascii="Arial" w:hAnsi="Arial"/>
                <w:sz w:val="20"/>
              </w:rPr>
            </w:pPr>
            <w:r>
              <w:rPr>
                <w:rFonts w:ascii="Arial" w:hAnsi="Arial"/>
                <w:sz w:val="20"/>
              </w:rPr>
              <w:t>1.27</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20EDF73" w14:textId="77777777" w:rsidR="00805009" w:rsidRDefault="00000000">
            <w:pPr>
              <w:pStyle w:val="TableContents"/>
              <w:jc w:val="center"/>
              <w:rPr>
                <w:rFonts w:ascii="Arial" w:hAnsi="Arial"/>
                <w:sz w:val="20"/>
              </w:rPr>
            </w:pPr>
            <w:r>
              <w:rPr>
                <w:rFonts w:ascii="Arial" w:hAnsi="Arial"/>
                <w:sz w:val="20"/>
              </w:rPr>
              <w:t>0.99</w:t>
            </w:r>
          </w:p>
        </w:tc>
      </w:tr>
      <w:tr w:rsidR="00805009" w14:paraId="1E092BC2" w14:textId="77777777">
        <w:trPr>
          <w:trHeight w:val="497"/>
        </w:trPr>
        <w:tc>
          <w:tcPr>
            <w:tcW w:w="2173" w:type="dxa"/>
            <w:tcBorders>
              <w:left w:val="single" w:sz="4" w:space="0" w:color="000000"/>
              <w:bottom w:val="single" w:sz="4" w:space="0" w:color="000000"/>
              <w:right w:val="single" w:sz="4" w:space="0" w:color="000000"/>
            </w:tcBorders>
            <w:shd w:val="clear" w:color="auto" w:fill="FFFFFF"/>
            <w:vAlign w:val="center"/>
          </w:tcPr>
          <w:p w14:paraId="370CE539" w14:textId="77777777" w:rsidR="00805009" w:rsidRDefault="00000000">
            <w:pPr>
              <w:pStyle w:val="TableContents"/>
              <w:jc w:val="center"/>
              <w:rPr>
                <w:rFonts w:ascii="Arial" w:hAnsi="Arial"/>
                <w:sz w:val="20"/>
              </w:rPr>
            </w:pPr>
            <w:r>
              <w:rPr>
                <w:rFonts w:ascii="Arial" w:hAnsi="Arial"/>
                <w:sz w:val="20"/>
              </w:rPr>
              <w:t>Pembrolizumab</w:t>
            </w:r>
          </w:p>
        </w:tc>
        <w:tc>
          <w:tcPr>
            <w:tcW w:w="1529" w:type="dxa"/>
            <w:tcBorders>
              <w:left w:val="single" w:sz="4" w:space="0" w:color="000000"/>
              <w:bottom w:val="single" w:sz="4" w:space="0" w:color="000000"/>
              <w:right w:val="single" w:sz="4" w:space="0" w:color="000000"/>
            </w:tcBorders>
            <w:shd w:val="clear" w:color="auto" w:fill="FFFFFF"/>
            <w:vAlign w:val="center"/>
          </w:tcPr>
          <w:p w14:paraId="04C29BD8" w14:textId="77777777" w:rsidR="00805009" w:rsidRDefault="00000000">
            <w:pPr>
              <w:pStyle w:val="TableContents"/>
              <w:jc w:val="center"/>
              <w:rPr>
                <w:rFonts w:ascii="Arial" w:hAnsi="Arial"/>
                <w:sz w:val="20"/>
              </w:rPr>
            </w:pPr>
            <w:r>
              <w:rPr>
                <w:rFonts w:ascii="Arial" w:hAnsi="Arial"/>
                <w:sz w:val="20"/>
              </w:rPr>
              <w:t>10</w:t>
            </w:r>
          </w:p>
        </w:tc>
        <w:tc>
          <w:tcPr>
            <w:tcW w:w="1613" w:type="dxa"/>
            <w:tcBorders>
              <w:left w:val="single" w:sz="4" w:space="0" w:color="000000"/>
              <w:bottom w:val="single" w:sz="4" w:space="0" w:color="000000"/>
              <w:right w:val="single" w:sz="4" w:space="0" w:color="000000"/>
            </w:tcBorders>
            <w:shd w:val="clear" w:color="auto" w:fill="E2F0D9"/>
            <w:vAlign w:val="center"/>
          </w:tcPr>
          <w:p w14:paraId="38E162AB" w14:textId="77777777" w:rsidR="00805009" w:rsidRDefault="00000000">
            <w:pPr>
              <w:pStyle w:val="TableContents"/>
              <w:jc w:val="center"/>
              <w:rPr>
                <w:rFonts w:ascii="Arial" w:hAnsi="Arial"/>
                <w:sz w:val="20"/>
              </w:rPr>
            </w:pPr>
            <w:r>
              <w:rPr>
                <w:rFonts w:ascii="Arial" w:hAnsi="Arial"/>
                <w:sz w:val="20"/>
              </w:rPr>
              <w:t>1.02</w:t>
            </w:r>
          </w:p>
        </w:tc>
        <w:tc>
          <w:tcPr>
            <w:tcW w:w="1614" w:type="dxa"/>
            <w:tcBorders>
              <w:left w:val="single" w:sz="4" w:space="0" w:color="000000"/>
              <w:bottom w:val="single" w:sz="4" w:space="0" w:color="000000"/>
              <w:right w:val="single" w:sz="4" w:space="0" w:color="000000"/>
            </w:tcBorders>
            <w:shd w:val="clear" w:color="auto" w:fill="E2F0D9"/>
            <w:vAlign w:val="center"/>
          </w:tcPr>
          <w:p w14:paraId="3993129D" w14:textId="77777777" w:rsidR="00805009" w:rsidRDefault="00000000">
            <w:pPr>
              <w:pStyle w:val="TableContents"/>
              <w:jc w:val="center"/>
              <w:rPr>
                <w:rFonts w:ascii="Arial" w:hAnsi="Arial"/>
                <w:sz w:val="20"/>
              </w:rPr>
            </w:pPr>
            <w:r>
              <w:rPr>
                <w:rFonts w:ascii="Arial" w:hAnsi="Arial"/>
                <w:sz w:val="20"/>
              </w:rPr>
              <w:t>1.11</w:t>
            </w:r>
          </w:p>
        </w:tc>
        <w:tc>
          <w:tcPr>
            <w:tcW w:w="1613" w:type="dxa"/>
            <w:tcBorders>
              <w:left w:val="single" w:sz="4" w:space="0" w:color="000000"/>
              <w:bottom w:val="single" w:sz="4" w:space="0" w:color="000000"/>
              <w:right w:val="single" w:sz="4" w:space="0" w:color="000000"/>
            </w:tcBorders>
            <w:shd w:val="clear" w:color="auto" w:fill="E2F0D9"/>
            <w:vAlign w:val="center"/>
          </w:tcPr>
          <w:p w14:paraId="5A3DD85E" w14:textId="77777777" w:rsidR="00805009" w:rsidRDefault="00000000">
            <w:pPr>
              <w:pStyle w:val="TableContents"/>
              <w:jc w:val="center"/>
              <w:rPr>
                <w:rFonts w:ascii="Arial" w:hAnsi="Arial"/>
                <w:sz w:val="20"/>
              </w:rPr>
            </w:pPr>
            <w:r>
              <w:rPr>
                <w:rFonts w:ascii="Arial" w:hAnsi="Arial"/>
                <w:sz w:val="20"/>
              </w:rPr>
              <w:t>1.41</w:t>
            </w:r>
          </w:p>
        </w:tc>
        <w:tc>
          <w:tcPr>
            <w:tcW w:w="1615" w:type="dxa"/>
            <w:tcBorders>
              <w:left w:val="single" w:sz="4" w:space="0" w:color="000000"/>
              <w:bottom w:val="single" w:sz="4" w:space="0" w:color="000000"/>
              <w:right w:val="single" w:sz="4" w:space="0" w:color="000000"/>
            </w:tcBorders>
            <w:shd w:val="clear" w:color="auto" w:fill="E2F0D9"/>
            <w:vAlign w:val="center"/>
          </w:tcPr>
          <w:p w14:paraId="11A264FE" w14:textId="77777777" w:rsidR="00805009" w:rsidRDefault="00000000">
            <w:pPr>
              <w:pStyle w:val="TableContents"/>
              <w:jc w:val="center"/>
              <w:rPr>
                <w:rFonts w:ascii="Arial" w:hAnsi="Arial"/>
                <w:sz w:val="20"/>
              </w:rPr>
            </w:pPr>
            <w:r>
              <w:rPr>
                <w:rFonts w:ascii="Arial" w:hAnsi="Arial"/>
                <w:sz w:val="20"/>
              </w:rPr>
              <w:t>1.10</w:t>
            </w:r>
          </w:p>
        </w:tc>
      </w:tr>
      <w:tr w:rsidR="00805009" w14:paraId="085CBAA1" w14:textId="77777777">
        <w:trPr>
          <w:trHeight w:val="497"/>
        </w:trPr>
        <w:tc>
          <w:tcPr>
            <w:tcW w:w="2173" w:type="dxa"/>
            <w:tcBorders>
              <w:left w:val="single" w:sz="4" w:space="0" w:color="000000"/>
              <w:bottom w:val="single" w:sz="4" w:space="0" w:color="000000"/>
              <w:right w:val="single" w:sz="4" w:space="0" w:color="000000"/>
            </w:tcBorders>
            <w:shd w:val="clear" w:color="auto" w:fill="FFFFFF"/>
            <w:vAlign w:val="center"/>
          </w:tcPr>
          <w:p w14:paraId="60E06FE4" w14:textId="77777777" w:rsidR="00805009" w:rsidRDefault="00000000">
            <w:pPr>
              <w:jc w:val="center"/>
            </w:pPr>
            <w:r>
              <w:t>Tocilizumab</w:t>
            </w:r>
          </w:p>
        </w:tc>
        <w:tc>
          <w:tcPr>
            <w:tcW w:w="1529" w:type="dxa"/>
            <w:tcBorders>
              <w:left w:val="single" w:sz="4" w:space="0" w:color="000000"/>
              <w:bottom w:val="single" w:sz="4" w:space="0" w:color="000000"/>
              <w:right w:val="single" w:sz="4" w:space="0" w:color="000000"/>
            </w:tcBorders>
            <w:shd w:val="clear" w:color="auto" w:fill="FFFFFF"/>
            <w:vAlign w:val="center"/>
          </w:tcPr>
          <w:p w14:paraId="1D31636F" w14:textId="77777777" w:rsidR="00805009" w:rsidRDefault="00000000">
            <w:pPr>
              <w:jc w:val="center"/>
            </w:pPr>
            <w:r>
              <w:t>8</w:t>
            </w:r>
          </w:p>
        </w:tc>
        <w:tc>
          <w:tcPr>
            <w:tcW w:w="1613" w:type="dxa"/>
            <w:tcBorders>
              <w:left w:val="single" w:sz="4" w:space="0" w:color="000000"/>
              <w:bottom w:val="single" w:sz="4" w:space="0" w:color="000000"/>
              <w:right w:val="single" w:sz="4" w:space="0" w:color="000000"/>
            </w:tcBorders>
            <w:shd w:val="clear" w:color="auto" w:fill="E2F0D9"/>
            <w:vAlign w:val="center"/>
          </w:tcPr>
          <w:p w14:paraId="0AC0587E" w14:textId="77777777" w:rsidR="00805009" w:rsidRDefault="00000000">
            <w:pPr>
              <w:jc w:val="center"/>
            </w:pPr>
            <w:r>
              <w:t>0.51</w:t>
            </w:r>
          </w:p>
        </w:tc>
        <w:tc>
          <w:tcPr>
            <w:tcW w:w="1614" w:type="dxa"/>
            <w:tcBorders>
              <w:left w:val="single" w:sz="4" w:space="0" w:color="000000"/>
              <w:bottom w:val="single" w:sz="4" w:space="0" w:color="000000"/>
              <w:right w:val="single" w:sz="4" w:space="0" w:color="000000"/>
            </w:tcBorders>
            <w:shd w:val="clear" w:color="auto" w:fill="E2F0D9"/>
            <w:vAlign w:val="center"/>
          </w:tcPr>
          <w:p w14:paraId="100F91F9" w14:textId="77777777" w:rsidR="00805009" w:rsidRDefault="00000000">
            <w:pPr>
              <w:jc w:val="center"/>
            </w:pPr>
            <w:r>
              <w:t>0.61</w:t>
            </w:r>
          </w:p>
        </w:tc>
        <w:tc>
          <w:tcPr>
            <w:tcW w:w="1613" w:type="dxa"/>
            <w:tcBorders>
              <w:left w:val="single" w:sz="4" w:space="0" w:color="000000"/>
              <w:bottom w:val="single" w:sz="4" w:space="0" w:color="000000"/>
              <w:right w:val="single" w:sz="4" w:space="0" w:color="000000"/>
            </w:tcBorders>
            <w:shd w:val="clear" w:color="auto" w:fill="E2F0D9"/>
            <w:vAlign w:val="center"/>
          </w:tcPr>
          <w:p w14:paraId="405FB9C6" w14:textId="77777777" w:rsidR="00805009" w:rsidRDefault="00000000">
            <w:pPr>
              <w:jc w:val="center"/>
            </w:pPr>
            <w:r>
              <w:t>0.71</w:t>
            </w:r>
          </w:p>
        </w:tc>
        <w:tc>
          <w:tcPr>
            <w:tcW w:w="1615" w:type="dxa"/>
            <w:tcBorders>
              <w:left w:val="single" w:sz="4" w:space="0" w:color="000000"/>
              <w:bottom w:val="single" w:sz="4" w:space="0" w:color="000000"/>
              <w:right w:val="single" w:sz="4" w:space="0" w:color="000000"/>
            </w:tcBorders>
            <w:shd w:val="clear" w:color="auto" w:fill="E2F0D9"/>
            <w:vAlign w:val="center"/>
          </w:tcPr>
          <w:p w14:paraId="3366C33D" w14:textId="77777777" w:rsidR="00805009" w:rsidRDefault="00000000">
            <w:pPr>
              <w:jc w:val="center"/>
            </w:pPr>
            <w:r>
              <w:t>0.57</w:t>
            </w:r>
          </w:p>
        </w:tc>
      </w:tr>
    </w:tbl>
    <w:p w14:paraId="68706031" w14:textId="77777777" w:rsidR="00805009" w:rsidRDefault="00805009"/>
    <w:p w14:paraId="3A27305C" w14:textId="77777777" w:rsidR="00805009" w:rsidRDefault="00805009">
      <w:pPr>
        <w:spacing w:after="0" w:line="240" w:lineRule="auto"/>
        <w:jc w:val="left"/>
        <w:rPr>
          <w:rFonts w:asciiTheme="majorHAnsi" w:eastAsiaTheme="majorEastAsia" w:hAnsiTheme="majorHAnsi" w:cstheme="majorBidi"/>
          <w:b/>
          <w:sz w:val="40"/>
          <w:szCs w:val="40"/>
        </w:rPr>
      </w:pPr>
    </w:p>
    <w:p w14:paraId="0C771D3B" w14:textId="77777777" w:rsidR="00805009" w:rsidRDefault="00000000">
      <w:pPr>
        <w:spacing w:after="0" w:line="240" w:lineRule="auto"/>
        <w:jc w:val="left"/>
        <w:rPr>
          <w:rFonts w:asciiTheme="majorHAnsi" w:eastAsiaTheme="majorEastAsia" w:hAnsiTheme="majorHAnsi" w:cstheme="majorBidi"/>
          <w:b/>
          <w:sz w:val="40"/>
          <w:szCs w:val="40"/>
        </w:rPr>
      </w:pPr>
      <w:r>
        <w:br w:type="page"/>
      </w:r>
    </w:p>
    <w:p w14:paraId="50A911D0" w14:textId="77777777" w:rsidR="00805009" w:rsidRDefault="00000000">
      <w:pPr>
        <w:pStyle w:val="Heading1"/>
        <w:spacing w:before="0"/>
      </w:pPr>
      <w:r>
        <w:lastRenderedPageBreak/>
        <w:t>Supplementary Materials</w:t>
      </w:r>
    </w:p>
    <w:p w14:paraId="011D26F1" w14:textId="77777777" w:rsidR="00805009" w:rsidRDefault="00000000">
      <w:r>
        <w:t>Supplementary Material 1. See attached</w:t>
      </w:r>
    </w:p>
    <w:p w14:paraId="566B9EE0" w14:textId="3898B0A6" w:rsidR="00805009" w:rsidRDefault="00000000">
      <w:r>
        <w:t xml:space="preserve">Supplementary Material 2. </w:t>
      </w:r>
      <w:r w:rsidR="00FE2EFA">
        <w:t xml:space="preserve">All digitized data, model files, and R scripts are available at: </w:t>
      </w:r>
      <w:r w:rsidR="002F4C95" w:rsidRPr="002F4C95">
        <w:t>https://github.com/namlink-org/APriori_PBPK_mAb</w:t>
      </w:r>
    </w:p>
    <w:sectPr w:rsidR="00805009">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009"/>
    <w:rsid w:val="002560F2"/>
    <w:rsid w:val="002F4C95"/>
    <w:rsid w:val="0065249C"/>
    <w:rsid w:val="00805009"/>
    <w:rsid w:val="00C64EFB"/>
    <w:rsid w:val="00F044C2"/>
    <w:rsid w:val="00FE2EF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36D1"/>
  <w15:docId w15:val="{DCFFE42D-02BF-4326-9A44-4028DB1DA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181"/>
    <w:pPr>
      <w:spacing w:after="160" w:line="276" w:lineRule="auto"/>
      <w:jc w:val="both"/>
    </w:pPr>
  </w:style>
  <w:style w:type="paragraph" w:styleId="Heading1">
    <w:name w:val="heading 1"/>
    <w:basedOn w:val="Normal"/>
    <w:next w:val="Normal"/>
    <w:link w:val="Heading1Char"/>
    <w:uiPriority w:val="9"/>
    <w:qFormat/>
    <w:rsid w:val="005B7C2F"/>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Heading1"/>
    <w:next w:val="Normal"/>
    <w:link w:val="Heading2Char"/>
    <w:uiPriority w:val="9"/>
    <w:unhideWhenUsed/>
    <w:qFormat/>
    <w:rsid w:val="00AD212E"/>
    <w:pPr>
      <w:spacing w:before="16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B7C2F"/>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qFormat/>
    <w:rsid w:val="00AD212E"/>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qFormat/>
    <w:rsid w:val="00DF2092"/>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qFormat/>
    <w:rsid w:val="00A76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76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7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7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7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764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764AC"/>
    <w:rPr>
      <w:rFonts w:asciiTheme="majorHAnsi" w:eastAsiaTheme="majorEastAsia" w:hAnsiTheme="majorHAnsi" w:cstheme="majorBidi"/>
      <w:b/>
      <w:spacing w:val="-10"/>
      <w:kern w:val="2"/>
      <w:sz w:val="44"/>
      <w:szCs w:val="56"/>
    </w:rPr>
  </w:style>
  <w:style w:type="character" w:customStyle="1" w:styleId="SubtitleChar">
    <w:name w:val="Subtitle Char"/>
    <w:basedOn w:val="DefaultParagraphFont"/>
    <w:link w:val="Subtitle"/>
    <w:uiPriority w:val="11"/>
    <w:qFormat/>
    <w:rsid w:val="00A764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764AC"/>
    <w:rPr>
      <w:i/>
      <w:iCs/>
      <w:color w:val="404040" w:themeColor="text1" w:themeTint="BF"/>
    </w:rPr>
  </w:style>
  <w:style w:type="character" w:styleId="IntenseEmphasis">
    <w:name w:val="Intense Emphasis"/>
    <w:basedOn w:val="DefaultParagraphFont"/>
    <w:uiPriority w:val="21"/>
    <w:qFormat/>
    <w:rsid w:val="00A764AC"/>
    <w:rPr>
      <w:i/>
      <w:iCs/>
      <w:color w:val="0F4761" w:themeColor="accent1" w:themeShade="BF"/>
    </w:rPr>
  </w:style>
  <w:style w:type="character" w:customStyle="1" w:styleId="IntenseQuoteChar">
    <w:name w:val="Intense Quote Char"/>
    <w:basedOn w:val="DefaultParagraphFont"/>
    <w:link w:val="IntenseQuote"/>
    <w:uiPriority w:val="30"/>
    <w:qFormat/>
    <w:rsid w:val="00A764AC"/>
    <w:rPr>
      <w:i/>
      <w:iCs/>
      <w:color w:val="0F4761" w:themeColor="accent1" w:themeShade="BF"/>
    </w:rPr>
  </w:style>
  <w:style w:type="character" w:styleId="IntenseReference">
    <w:name w:val="Intense Reference"/>
    <w:basedOn w:val="DefaultParagraphFont"/>
    <w:uiPriority w:val="32"/>
    <w:qFormat/>
    <w:rsid w:val="00A764AC"/>
    <w:rPr>
      <w:b/>
      <w:bCs/>
      <w:smallCaps/>
      <w:color w:val="0F4761" w:themeColor="accent1" w:themeShade="BF"/>
      <w:spacing w:val="5"/>
    </w:rPr>
  </w:style>
  <w:style w:type="character" w:styleId="Hyperlink">
    <w:name w:val="Hyperlink"/>
    <w:basedOn w:val="DefaultParagraphFont"/>
    <w:uiPriority w:val="99"/>
    <w:unhideWhenUsed/>
    <w:rsid w:val="000C05B2"/>
    <w:rPr>
      <w:color w:val="467886" w:themeColor="hyperlink"/>
      <w:u w:val="single"/>
    </w:rPr>
  </w:style>
  <w:style w:type="character" w:styleId="UnresolvedMention">
    <w:name w:val="Unresolved Mention"/>
    <w:basedOn w:val="DefaultParagraphFont"/>
    <w:uiPriority w:val="99"/>
    <w:semiHidden/>
    <w:unhideWhenUsed/>
    <w:qFormat/>
    <w:rsid w:val="000C05B2"/>
    <w:rPr>
      <w:color w:val="605E5C"/>
      <w:shd w:val="clear" w:color="auto" w:fill="E1DFDD"/>
    </w:rPr>
  </w:style>
  <w:style w:type="character" w:styleId="FollowedHyperlink">
    <w:name w:val="FollowedHyperlink"/>
    <w:basedOn w:val="DefaultParagraphFont"/>
    <w:uiPriority w:val="99"/>
    <w:semiHidden/>
    <w:unhideWhenUsed/>
    <w:rsid w:val="000C05B2"/>
    <w:rPr>
      <w:color w:val="96607D" w:themeColor="followedHyperlink"/>
      <w:u w:val="single"/>
    </w:rPr>
  </w:style>
  <w:style w:type="character" w:styleId="CommentReference">
    <w:name w:val="annotation reference"/>
    <w:basedOn w:val="DefaultParagraphFont"/>
    <w:uiPriority w:val="99"/>
    <w:semiHidden/>
    <w:unhideWhenUsed/>
    <w:qFormat/>
    <w:rsid w:val="00903B21"/>
    <w:rPr>
      <w:sz w:val="16"/>
      <w:szCs w:val="16"/>
    </w:rPr>
  </w:style>
  <w:style w:type="character" w:customStyle="1" w:styleId="CommentTextChar">
    <w:name w:val="Comment Text Char"/>
    <w:basedOn w:val="DefaultParagraphFont"/>
    <w:link w:val="CommentText"/>
    <w:uiPriority w:val="99"/>
    <w:qFormat/>
    <w:rsid w:val="00903B21"/>
    <w:rPr>
      <w:sz w:val="20"/>
      <w:szCs w:val="20"/>
    </w:rPr>
  </w:style>
  <w:style w:type="character" w:customStyle="1" w:styleId="CommentSubjectChar">
    <w:name w:val="Comment Subject Char"/>
    <w:basedOn w:val="CommentTextChar"/>
    <w:link w:val="CommentSubject"/>
    <w:uiPriority w:val="99"/>
    <w:semiHidden/>
    <w:qFormat/>
    <w:rsid w:val="00903B21"/>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after="80" w:line="240" w:lineRule="auto"/>
      <w:contextualSpacing/>
    </w:pPr>
    <w:rPr>
      <w:rFonts w:asciiTheme="majorHAnsi" w:eastAsiaTheme="majorEastAsia" w:hAnsiTheme="majorHAnsi" w:cstheme="majorBidi"/>
      <w:b/>
      <w:spacing w:val="-10"/>
      <w:sz w:val="44"/>
      <w:szCs w:val="56"/>
    </w:rPr>
  </w:style>
  <w:style w:type="paragraph" w:styleId="Subtitle">
    <w:name w:val="Subtitle"/>
    <w:basedOn w:val="Normal"/>
    <w:next w:val="Normal"/>
    <w:link w:val="SubtitleChar"/>
    <w:uiPriority w:val="11"/>
    <w:qFormat/>
    <w:rsid w:val="00A7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AC"/>
    <w:pPr>
      <w:spacing w:before="160"/>
      <w:jc w:val="center"/>
    </w:pPr>
    <w:rPr>
      <w:i/>
      <w:iCs/>
      <w:color w:val="404040" w:themeColor="text1" w:themeTint="BF"/>
    </w:rPr>
  </w:style>
  <w:style w:type="paragraph" w:styleId="ListParagraph">
    <w:name w:val="List Paragraph"/>
    <w:basedOn w:val="Normal"/>
    <w:uiPriority w:val="34"/>
    <w:qFormat/>
    <w:rsid w:val="00A764AC"/>
    <w:pPr>
      <w:ind w:left="720"/>
      <w:contextualSpacing/>
    </w:p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CommentText">
    <w:name w:val="annotation text"/>
    <w:basedOn w:val="Normal"/>
    <w:link w:val="CommentTextChar"/>
    <w:uiPriority w:val="99"/>
    <w:unhideWhenUsed/>
    <w:qFormat/>
    <w:rsid w:val="00903B2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03B21"/>
    <w:rPr>
      <w:b/>
      <w:bCs/>
    </w:rPr>
  </w:style>
  <w:style w:type="paragraph" w:styleId="NormalWeb">
    <w:name w:val="Normal (Web)"/>
    <w:basedOn w:val="Normal"/>
    <w:uiPriority w:val="99"/>
    <w:semiHidden/>
    <w:unhideWhenUsed/>
    <w:qFormat/>
    <w:rsid w:val="006E0738"/>
    <w:rPr>
      <w:rFonts w:ascii="Times New Roman"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Grid1"/>
    <w:uiPriority w:val="39"/>
    <w:rsid w:val="00484E1C"/>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2275</TotalTime>
  <Pages>1</Pages>
  <Words>2955</Words>
  <Characters>18207</Characters>
  <Application>Microsoft Office Word</Application>
  <DocSecurity>0</DocSecurity>
  <Lines>568</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dc:description/>
  <cp:lastModifiedBy>Krina Mehta</cp:lastModifiedBy>
  <cp:revision>161</cp:revision>
  <dcterms:created xsi:type="dcterms:W3CDTF">2026-01-06T17:11:00Z</dcterms:created>
  <dcterms:modified xsi:type="dcterms:W3CDTF">2026-06-29T02:49:00Z</dcterms:modified>
  <dc:language>en-US</dc:language>
</cp:coreProperties>
</file>