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264" w:before="0" w:after="100"/>
        <w:jc w:val="start"/>
        <w:rPr/>
      </w:pPr>
      <w:r>
        <w:rPr/>
      </w:r>
    </w:p>
    <w:p>
      <w:pPr>
        <w:pStyle w:val="BodyText"/>
        <w:bidi w:val="0"/>
        <w:spacing w:lineRule="auto" w:line="264" w:before="0" w:after="100"/>
        <w:jc w:val="start"/>
        <w:rPr/>
      </w:pPr>
      <w:r>
        <w:rPr>
          <w:b/>
          <w:bCs/>
        </w:rPr>
        <w:t>Reviewer 1:</w:t>
      </w:r>
      <w:r>
        <w:rPr/>
        <w:t xml:space="preserve"> </w:t>
      </w:r>
    </w:p>
    <w:p>
      <w:pPr>
        <w:pStyle w:val="BodyText"/>
        <w:bidi w:val="0"/>
        <w:spacing w:lineRule="auto" w:line="264" w:before="0" w:after="100"/>
        <w:jc w:val="start"/>
        <w:rPr/>
      </w:pPr>
      <w:r>
        <w:rPr/>
        <w:t>The authors present the results of a study presenting a new approach methodology (NAM) framework to physiologically-based pharmacokinetic modeling (PBPK) for monoclonal antibodies (MABs). Using a retrospective approach, the authors leveraged published in vitro, in vivo monkey, and in vivo human data for 8 MABs to developed an “a priori” PBPK modeling approach and top-down TMDD modeling approach to MAB model development. The work also uses the TMDD model to examine the potential for animal sampling times and number of animals to inform the proposed NAM PBPK program. Overall, this is an important concept and will benefit readers working in this space, however, the manuscript needs some restructuring and clarification in order to be a truly valuable contribution to the field.  </w:t>
      </w:r>
    </w:p>
    <w:p>
      <w:pPr>
        <w:pStyle w:val="BodyText"/>
        <w:bidi w:val="0"/>
        <w:spacing w:lineRule="auto" w:line="264" w:before="0" w:after="100"/>
        <w:jc w:val="start"/>
        <w:rPr>
          <w:color w:val="0046B4"/>
        </w:rPr>
      </w:pPr>
      <w:r>
        <w:rPr>
          <w:b w:val="false"/>
          <w:color w:val="0046B4"/>
        </w:rPr>
        <w:t>We have restructured the manuscript as an tutorial and strengthened the connection between its two practical tasks: generating monkey and human PBPK predictions without calibration to the analyzed in vivo PK profiles, and using model-conditional uncertainty and population simulations to evaluate candidate monkey PK study designs. The monkey-fitted top-down TMDD component in the submitted manuscript was removed so the revised article could focus on a transparent, reproducible PK-Sim/MoBi-R workflow.</w:t>
      </w:r>
    </w:p>
    <w:p>
      <w:pPr>
        <w:pStyle w:val="BodyText"/>
        <w:bidi w:val="0"/>
        <w:spacing w:lineRule="auto" w:line="264" w:before="0" w:after="100"/>
        <w:jc w:val="start"/>
        <w:rPr/>
      </w:pPr>
      <w:r>
        <w:rPr/>
        <w:t> </w:t>
      </w:r>
      <w:r>
        <w:rPr/>
        <w:t>Major Comments:</w:t>
      </w:r>
    </w:p>
    <w:p>
      <w:pPr>
        <w:pStyle w:val="BodyText"/>
        <w:bidi w:val="0"/>
        <w:spacing w:lineRule="auto" w:line="264" w:before="0" w:after="100"/>
        <w:jc w:val="start"/>
        <w:rPr/>
      </w:pPr>
      <w:r>
        <w:rPr/>
        <w:t>-The second objective is interesting and certainly important, however, the wording at the end of the introduction is not fully clear. This reviewer suggests consider rewording for clarity, e.g. “Explore animal and PK sample reduction opportunities for MAB-based monkey studies using the developed TMDD models.”</w:t>
      </w:r>
    </w:p>
    <w:p>
      <w:pPr>
        <w:pStyle w:val="Normal"/>
        <w:widowControl/>
        <w:suppressAutoHyphens w:val="true"/>
        <w:bidi w:val="0"/>
        <w:spacing w:lineRule="auto" w:line="276" w:before="0" w:after="160"/>
        <w:jc w:val="both"/>
        <w:rPr>
          <w:rFonts w:cs="Times New Roman"/>
        </w:rPr>
      </w:pPr>
      <w:r>
        <w:rPr>
          <w:b w:val="false"/>
          <w:color w:val="0046B4"/>
        </w:rPr>
        <w:t>We revised the objectives at the end of the Introduction. The primary objectives are now to demonstrate how to generate monkey and human PBPK predictions in PK-Sim/MoBi without calibration to the analyzed in vivo PK profiles and to explore opportunities to reduce animal numbers in monkey PK studies using those models. The eight-mAb retrospective evaluation is identified as a secondary objective, and the study-design exercise is described explicitly as recovery of model-defined PK characteristics under prespecified assumptions.</w:t>
      </w:r>
    </w:p>
    <w:p>
      <w:pPr>
        <w:pStyle w:val="BodyText"/>
        <w:bidi w:val="0"/>
        <w:spacing w:lineRule="auto" w:line="264" w:before="0" w:after="100"/>
        <w:jc w:val="start"/>
        <w:rPr/>
      </w:pPr>
      <w:r>
        <w:rPr/>
        <w:t>-The title focuses only on PBPK model development for MABs, however the manuscript discusses and presents empirical TMDD modeling and exploratory in vivo animal study design as well. This reviewer suggests reconsidering the title to better reflect the content.  </w:t>
      </w:r>
    </w:p>
    <w:p>
      <w:pPr>
        <w:pStyle w:val="BodyText"/>
        <w:bidi w:val="0"/>
        <w:spacing w:lineRule="auto" w:line="264" w:before="0" w:after="100"/>
        <w:jc w:val="start"/>
        <w:rPr/>
      </w:pPr>
      <w:r>
        <w:rPr>
          <w:color w:val="0046B4"/>
        </w:rPr>
        <w:t>The manuscript is now re-framed as a tutorial and no longer includes the empirical top-down TMDD modeling component. We changed the title to reflect the revised scope and the focus on model-informed monkey PK study design: Physiologically-Based Pharmacokinetic Modeling to Guide Reduced Monkey PK Studies for Monoclonal Antibodies: A Tutorial</w:t>
      </w:r>
    </w:p>
    <w:p>
      <w:pPr>
        <w:pStyle w:val="BodyText"/>
        <w:bidi w:val="0"/>
        <w:spacing w:lineRule="auto" w:line="264" w:before="0" w:after="100"/>
        <w:jc w:val="start"/>
        <w:rPr/>
      </w:pPr>
      <w:r>
        <w:rPr/>
        <w:t>-Given the complexity of the methods and multi-faceted objectives, a high-level summary figure showing the workflow for objectives 1 and 2 at the beginning of the methods section would be very beneficial.</w:t>
      </w:r>
    </w:p>
    <w:p>
      <w:pPr>
        <w:pStyle w:val="BodyText"/>
        <w:bidi w:val="0"/>
        <w:spacing w:lineRule="auto" w:line="264" w:before="0" w:after="100"/>
        <w:jc w:val="start"/>
        <w:rPr/>
      </w:pPr>
      <w:r>
        <w:rPr>
          <w:color w:val="0046B4"/>
        </w:rPr>
        <w:t>Newly added Figure 1 provides the requested high-level workflow. The accompanying Overview describes the four main parts of the tutorial: collection of in vitro inputs, construction of target- and species-specific models, PBPK prediction without calibration with in vivo PK data, and study simulations that incorporate population variability and parameter uncertainty. It also links these steps to the retrospective evaluation and study design exercise.</w:t>
      </w:r>
    </w:p>
    <w:p>
      <w:pPr>
        <w:pStyle w:val="BodyText"/>
        <w:bidi w:val="0"/>
        <w:spacing w:lineRule="auto" w:line="264" w:before="0" w:after="100"/>
        <w:jc w:val="start"/>
        <w:rPr/>
      </w:pPr>
      <w:r>
        <w:rPr/>
        <w:t>-The results section contains a large amount of methods and discussion information. This reviewer suggests reexamining and revising to include only the results in the results section and moving the interpretation of the results to the discussion section and processes for how the results were determined to the methods section.</w:t>
      </w:r>
    </w:p>
    <w:p>
      <w:pPr>
        <w:pStyle w:val="BodyText"/>
        <w:bidi w:val="0"/>
        <w:spacing w:lineRule="auto" w:line="264" w:before="0" w:after="100"/>
        <w:jc w:val="start"/>
        <w:rPr/>
      </w:pPr>
      <w:r>
        <w:rPr>
          <w:b w:val="false"/>
          <w:color w:val="0046B4"/>
        </w:rPr>
        <w:t>Because the manuscript is now presented as a tutorial, we reorganized the material so that implementation steps are described in the Overview, Configuring Target-Specific PBPK Models, Running Simulations, and Evaluation of Simulation-Based Study Designs sections; quantitative findings are reported in Predictive Performance, Within-Target Comparisons, and Study Design Simulation Results; and interpretation, practical choices, and limitations are concentrated in Application and Key Considerations.</w:t>
      </w:r>
    </w:p>
    <w:p>
      <w:pPr>
        <w:pStyle w:val="BodyText"/>
        <w:bidi w:val="0"/>
        <w:spacing w:lineRule="auto" w:line="264" w:before="0" w:after="100"/>
        <w:jc w:val="start"/>
        <w:rPr/>
      </w:pPr>
      <w:r>
        <w:rPr/>
        <w:t>-In this reviewer’s opinion, the github page provides an abundance of knowledge concerning this project that is critical to the success of the work, but a reader may miss if they do not navigate to the 2nd supplementary section. It is suggested that the Github page’s content is summarized more in the work, i.e. in methods or discussion, and consider directing the readers to the respective github folders for each section within the manuscript, rather than just referencing the supplemental. </w:t>
      </w:r>
    </w:p>
    <w:p>
      <w:pPr>
        <w:pStyle w:val="BodyText"/>
        <w:bidi w:val="0"/>
        <w:spacing w:lineRule="auto" w:line="264" w:before="0" w:after="100"/>
        <w:jc w:val="start"/>
        <w:rPr/>
      </w:pPr>
      <w:r>
        <w:rPr>
          <w:b w:val="false"/>
          <w:color w:val="0046B4"/>
        </w:rPr>
        <w:t>The main text now summarizes the repository workflow and directs readers to the 01_Models, 02_APriori_PBPK_Workflow, and 03_Study_Simulations folders at the relevant steps. We also added the TMDD reaction scheme and rate laws, a compact mapping of the six mechanistic inputs to their exact PK-Sim/MoBi parameter paths and units, and a minimal esqlabsR execution excerpt. The repository is version-tagged as v0.1.0, and Supplementary Material 1 contains the complete validated scripts, workbooks, and instructions.</w:t>
      </w:r>
    </w:p>
    <w:p>
      <w:pPr>
        <w:pStyle w:val="BodyText"/>
        <w:bidi w:val="0"/>
        <w:spacing w:lineRule="auto" w:line="264" w:before="0" w:after="100"/>
        <w:jc w:val="start"/>
        <w:rPr/>
      </w:pPr>
      <w:r>
        <w:rPr/>
        <w:t>Minor Comments:</w:t>
      </w:r>
    </w:p>
    <w:p>
      <w:pPr>
        <w:pStyle w:val="BodyText"/>
        <w:bidi w:val="0"/>
        <w:spacing w:lineRule="auto" w:line="264" w:before="0" w:after="100"/>
        <w:jc w:val="start"/>
        <w:rPr/>
      </w:pPr>
      <w:r>
        <w:rPr/>
        <w:t>-The second part of this following sentence from the methods section is not clear and could benefit from rewording “Clearance was calculated as dose divided by AUCinf and represents total systemic clearance; at target-saturating doses it is expected to be dominated by linear clearance rather than serving as a specific marker of nonlinear target-mediated elimination.”</w:t>
      </w:r>
    </w:p>
    <w:p>
      <w:pPr>
        <w:pStyle w:val="BodyText"/>
        <w:bidi w:val="0"/>
        <w:spacing w:lineRule="auto" w:line="264" w:before="0" w:after="100"/>
        <w:jc w:val="start"/>
        <w:rPr/>
      </w:pPr>
      <w:r>
        <w:rPr>
          <w:b w:val="false"/>
          <w:color w:val="0046B4"/>
        </w:rPr>
        <w:t>The revised Methods explain that observed and predicted AUC0-tlast were calculated over the same interval, from time zero to the last observed sampling time, after interpolation of the predicted profile to the observed times. Both profiles used the same linear-up/log-down trapezoidal rule. Clearance was calculated as dose divided by AUCinf and reflects total systemic elimination, including any target-mediated contribution. Observed clearance was considered evaluable only when the extrapolated fraction of AUCinf was no greater than 20%; profiles above this threshold were excluded from clearance accuracy calculations. Applying the matched AUC interval changed the number of predictions within two-fold from 8/14 to 12/14 in monkeys and from 25/30 to 29/30 in humans. Under the clearance rule, 6/14 monkey and 15/30 human profiles were evaluable, of which 3/6 and 10/15, respectively, were within two-fold.</w:t>
      </w:r>
    </w:p>
    <w:p>
      <w:pPr>
        <w:pStyle w:val="BodyText"/>
        <w:bidi w:val="0"/>
        <w:spacing w:lineRule="auto" w:line="264" w:before="0" w:after="100"/>
        <w:jc w:val="start"/>
        <w:rPr/>
      </w:pPr>
      <w:r>
        <w:rPr/>
        <w:br/>
      </w:r>
      <w:r>
        <w:rPr>
          <w:b/>
          <w:bCs/>
        </w:rPr>
        <w:t>Reviewer 2:</w:t>
      </w:r>
      <w:r>
        <w:rPr/>
        <w:t xml:space="preserve"> </w:t>
      </w:r>
    </w:p>
    <w:p>
      <w:pPr>
        <w:pStyle w:val="BodyText"/>
        <w:bidi w:val="0"/>
        <w:spacing w:lineRule="auto" w:line="264" w:before="0" w:after="100"/>
        <w:jc w:val="start"/>
        <w:rPr/>
      </w:pPr>
      <w:r>
        <w:rPr/>
        <w:t>Review summary</w:t>
      </w:r>
    </w:p>
    <w:p>
      <w:pPr>
        <w:pStyle w:val="BodyText"/>
        <w:bidi w:val="0"/>
        <w:spacing w:lineRule="auto" w:line="264" w:before="0" w:after="100"/>
        <w:jc w:val="start"/>
        <w:rPr/>
      </w:pPr>
      <w:r>
        <w:rPr/>
        <w:t>Useful application of established PBPK/TMDD methods in a NAM context, but limited novelty and impact</w:t>
      </w:r>
    </w:p>
    <w:p>
      <w:pPr>
        <w:pStyle w:val="BodyText"/>
        <w:bidi w:val="0"/>
        <w:spacing w:lineRule="auto" w:line="264" w:before="0" w:after="100"/>
        <w:jc w:val="start"/>
        <w:rPr/>
      </w:pPr>
      <w:r>
        <w:rPr/>
        <w:t>Review text</w:t>
      </w:r>
    </w:p>
    <w:p>
      <w:pPr>
        <w:pStyle w:val="BodyText"/>
        <w:bidi w:val="0"/>
        <w:spacing w:lineRule="auto" w:line="264" w:before="0" w:after="100"/>
        <w:jc w:val="start"/>
        <w:rPr/>
      </w:pPr>
      <w:r>
        <w:rPr/>
        <w:t>This paper addresses whether PBPK modeling can help preclinical pharmacology teams to design monkey PK studies with fewer animals (hence, the NAMs positioning), and whether addition of TMDD reactions can improve performance for antibodies with non-linear PK. The modeling itself appears reasonable, and I appreciate the authors’ efforts to provide the reader with a reproducible workflow in PK-sim/mobi. My main concern is novelty and I am unsure of what is genuinely new. The recent regulatory interest in NAMs makes the subject timely but does not make the underlying methods new. The paper needs to explain more clearly what it adds beyond this prior work. The authors cite several foundational articles for antibody PBPK/PD that have key overlaps and could consider citing several others (Glassman 2019, Chen 2024 that also uses PK-sim, Stader 2025, etc.).</w:t>
      </w:r>
    </w:p>
    <w:p>
      <w:pPr>
        <w:pStyle w:val="BodyText"/>
        <w:bidi w:val="0"/>
        <w:spacing w:lineRule="auto" w:line="264" w:before="0" w:after="100"/>
        <w:jc w:val="start"/>
        <w:rPr/>
      </w:pPr>
      <w:r>
        <w:rPr>
          <w:b w:val="false"/>
          <w:color w:val="0046B4"/>
        </w:rPr>
        <w:t>We agree that PBPK/TMDD methods are well established, and the revised Introduction presents the article as an application of established methods within a NAM decision framework rather than as a new modeling method. The manuscript is now an implementation-focused tutorial linking six mechanistic inputs, target- and species-specific PBPK models, predictions without calibration to the analyzed in vivo profiles, and model-conditional study-design simulations. We added the suggested Glassman and Chen references and now also cite and discuss Stader et al. (2025).</w:t>
      </w:r>
    </w:p>
    <w:p>
      <w:pPr>
        <w:pStyle w:val="BodyText"/>
        <w:bidi w:val="0"/>
        <w:spacing w:lineRule="auto" w:line="264" w:before="0" w:after="100"/>
        <w:jc w:val="start"/>
        <w:rPr/>
      </w:pPr>
      <w:r>
        <w:rPr/>
        <w:t>I am also not fully comfortable with the repeated use of “a priori.” Several important inputs were taken from previous modeling analyses rather than measured independently. This does not invalidate the retrospective, but it means that the predictions are not fully independent of prior in vivo knowledge and those prior studies still use monkeys. This is perhaps the most critical methodological point to address if the claim is that a priori PBPK augmented with TMDD parameters can reduce study sizes.</w:t>
      </w:r>
    </w:p>
    <w:p>
      <w:pPr>
        <w:pStyle w:val="BodyText"/>
        <w:bidi w:val="0"/>
        <w:spacing w:lineRule="auto" w:line="264" w:before="0" w:after="100"/>
        <w:jc w:val="start"/>
        <w:rPr/>
      </w:pPr>
      <w:r>
        <w:rPr>
          <w:b w:val="false"/>
          <w:color w:val="0046B4"/>
        </w:rPr>
        <w:t>We replaced narrative use of 'a priori' with 'without calibration to the analyzed in vivo PK data' and identify which inputs came from prior modeling rather than independent experiments. We now state that the human-derived default FcRn Kd of 1.07 µmol/L came from Benamara et al.'s 50-mAb dataset and that adalimumab, bevacizumab, and golimumab both receive that default here and were included in the source dataset. Because the final default was calculated from the full dataset, the corresponding human evaluations are not fully independent. We also discuss the use of the same default in monkeys and contrast it with Stader et al.'s cross-species FcRn scaling and additional systemic-clearance term.</w:t>
      </w:r>
    </w:p>
    <w:p>
      <w:pPr>
        <w:pStyle w:val="BodyText"/>
        <w:bidi w:val="0"/>
        <w:spacing w:lineRule="auto" w:line="264" w:before="0" w:after="100"/>
        <w:jc w:val="start"/>
        <w:rPr/>
      </w:pPr>
      <w:r>
        <w:rPr/>
        <w:t>The choice of molecules also limits what can be concluded. All eight antibodies are marketed products directed against well-studied targets. They are well-studied and likely the expression data in the pk-sim database for these targets is better validated. It is difficult to judge how well the workflow would perform for a first-in-class antibody against a novel target, where target abundance and relevant parameters (turnover, internalization, shedding, localization, etc) may be poorly understood. This is an important limitation because early programs involving less-characterized targets may be where a NAM-based framework would be most valuable. And, such programs would be more amenable to giving mechanistic modelers a seat at the table to guide early decisions.</w:t>
      </w:r>
    </w:p>
    <w:p>
      <w:pPr>
        <w:pStyle w:val="BodyText"/>
        <w:bidi w:val="0"/>
        <w:spacing w:lineRule="auto" w:line="264" w:before="0" w:after="100"/>
        <w:jc w:val="start"/>
        <w:rPr/>
      </w:pPr>
      <w:r>
        <w:rPr>
          <w:color w:val="0046B4"/>
        </w:rPr>
        <w:t>The choice of molecules was driven by the availability of public monkey PK, human PK, and mechanistic input data. The revised Application and Key Considerations section states that the analysis is limited to eight marketed antibodies against comparatively well-studied targets and may not transfer to a first-in-class antibody with a poorly characterized target. It also identifies prospective testing with additional molecules and less-characterized targets as a next step and specifies the binding, target abundance and localization, turnover, and internalization data needed to support such evaluations.</w:t>
      </w:r>
    </w:p>
    <w:p>
      <w:pPr>
        <w:pStyle w:val="BodyText"/>
        <w:bidi w:val="0"/>
        <w:spacing w:lineRule="auto" w:line="264" w:before="0" w:after="100"/>
        <w:jc w:val="start"/>
        <w:rPr/>
      </w:pPr>
      <w:r>
        <w:rPr/>
        <w:t>The retrospective analysis appears sufficient to suggest useful predictive performance, but expansion to a larger dataset of antibodies would generate more quantitative and mechanistic insights into when or why the method works. The dataset includes 2 or more antibodies against PD-1, PD-L1, and TNFα, but the manuscript does not make much use of this structure. It would be great to understand whether predictions are consistent among antibodies sharing the same target and, when they are not, whether the differences arise from target assumptions, drug pharmacology, model structure and parameterization, etc. Since the work is based entirely on published information using targets that have been aggressively pursued in drug development, the authors could consider adding more antibodies against the same targets. A larger within-target analysis could provide more useful mechanistic insight than aggregate percentages across a small dataset. I found it difficult to draw conclusions from the fold-error figures beyond a visual check of prediction performance, and maybe such a within-target analysis could make these comparisons more useful to the reader.</w:t>
      </w:r>
    </w:p>
    <w:p>
      <w:pPr>
        <w:pStyle w:val="BodyText"/>
        <w:bidi w:val="0"/>
        <w:spacing w:lineRule="auto" w:line="264" w:before="0" w:after="100"/>
        <w:jc w:val="start"/>
        <w:rPr/>
      </w:pPr>
      <w:r>
        <w:rPr>
          <w:b w:val="false"/>
          <w:color w:val="0046B4"/>
        </w:rPr>
        <w:t>We added a Within-Target Comparisons subsection for PD-L1, PD-1, and TNFα and expanded it to interpret the comparisons mechanistically. Because target reference concentration and target degradation rate were shared within a target, divergent results cannot be assigned to those shared inputs alone and instead point toward molecule-specific FcRn binding, target-binding kinetics, internalization, unmodeled antibody properties, or differences in the literature data context. We qualify these as hypotheses rather than causal conclusions.</w:t>
      </w:r>
    </w:p>
    <w:p>
      <w:pPr>
        <w:pStyle w:val="BodyText"/>
        <w:bidi w:val="0"/>
        <w:spacing w:lineRule="auto" w:line="264" w:before="0" w:after="100"/>
        <w:jc w:val="start"/>
        <w:rPr/>
      </w:pPr>
      <w:r>
        <w:rPr>
          <w:b w:val="false"/>
          <w:color w:val="0046B4"/>
        </w:rPr>
        <w:t>We did not expand the antibody set because the analysis relied on publicly available monkey PK, human PK, and mechanistic input data. The Application and Key Considerations section identifies a larger retrospective set, including multiple antibodies per target and less-characterized targets, as a next step. The revised article is therefore positioned as an implementation tutorial and retrospective illustration rather than a broad validation study.</w:t>
      </w:r>
    </w:p>
    <w:p>
      <w:pPr>
        <w:pStyle w:val="BodyText"/>
        <w:bidi w:val="0"/>
        <w:spacing w:lineRule="auto" w:line="264" w:before="0" w:after="100"/>
        <w:jc w:val="start"/>
        <w:rPr/>
      </w:pPr>
      <w:r>
        <w:rPr/>
        <w:t>Returning to the crux of the paper with the simulation-based study size analysis… These conclusions also need to be more carefully qualified and this section could be expanded to better reflect its importance to the paper. The simulations suggest that 6 or fewer cynos may be sufficient to recover selected PK measures and establish predictive performance. I was surprised that the study did not more explicitly compare or integrate this approach with other industry strategies for optimizing study design that are widely in use. Study size may not always be determined by PK prediction alone. While practice varies between sponsors, more animals are often added to address the frequent observation of ADA/immunogenicity that reduces the number of animals in the dataset or censors their later time points. It is common to also consider biological variability (the authors mention this as a complicating factor for some of their dataset’s antibodies in the clinic), add PD/efficacy endpoints alongside PK, and assess PK in nonclinical safety studies. There is also growing use of the hybrid approach to scale human PK from transgenic FcRn mice (via allometric or PBPK methods) and combine that with target binding affinity and clinical target expression to predict TMDD effects. In other words, 3Rs, budget, and accelerated program timelines already motivate smaller study designs or alternatives to monkeys (as with hFcRn mice). Therefore, the assumed comparator of at least 15 monkeys for an exploratory single-dose PK study does not seem to represent current industry practices. Therefore, the manuscript supports the usefulness of the PBPK/TMDD approach to shrink very large PK-only studies, but could be better positioned by the authors within best-practices in use today.</w:t>
      </w:r>
    </w:p>
    <w:p>
      <w:pPr>
        <w:pStyle w:val="BodyText"/>
        <w:bidi w:val="0"/>
        <w:spacing w:lineRule="auto" w:line="264" w:before="0" w:after="100"/>
        <w:jc w:val="start"/>
        <w:rPr>
          <w:color w:val="0046B4"/>
        </w:rPr>
      </w:pPr>
      <w:r>
        <w:rPr>
          <w:b w:val="false"/>
          <w:color w:val="0046B4"/>
        </w:rPr>
        <w:t xml:space="preserve">We completely redesigned the study-size analysis after removing the top-down component. The revised exercise uses a nominal, uncalibrated golimumab model and a calibrated nivolumab model </w:t>
      </w:r>
      <w:r>
        <w:rPr>
          <w:b w:val="false"/>
          <w:color w:val="0046B4"/>
        </w:rPr>
        <w:t>representing models to simulate assumed “true” PK</w:t>
      </w:r>
      <w:r>
        <w:rPr>
          <w:b w:val="false"/>
          <w:color w:val="0046B4"/>
        </w:rPr>
        <w:t>. Within each Monte Carlo replicate, one draw of five mechanistic inputs is shared across all animals and doses, whereas body weight and target reference concentration vary between monkeys. Candidate designs include two, three, or five dose groups and two, three, or six monkeys per group. The primary comparison is against each replicate's own dense-population mean; a secondary analysis compares with the fixed nominal typical subject. All 36 primary scenarios met the joint two-fold criterion in 100/100 replicates, while the secondary analysis showed lower success for AUC0-28d and clearance. The manuscript emphasizes that these results are conditional on the two truth models, variability distributions, sampling schedule, endpoints, and permissive tutorial criterion and do not define a universal minimum animal number.</w:t>
      </w:r>
    </w:p>
    <w:p>
      <w:pPr>
        <w:pStyle w:val="BodyText"/>
        <w:bidi w:val="0"/>
        <w:spacing w:lineRule="auto" w:line="264" w:before="0" w:after="100"/>
        <w:jc w:val="start"/>
        <w:rPr/>
      </w:pPr>
      <w:r>
        <w:rPr/>
        <w:t>Overall, I think the paper may be stronger if refra</w:t>
      </w:r>
      <w:r>
        <w:rPr>
          <w:b w:val="false"/>
          <w:bCs w:val="false"/>
        </w:rPr>
        <w:t>med as a methods article showing how established PBPK/TMDD approaches can be used within a NAM decision framework. T</w:t>
      </w:r>
      <w:r>
        <w:rPr/>
        <w:t>hat could be a useful contribution, but it would require greater emphasis on implementation details rather than on novelty. A perspective article could also be considered if the primary contribution is intended to be positioning established PBPK/TMDD modeling practices within the evolving NAM landscape, but this would be more difficult given the relatively rich publication history in this area. If kept as a research article, the points in the above paragraphs should be addressed, especially around novelty and expansion of the antibody dataset to enable more insightful comparisons. Because these concerns affect the basic framing of the paper, I have not provided detailed comments on the specifics of each figure, table, or result. The work may change substantially if the manuscript is repositioned. I recommend that the editors should consider requesting such a major revision.</w:t>
      </w:r>
    </w:p>
    <w:p>
      <w:pPr>
        <w:pStyle w:val="BodyText"/>
        <w:bidi w:val="0"/>
        <w:spacing w:lineRule="auto" w:line="264" w:before="0" w:after="100"/>
        <w:jc w:val="start"/>
        <w:rPr/>
      </w:pPr>
      <w:r>
        <w:rPr>
          <w:b w:val="false"/>
          <w:color w:val="0046B4"/>
        </w:rPr>
        <w:t>We re-framed the article as an implementation-focused tutorial. The main text now explains the workflow from mechanistic input collection and model construction through prediction, retrospective evaluation, and the conditional study-design simulation. It now includes explicit TMDD rate laws, an input-to-parameter mapping, a short esqlabsR code example, mechanistic within-target interpretation, and a reference to the local sensitivity analysis in Supplementary Material 2. The repository and supplement provide the complete executable workflow. Because public data limited the dataset, the eight-antibody analysis is presented as a retrospective illustration without a claim of method novelty or broad validation.</w:t>
      </w:r>
    </w:p>
    <w:p>
      <w:pPr>
        <w:pStyle w:val="BodyText"/>
        <w:bidi w:val="0"/>
        <w:spacing w:lineRule="auto" w:line="264" w:before="0" w:after="100"/>
        <w:jc w:val="start"/>
        <w:rPr>
          <w:color w:val="0046B4"/>
        </w:rPr>
      </w:pPr>
      <w:r>
        <w:rPr/>
      </w:r>
    </w:p>
    <w:p>
      <w:pPr>
        <w:pStyle w:val="BodyText"/>
        <w:rPr/>
      </w:pPr>
      <w:r>
        <w:rPr>
          <w:b/>
        </w:rPr>
        <w:t>Additional revisions made during manuscript verification</w:t>
      </w:r>
    </w:p>
    <w:p>
      <w:pPr>
        <w:pStyle w:val="BodyText"/>
        <w:rPr/>
      </w:pPr>
      <w:r>
        <w:rPr>
          <w:b w:val="false"/>
          <w:color w:val="0046B4"/>
        </w:rPr>
        <w:t>Results verification: We report the matched-interval AUC0-tlast counts and the restricted clearance denominators consistently in the Abstract, Results, Application and Key Considerations, Conclusions, and this response letter.</w:t>
      </w:r>
    </w:p>
    <w:p>
      <w:pPr>
        <w:pStyle w:val="BodyText"/>
        <w:rPr/>
      </w:pPr>
      <w:r>
        <w:rPr>
          <w:b w:val="false"/>
          <w:color w:val="0046B4"/>
        </w:rPr>
        <w:t>Sensitivity analysis: The main text now points readers to the local sensitivity analysis in Supplementary Material 2 and explains that clearance was most responsive to target reference concentration and target degradation rate for tocilizumab, with smaller effects in selected bevacizumab and avelumab scenarios and smaller effects of complex internalization across the evaluated cases.</w:t>
      </w:r>
    </w:p>
    <w:p>
      <w:pPr>
        <w:pStyle w:val="BodyText"/>
        <w:spacing w:lineRule="auto" w:line="276" w:before="0" w:after="140"/>
        <w:rPr/>
      </w:pPr>
      <w:r>
        <w:rPr>
          <w:b w:val="false"/>
          <w:color w:val="0046B4"/>
        </w:rPr>
        <w:t>Editorial consistency: We corrected the software name to ospsuite, cited the previously uncited Betts and Gosselin references, reordered all references by first appearance, corrected the AI statement to Figures 1 and 3, standardized narrative and table terminology from 'terminal clearance' to 'clearance,' removed narrative uses of 'a priori' from the main text, and corrected the remaining typographical and caption errors. The legacy 02_APriori_PBPK_Workflow directory name is retained only as a literal reproducibility path.</w:t>
      </w:r>
    </w:p>
    <w:sectPr>
      <w:type w:val="nextPage"/>
      <w:pgSz w:w="12240" w:h="15840"/>
      <w:pgMar w:left="1134" w:right="1134" w:gutter="0" w:header="0" w:top="792" w:footer="0" w:bottom="792"/>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1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true"/>
      <w:bidi w:val="0"/>
      <w:spacing w:before="0" w:after="0"/>
      <w:jc w:val="start"/>
    </w:pPr>
    <w:rPr>
      <w:rFonts w:ascii="Liberation Serif" w:hAnsi="Liberation Serif" w:eastAsia="NSimSun" w:cs="Lucida Sans"/>
      <w:color w:val="auto"/>
      <w:kern w:val="2"/>
      <w:sz w:val="21"/>
      <w:szCs w:val="24"/>
      <w:lang w:val="en-US" w:eastAsia="zh-CN" w:bidi="hi-IN"/>
    </w:rPr>
  </w:style>
  <w:style w:type="paragraph" w:styleId="Heading3">
    <w:name w:val="heading 3"/>
    <w:basedOn w:val="Heading"/>
    <w:next w:val="BodyText"/>
    <w:qFormat/>
    <w:pPr>
      <w:spacing w:before="140" w:after="120"/>
      <w:outlineLvl w:val="2"/>
    </w:pPr>
    <w:rPr>
      <w:rFonts w:ascii="Liberation Serif" w:hAnsi="Liberation Serif" w:eastAsia="NSimSun" w:cs="Lucida Sans"/>
      <w:b/>
      <w:bCs/>
      <w:sz w:val="28"/>
      <w:szCs w:val="28"/>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57</TotalTime>
  <Application>LibreOffice/26.2.6.3$Windows_X86_64 LibreOffice_project/8221e31b3ac356a1623c672912a3d2b492f7e3d1</Application>
  <AppVersion>15.0000</AppVersion>
  <Pages>4</Pages>
  <Words>2721</Words>
  <Characters>15948</Characters>
  <CharactersWithSpaces>18640</CharactersWithSpaces>
  <Paragraphs>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2026-09-18T12:57:13Z</dcterms:created>
  <dc:creator/>
  <dc:description/>
  <dc:language>en-US</dc:language>
  <cp:lastModifiedBy/>
  <dcterms:modified xsi:type="dcterms:W3CDTF">2026-09-30T18:10:17Z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file>