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64" w:before="0" w:after="100"/>
        <w:jc w:val="start"/>
        <w:rPr/>
      </w:pPr>
      <w:r>
        <w:rPr/>
      </w:r>
    </w:p>
    <w:p>
      <w:pPr>
        <w:pStyle w:val="BodyText"/>
        <w:bidi w:val="0"/>
        <w:spacing w:lineRule="auto" w:line="264" w:before="0" w:after="100"/>
        <w:jc w:val="start"/>
        <w:rPr/>
      </w:pPr>
      <w:r>
        <w:rPr>
          <w:b/>
          <w:bCs/>
        </w:rPr>
        <w:t>Reviewer 1:</w:t>
      </w:r>
      <w:r>
        <w:rPr/>
        <w:t xml:space="preserve"> </w:t>
      </w:r>
    </w:p>
    <w:p>
      <w:pPr>
        <w:pStyle w:val="BodyText"/>
        <w:bidi w:val="0"/>
        <w:spacing w:lineRule="auto" w:line="264" w:before="0" w:after="100"/>
        <w:jc w:val="start"/>
        <w:rPr/>
      </w:pPr>
      <w:r>
        <w:rPr/>
        <w:t>Review text</w:t>
      </w:r>
    </w:p>
    <w:p>
      <w:pPr>
        <w:pStyle w:val="BodyText"/>
        <w:bidi w:val="0"/>
        <w:spacing w:lineRule="auto" w:line="264" w:before="0" w:after="100"/>
        <w:jc w:val="start"/>
        <w:rPr/>
      </w:pPr>
      <w:r>
        <w:rPr/>
        <w:t>The authors present the results of a study presenting a new approach methodology (NAM) framework to physiologically-based pharmacokinetic modeling (PBPK) for monoclonal antibodies (MABs). Using a retrospective approach, the authors leveraged published in vitro, in vivo monkey, and in vivo human data for 8 MABs to developed an “a priori” PBPK modeling approach and top-down TMDD modeling approach to MAB model development. The work also uses the TMDD model to examine the potential for animal sampling times and number of animals to inform the proposed NAM PBPK program. Overall, this is an important concept and will benefit readers working in this space, however, the manuscript needs some restructuring and clarification in order to be a truly valuable contribution to the field.  </w:t>
      </w:r>
    </w:p>
    <w:p>
      <w:pPr>
        <w:pStyle w:val="BodyText"/>
        <w:bidi w:val="0"/>
        <w:spacing w:lineRule="auto" w:line="264" w:before="0" w:after="100"/>
        <w:jc w:val="start"/>
        <w:rPr>
          <w:color w:val="0046B4"/>
        </w:rPr>
      </w:pPr>
      <w:r>
        <w:rPr>
          <w:color w:val="0046B4"/>
        </w:rPr>
        <w:t xml:space="preserve">We have now </w:t>
      </w:r>
      <w:r>
        <w:rPr>
          <w:color w:val="0046B4"/>
        </w:rPr>
        <w:t xml:space="preserve">restructured </w:t>
      </w:r>
      <w:r>
        <w:rPr>
          <w:color w:val="0046B4"/>
        </w:rPr>
        <w:t xml:space="preserve">the paper as a tutorial and strengthened the connection between its two practical tasks: generating monkey and human PBPK predictions without calibration </w:t>
      </w:r>
      <w:r>
        <w:rPr>
          <w:color w:val="0046B4"/>
        </w:rPr>
        <w:t xml:space="preserve">using </w:t>
      </w:r>
      <w:r>
        <w:rPr>
          <w:color w:val="0046B4"/>
        </w:rPr>
        <w:t xml:space="preserve">in vivo PK data, and using uncertainty and population simulations to inform an exploratory, </w:t>
      </w:r>
      <w:r>
        <w:rPr>
          <w:color w:val="0046B4"/>
        </w:rPr>
        <w:t>reduced size,</w:t>
      </w:r>
      <w:r>
        <w:rPr>
          <w:color w:val="0046B4"/>
        </w:rPr>
        <w:t xml:space="preserve"> monkey PK </w:t>
      </w:r>
      <w:r>
        <w:rPr>
          <w:color w:val="0046B4"/>
        </w:rPr>
        <w:t xml:space="preserve">study </w:t>
      </w:r>
      <w:r>
        <w:rPr>
          <w:color w:val="0046B4"/>
        </w:rPr>
        <w:t xml:space="preserve">design. </w:t>
      </w:r>
      <w:r>
        <w:rPr>
          <w:color w:val="0046B4"/>
        </w:rPr>
        <w:t>We have made improved clarity throughout the paper.</w:t>
      </w:r>
    </w:p>
    <w:p>
      <w:pPr>
        <w:pStyle w:val="BodyText"/>
        <w:bidi w:val="0"/>
        <w:spacing w:lineRule="auto" w:line="264" w:before="0" w:after="100"/>
        <w:jc w:val="start"/>
        <w:rPr/>
      </w:pPr>
      <w:r>
        <w:rPr/>
        <w:t> </w:t>
      </w:r>
      <w:r>
        <w:rPr/>
        <w:t>Major Comments:</w:t>
      </w:r>
    </w:p>
    <w:p>
      <w:pPr>
        <w:pStyle w:val="BodyText"/>
        <w:bidi w:val="0"/>
        <w:spacing w:lineRule="auto" w:line="264" w:before="0" w:after="100"/>
        <w:jc w:val="start"/>
        <w:rPr/>
      </w:pPr>
      <w:r>
        <w:rPr/>
        <w:t>-The second objective is interesting and certainly important, however, the wording at the end of the introduction is not fully clear. This reviewer suggests consider rewording for clarity, e.g. “Explore animal and PK sample reduction opportunities for MAB-based monkey studies using the developed TMDD models.”</w:t>
      </w:r>
    </w:p>
    <w:p>
      <w:pPr>
        <w:pStyle w:val="Normal"/>
        <w:widowControl/>
        <w:suppressAutoHyphens w:val="true"/>
        <w:bidi w:val="0"/>
        <w:spacing w:lineRule="auto" w:line="276" w:before="0" w:after="160"/>
        <w:jc w:val="both"/>
        <w:rPr>
          <w:rFonts w:cs="Times New Roman"/>
        </w:rPr>
      </w:pPr>
      <w:r>
        <w:rPr>
          <w:color w:val="0046B4"/>
        </w:rPr>
        <w:t>We updated both objectives at the end of the Introduction. The objectives now read as follows: “The primary objectives are (1) to demonstrate how to generate PBPK prediction without in vivo PK data of monkey and human PK using PK-Sim/MoBi; and (2) to explore animal number reduction opportunities for  monkey PK studies for mAbs using the developed PBPK models. A secondary objective is to evaluate the workflow retrospectively using eight intravenously administered mAbs across five targets. The analysis assesses predictive performance and uses simulation-based visualizations to show how uncertainty in in vitro inputs and interindividual variability affect confidence that data generated by candidate study designs can recover molecule’s “true” PK characteristics.” This revision makes the animal-number reduction objective explicit and identifie</w:t>
      </w:r>
      <w:r>
        <w:rPr>
          <w:color w:val="0046B4"/>
        </w:rPr>
        <w:t>d</w:t>
      </w:r>
      <w:r>
        <w:rPr>
          <w:color w:val="0046B4"/>
        </w:rPr>
        <w:t xml:space="preserve"> the eight mAb</w:t>
      </w:r>
      <w:r>
        <w:rPr>
          <w:color w:val="0046B4"/>
        </w:rPr>
        <w:t>s</w:t>
      </w:r>
      <w:r>
        <w:rPr>
          <w:color w:val="0046B4"/>
        </w:rPr>
        <w:t xml:space="preserve"> evaluation as a secondary, retrospective analysis.</w:t>
      </w:r>
    </w:p>
    <w:p>
      <w:pPr>
        <w:pStyle w:val="BodyText"/>
        <w:bidi w:val="0"/>
        <w:spacing w:lineRule="auto" w:line="264" w:before="0" w:after="100"/>
        <w:jc w:val="start"/>
        <w:rPr/>
      </w:pPr>
      <w:r>
        <w:rPr/>
        <w:t>-The title focuses only on PBPK model development for MABs, however the manuscript discusses and presents empirical TMDD modeling and exploratory in vivo animal study design as well. This reviewer suggests reconsidering the title to better reflect the content.  </w:t>
      </w:r>
    </w:p>
    <w:p>
      <w:pPr>
        <w:pStyle w:val="BodyText"/>
        <w:bidi w:val="0"/>
        <w:spacing w:lineRule="auto" w:line="264" w:before="0" w:after="100"/>
        <w:jc w:val="start"/>
        <w:rPr/>
      </w:pPr>
      <w:r>
        <w:rPr>
          <w:color w:val="0046B4"/>
        </w:rPr>
        <w:t>The manuscript is now re-framed as a tutorial and no longer includes the empirical top-down TMDD modeling component. We changed the title to reflect the revised scope and the focus on model-informed monkey PK study design: Physiologically-Based Pharmacokinetic Modeling to Guide Reduced Monkey PK Studies for Monoclonal Antibodies: A Tutorial</w:t>
      </w:r>
    </w:p>
    <w:p>
      <w:pPr>
        <w:pStyle w:val="BodyText"/>
        <w:bidi w:val="0"/>
        <w:spacing w:lineRule="auto" w:line="264" w:before="0" w:after="100"/>
        <w:jc w:val="start"/>
        <w:rPr/>
      </w:pPr>
      <w:r>
        <w:rPr/>
        <w:t>-Given the complexity of the methods and multi-faceted objectives, a high-level summary figure showing the workflow for objectives 1 and 2 at the beginning of the methods section would be very beneficial.</w:t>
      </w:r>
    </w:p>
    <w:p>
      <w:pPr>
        <w:pStyle w:val="BodyText"/>
        <w:bidi w:val="0"/>
        <w:spacing w:lineRule="auto" w:line="264" w:before="0" w:after="100"/>
        <w:jc w:val="start"/>
        <w:rPr/>
      </w:pPr>
      <w:r>
        <w:rPr>
          <w:color w:val="0046B4"/>
        </w:rPr>
        <w:t xml:space="preserve">Newly added Figure 1 provides the requested high-level workflow. The accompanying Overview describes the four main parts of the tutorial: collection of in vitro inputs, construction of target- and species-specific models, PBPK prediction without calibration </w:t>
      </w:r>
      <w:r>
        <w:rPr>
          <w:color w:val="0046B4"/>
        </w:rPr>
        <w:t>with</w:t>
      </w:r>
      <w:r>
        <w:rPr>
          <w:color w:val="0046B4"/>
        </w:rPr>
        <w:t xml:space="preserve"> in vivo PK data, and study simulations that incorporate population variability and parameter uncertainty. It also links these steps to the retrospective evaluation and study design exercise.</w:t>
      </w:r>
    </w:p>
    <w:p>
      <w:pPr>
        <w:pStyle w:val="BodyText"/>
        <w:bidi w:val="0"/>
        <w:spacing w:lineRule="auto" w:line="264" w:before="0" w:after="100"/>
        <w:jc w:val="start"/>
        <w:rPr/>
      </w:pPr>
      <w:r>
        <w:rPr/>
        <w:t>-The results section contains a large amount of methods and discussion information. This reviewer suggests reexamining and revising to include only the results in the results section and moving the interpretation of the results to the discussion section and processes for how the results were determined to the methods section.</w:t>
      </w:r>
    </w:p>
    <w:p>
      <w:pPr>
        <w:pStyle w:val="BodyText"/>
        <w:bidi w:val="0"/>
        <w:spacing w:lineRule="auto" w:line="264" w:before="0" w:after="100"/>
        <w:jc w:val="start"/>
        <w:rPr/>
      </w:pPr>
      <w:r>
        <w:rPr>
          <w:color w:val="0046B4"/>
        </w:rPr>
        <w:t xml:space="preserve">Because the manuscript is now </w:t>
      </w:r>
      <w:r>
        <w:rPr>
          <w:color w:val="0046B4"/>
        </w:rPr>
        <w:t>presented</w:t>
      </w:r>
      <w:r>
        <w:rPr>
          <w:color w:val="0046B4"/>
        </w:rPr>
        <w:t xml:space="preserve"> as a tutorial, we restructured it accordingly. </w:t>
      </w:r>
      <w:r>
        <w:rPr>
          <w:color w:val="0046B4"/>
        </w:rPr>
        <w:t>S</w:t>
      </w:r>
      <w:r>
        <w:rPr>
          <w:color w:val="0046B4"/>
        </w:rPr>
        <w:t xml:space="preserve">tep-by-step </w:t>
      </w:r>
      <w:r>
        <w:rPr>
          <w:color w:val="0046B4"/>
        </w:rPr>
        <w:t xml:space="preserve">implementation workflow </w:t>
      </w:r>
      <w:r>
        <w:rPr>
          <w:color w:val="0046B4"/>
        </w:rPr>
        <w:t xml:space="preserve">now appears in the Overview </w:t>
      </w:r>
      <w:r>
        <w:rPr>
          <w:color w:val="0046B4"/>
        </w:rPr>
        <w:t>section</w:t>
      </w:r>
      <w:r>
        <w:rPr>
          <w:color w:val="0046B4"/>
        </w:rPr>
        <w:t>, quantitative findings are reported in the Predictive Performance and Interpretation subsections, and the expanded Application and Key Considerations section contains the broader interpretation, practical choices, and limitations.</w:t>
      </w:r>
    </w:p>
    <w:p>
      <w:pPr>
        <w:pStyle w:val="BodyText"/>
        <w:bidi w:val="0"/>
        <w:spacing w:lineRule="auto" w:line="264" w:before="0" w:after="100"/>
        <w:jc w:val="start"/>
        <w:rPr/>
      </w:pPr>
      <w:r>
        <w:rPr/>
        <w:t>-In this reviewer’s opinion, the github page provides an abundance of knowledge concerning this project that is critical to the success of the work, but a reader may miss if they do not navigate to the 2nd supplementary section. It is suggested that the Github page’s content is summarized more in the work, i.e. in methods or discussion, and consider directing the readers to the respective github folders for each section within the manuscript, rather than just referencing the supplemental. </w:t>
      </w:r>
    </w:p>
    <w:p>
      <w:pPr>
        <w:pStyle w:val="BodyText"/>
        <w:bidi w:val="0"/>
        <w:spacing w:lineRule="auto" w:line="264" w:before="0" w:after="100"/>
        <w:jc w:val="start"/>
        <w:rPr/>
      </w:pPr>
      <w:r>
        <w:rPr>
          <w:color w:val="0046B4"/>
        </w:rPr>
        <w:t>The main text now includes more detail about the workflow in the GitHub repository and directs readers to the relevant folders at each step. Specifically, the model-building, prediction, and study-simulation sections point to the 01_Models, 02_APriori_PBPK_Workflow, and 03_Study_Simulations folders in Supplementary Material 1. The supplement provides README instructions for the key tasks and the executable code needed to reproduce the analyses.</w:t>
      </w:r>
    </w:p>
    <w:p>
      <w:pPr>
        <w:pStyle w:val="BodyText"/>
        <w:bidi w:val="0"/>
        <w:spacing w:lineRule="auto" w:line="264" w:before="0" w:after="100"/>
        <w:jc w:val="start"/>
        <w:rPr/>
      </w:pPr>
      <w:r>
        <w:rPr/>
        <w:t>Minor Comments:</w:t>
      </w:r>
    </w:p>
    <w:p>
      <w:pPr>
        <w:pStyle w:val="BodyText"/>
        <w:bidi w:val="0"/>
        <w:spacing w:lineRule="auto" w:line="264" w:before="0" w:after="100"/>
        <w:jc w:val="start"/>
        <w:rPr/>
      </w:pPr>
      <w:r>
        <w:rPr/>
        <w:t>-The second part of this following sentence from the methods section is not clear and could benefit from rewording “Clearance was calculated as dose divided by AUCinf and represents total systemic clearance; at target-saturating doses it is expected to be dominated by linear clearance rather than serving as a specific marker of nonlinear target-mediated elimination.”</w:t>
      </w:r>
    </w:p>
    <w:p>
      <w:pPr>
        <w:pStyle w:val="BodyText"/>
        <w:bidi w:val="0"/>
        <w:spacing w:lineRule="auto" w:line="264" w:before="0" w:after="100"/>
        <w:jc w:val="start"/>
        <w:rPr/>
      </w:pPr>
      <w:r>
        <w:rPr>
          <w:color w:val="0046B4"/>
        </w:rPr>
        <w:t>The revised sentence now defines clearance as dose divided by AUCinf and states that it reflects total systemic elimination, including any target-mediated contribution. We also added that, because AUCinf depends on terminal-phase estimation, the clearance comparison depends on adequate late sampling.</w:t>
      </w:r>
    </w:p>
    <w:p>
      <w:pPr>
        <w:pStyle w:val="BodyText"/>
        <w:bidi w:val="0"/>
        <w:spacing w:lineRule="auto" w:line="264" w:before="0" w:after="100"/>
        <w:jc w:val="start"/>
        <w:rPr/>
      </w:pPr>
      <w:r>
        <w:rPr/>
        <w:br/>
      </w:r>
      <w:r>
        <w:rPr>
          <w:b/>
          <w:bCs/>
        </w:rPr>
        <w:t>Reviewer 2:</w:t>
      </w:r>
      <w:r>
        <w:rPr/>
        <w:t xml:space="preserve"> </w:t>
      </w:r>
    </w:p>
    <w:p>
      <w:pPr>
        <w:pStyle w:val="BodyText"/>
        <w:bidi w:val="0"/>
        <w:spacing w:lineRule="auto" w:line="264" w:before="0" w:after="100"/>
        <w:jc w:val="start"/>
        <w:rPr/>
      </w:pPr>
      <w:r>
        <w:rPr/>
        <w:t>Review summary</w:t>
      </w:r>
    </w:p>
    <w:p>
      <w:pPr>
        <w:pStyle w:val="BodyText"/>
        <w:bidi w:val="0"/>
        <w:spacing w:lineRule="auto" w:line="264" w:before="0" w:after="100"/>
        <w:jc w:val="start"/>
        <w:rPr/>
      </w:pPr>
      <w:r>
        <w:rPr/>
        <w:t>Useful application of established PBPK/TMDD methods in a NAM context, but limited novelty and impact</w:t>
      </w:r>
    </w:p>
    <w:p>
      <w:pPr>
        <w:pStyle w:val="BodyText"/>
        <w:bidi w:val="0"/>
        <w:spacing w:lineRule="auto" w:line="264" w:before="0" w:after="100"/>
        <w:jc w:val="start"/>
        <w:rPr/>
      </w:pPr>
      <w:r>
        <w:rPr/>
        <w:t>Review text</w:t>
      </w:r>
    </w:p>
    <w:p>
      <w:pPr>
        <w:pStyle w:val="BodyText"/>
        <w:bidi w:val="0"/>
        <w:spacing w:lineRule="auto" w:line="264" w:before="0" w:after="100"/>
        <w:jc w:val="start"/>
        <w:rPr/>
      </w:pPr>
      <w:r>
        <w:rPr/>
        <w:t>This paper addresses whether PBPK modeling can help preclinical pharmacology teams to design monkey PK studies with fewer animals (hence, the NAMs positioning), and whether addition of TMDD reactions can improve performance for antibodies with non-linear PK. The modeling itself appears reasonable, and I appreciate the authors’ efforts to provide the reader with a reproducible workflow in PK-sim/mobi. My main concern is novelty and I am unsure of what is genuinely new. The recent regulatory interest in NAMs makes the subject timely but does not make the underlying methods new. The paper needs to explain more clearly what it adds beyond this prior work. The authors cite several foundational articles for antibody PBPK/PD that have key overlaps and could consider citing several others (Glassman 2019, Chen 2024 that also uses PK-sim, Stader 2025, etc.).</w:t>
      </w:r>
    </w:p>
    <w:p>
      <w:pPr>
        <w:pStyle w:val="BodyText"/>
        <w:bidi w:val="0"/>
        <w:spacing w:lineRule="auto" w:line="264" w:before="0" w:after="100"/>
        <w:jc w:val="start"/>
        <w:rPr/>
      </w:pPr>
      <w:r>
        <w:rPr>
          <w:color w:val="0046B4"/>
        </w:rPr>
        <w:t xml:space="preserve">We agree that PBPK/TMDD methods are well established, and the revised Introduction now describes the article as applying established methods within a NAM decision framework rather than presenting a new modeling method. Based on the reviewer’s feedback, the paper is now </w:t>
      </w:r>
      <w:r>
        <w:rPr>
          <w:color w:val="0046B4"/>
        </w:rPr>
        <w:t>structured and written</w:t>
      </w:r>
      <w:r>
        <w:rPr>
          <w:color w:val="0046B4"/>
        </w:rPr>
        <w:t xml:space="preserve"> as a tutorial. It shows how to link six mechanistic in vitro inputs, target- and species-specific PBPK models, predictions without calibration </w:t>
      </w:r>
      <w:r>
        <w:rPr>
          <w:color w:val="0046B4"/>
        </w:rPr>
        <w:t>with</w:t>
      </w:r>
      <w:r>
        <w:rPr>
          <w:color w:val="0046B4"/>
        </w:rPr>
        <w:t xml:space="preserve"> in vivo PK data, and variability and uncertainty simulations to the design of exploratory mAb PK studies. The expanded Application and Key Considerations section states this practical contribution and discusses the current limitations.</w:t>
      </w:r>
    </w:p>
    <w:p>
      <w:pPr>
        <w:pStyle w:val="BodyText"/>
        <w:bidi w:val="0"/>
        <w:spacing w:lineRule="auto" w:line="264" w:before="0" w:after="100"/>
        <w:jc w:val="start"/>
        <w:rPr/>
      </w:pPr>
      <w:r>
        <w:rPr/>
        <w:t>I am also not fully comfortable with the repeated use of “a priori.” Several important inputs were taken from previous modeling analyses rather than measured independently. This does not invalidate the retrospective, but it means that the predictions are not fully independent of prior in vivo knowledge and those prior studies still use monkeys. This is perhaps the most critical methodological point to address if the claim is that a priori PBPK augmented with TMDD parameters can reduce study sizes.</w:t>
      </w:r>
    </w:p>
    <w:p>
      <w:pPr>
        <w:pStyle w:val="BodyText"/>
        <w:bidi w:val="0"/>
        <w:spacing w:lineRule="auto" w:line="264" w:before="0" w:after="100"/>
        <w:jc w:val="start"/>
        <w:rPr/>
      </w:pPr>
      <w:r>
        <w:rPr>
          <w:color w:val="0046B4"/>
        </w:rPr>
        <w:t>We replaced the repeated use of “a priori” in the main description of the prediction exercise with “without calibration to the analyzed in vivo PK data.” The revised text identifies which mechanistic inputs were obtained from prior modeling studies because direct experimental values were unavailable, including FcRn affinity estimates and several target-system parameters. The Application and Key Considerations section also explains that these inputs may carry information from earlier in vivo analyses; therefore, the retrospective results should not be interpreted as a fully independent prospective test based only on in vitro evidence.</w:t>
      </w:r>
    </w:p>
    <w:p>
      <w:pPr>
        <w:pStyle w:val="BodyText"/>
        <w:bidi w:val="0"/>
        <w:spacing w:lineRule="auto" w:line="264" w:before="0" w:after="100"/>
        <w:jc w:val="start"/>
        <w:rPr/>
      </w:pPr>
      <w:r>
        <w:rPr/>
        <w:t>The choice of molecules also limits what can be concluded. All eight antibodies are marketed products directed against well-studied targets. They are well-studied and likely the expression data in the pk-sim database for these targets is better validated. It is difficult to judge how well the workflow would perform for a first-in-class antibody against a novel target, where target abundance and relevant parameters (turnover, internalization, shedding, localization, etc) may be poorly understood. This is an important limitation because early programs involving less-characterized targets may be where a NAM-based framework would be most valuable. And, such programs would be more amenable to giving mechanistic modelers a seat at the table to guide early decisions.</w:t>
      </w:r>
    </w:p>
    <w:p>
      <w:pPr>
        <w:pStyle w:val="BodyText"/>
        <w:bidi w:val="0"/>
        <w:spacing w:lineRule="auto" w:line="264" w:before="0" w:after="100"/>
        <w:jc w:val="start"/>
        <w:rPr/>
      </w:pPr>
      <w:r>
        <w:rPr>
          <w:color w:val="0046B4"/>
        </w:rPr>
        <w:t>The choice of molecules was driven by the availability of public monkey PK, human PK, and mechanistic input data. The revised Application and Key Considerations section states that the analysis is limited to eight marketed antibodies against comparatively well-studied targets and may not transfer to a first-in-class antibody with a poorly characterized target. It also identifies prospective testing with additional molecules and less-characterized targets as a next step and specifies the binding, target abundance and localization, turnover, and internalization data needed to support such evaluations.</w:t>
      </w:r>
    </w:p>
    <w:p>
      <w:pPr>
        <w:pStyle w:val="BodyText"/>
        <w:bidi w:val="0"/>
        <w:spacing w:lineRule="auto" w:line="264" w:before="0" w:after="100"/>
        <w:jc w:val="start"/>
        <w:rPr/>
      </w:pPr>
      <w:r>
        <w:rPr/>
        <w:t>The retrospective analysis appears sufficient to suggest useful predictive performance, but expansion to a larger dataset of antibodies would generate more quantitative and mechanistic insights into when or why the method works. The dataset includes 2 or more antibodies against PD-1, PD-L1, and TNFα, but the manuscript does not make much use of this structure. It would be great to understand whether predictions are consistent among antibodies sharing the same target and, when they are not, whether the differences arise from target assumptions, drug pharmacology, model structure and parameterization, etc. Since the work is based entirely on published information using targets that have been aggressively pursued in drug development, the authors could consider adding more antibodies against the same targets. A larger within-target analysis could provide more useful mechanistic insight than aggregate percentages across a small dataset. I found it difficult to draw conclusions from the fold-error figures beyond a visual check of prediction performance, and maybe such a within-target analysis could make these comparisons more useful to the reader.</w:t>
      </w:r>
    </w:p>
    <w:p>
      <w:pPr>
        <w:pStyle w:val="BodyText"/>
        <w:bidi w:val="0"/>
        <w:spacing w:lineRule="auto" w:line="264" w:before="0" w:after="100"/>
        <w:jc w:val="start"/>
        <w:rPr/>
      </w:pPr>
      <w:r>
        <w:rPr>
          <w:color w:val="0046B4"/>
        </w:rPr>
        <w:t>We added a descriptive within-target PD-L1 comparison. The revised text reports that all five evaluated atezolizumab doses met the AUC0-28d and clearance criteria, whereas only one of four avelumab doses met the AUC0-28d criterion, and it explicitly notes that this contrast does not isolate the cause. We also discuss uncertainty in target-system parameters, terminal-phase data, and patient target expression as possible contributors to prediction differences.</w:t>
      </w:r>
    </w:p>
    <w:p>
      <w:pPr>
        <w:pStyle w:val="BodyText"/>
        <w:bidi w:val="0"/>
        <w:spacing w:lineRule="auto" w:line="264" w:before="0" w:after="100"/>
        <w:jc w:val="start"/>
        <w:rPr/>
      </w:pPr>
      <w:r>
        <w:rPr>
          <w:color w:val="0046B4"/>
        </w:rPr>
        <w:t xml:space="preserve">We did not expand the antibody set because the analysis relied on publicly available monkey PK, human PK, and mechanistic input data. We agree that a larger within-target dataset is needed for a more quantitative assessment of molecule- and target-specific prediction differences. The Application and Key Considerations section now identifies a larger retrospective set, including multiple antibodies per target and less-characterized targets, as a next step. As suggested by Reviewer 2, we re-framed the manuscript as an implementation-focused tutorial, with the workflow rather than broad validation as its </w:t>
      </w:r>
      <w:r>
        <w:rPr>
          <w:color w:val="0046B4"/>
        </w:rPr>
        <w:t xml:space="preserve">main </w:t>
      </w:r>
      <w:r>
        <w:rPr>
          <w:color w:val="0046B4"/>
        </w:rPr>
        <w:t>contribution.</w:t>
      </w:r>
    </w:p>
    <w:p>
      <w:pPr>
        <w:pStyle w:val="BodyText"/>
        <w:bidi w:val="0"/>
        <w:spacing w:lineRule="auto" w:line="264" w:before="0" w:after="100"/>
        <w:jc w:val="start"/>
        <w:rPr/>
      </w:pPr>
      <w:r>
        <w:rPr/>
        <w:t>Returning to the crux of the paper with the simulation-based study size analysis… These conclusions also need to be more carefully qualified and this section could be expanded to better reflect its importance to the paper. The simulations suggest that 6 or fewer cynos may be sufficient to recover selected PK measures and establish predictive performance. I was surprised that the study did not more explicitly compare or integrate this approach with other industry strategies for optimizing study design that are widely in use. Study size may not always be determined by PK prediction alone. While practice varies between sponsors, more animals are often added to address the frequent observation of ADA/immunogenicity that reduces the number of animals in the dataset or censors their later time points. It is common to also consider biological variability (the authors mention this as a complicating factor for some of their dataset’s antibodies in the clinic), add PD/efficacy endpoints alongside PK, and assess PK in nonclinical safety studies. There is also growing use of the hybrid approach to scale human PK from transgenic FcRn mice (via allometric or PBPK methods) and combine that with target binding affinity and clinical target expression to predict TMDD effects. In other words, 3Rs, budget, and accelerated program timelines already motivate smaller study designs or alternatives to monkeys (as with hFcRn mice). Therefore, the assumed comparator of at least 15 monkeys for an exploratory single-dose PK study does not seem to represent current industry practices. Therefore, the manuscript supports the usefulness of the PBPK/TMDD approach to shrink very large PK-only studies, but could be better positioned by the authors within best-practices in use today.</w:t>
      </w:r>
    </w:p>
    <w:p>
      <w:pPr>
        <w:pStyle w:val="BodyText"/>
        <w:bidi w:val="0"/>
        <w:spacing w:lineRule="auto" w:line="264" w:before="0" w:after="100"/>
        <w:jc w:val="start"/>
        <w:rPr>
          <w:color w:val="0046B4"/>
        </w:rPr>
      </w:pPr>
      <w:r>
        <w:rPr>
          <w:color w:val="0046B4"/>
        </w:rPr>
        <w:t xml:space="preserve">The eight-antibody analysis </w:t>
      </w:r>
      <w:r>
        <w:rPr>
          <w:color w:val="0046B4"/>
        </w:rPr>
        <w:t xml:space="preserve">is now positioned as </w:t>
      </w:r>
      <w:r>
        <w:rPr>
          <w:color w:val="0046B4"/>
        </w:rPr>
        <w:t>a retrospective illustration, without a claim of method novelty or broad validation. The revised manuscript now places the model-informed design alongside current practices, including fewer dose groups, microsampling, cassette dosing, animal reuse, and PK/TK sampling embedded in other studies. It also explains that anti-drug antibodies, biological variability, and additional pharmacodynamic or safety objectives may require more animals. The 15-animal design is now described only as the modeled five-dose comparator, not as a universal representation of current industry practice, and human FcRn transgenic mice are discussed as a potential alternative that was not tested here.</w:t>
      </w:r>
    </w:p>
    <w:p>
      <w:pPr>
        <w:pStyle w:val="BodyText"/>
        <w:bidi w:val="0"/>
        <w:spacing w:lineRule="auto" w:line="264" w:before="0" w:after="100"/>
        <w:jc w:val="start"/>
        <w:rPr/>
      </w:pPr>
      <w:r>
        <w:rPr/>
        <w:t>Overall, I think the paper may be stronger if refra</w:t>
      </w:r>
      <w:r>
        <w:rPr>
          <w:b w:val="false"/>
          <w:bCs w:val="false"/>
        </w:rPr>
        <w:t>med as a methods article showing how established PBPK/TMDD approaches can be used within a NAM decision framework. T</w:t>
      </w:r>
      <w:r>
        <w:rPr/>
        <w:t>hat could be a useful contribution, but it would require greater emphasis on implementation details rather than on novelty. A perspective article could also be considered if the primary contribution is intended to be positioning established PBPK/TMDD modeling practices within the evolving NAM landscape, but this would be more difficult given the relatively rich publication history in this area. If kept as a research article, the points in the above paragraphs should be addressed, especially around novelty and expansion of the antibody dataset to enable more insightful comparisons. Because these concerns affect the basic framing of the paper, I have not provided detailed comments on the specifics of each figure, table, or result. The work may change substantially if the manuscript is repositioned. I recommend that the editors should consider requesting such a major revision.</w:t>
      </w:r>
    </w:p>
    <w:p>
      <w:pPr>
        <w:pStyle w:val="BodyText"/>
        <w:bidi w:val="0"/>
        <w:spacing w:lineRule="auto" w:line="264" w:before="0" w:after="100"/>
        <w:jc w:val="start"/>
        <w:rPr/>
      </w:pPr>
      <w:r>
        <w:rPr>
          <w:color w:val="0046B4"/>
        </w:rPr>
        <w:t>We have re-framed the article as an implementation-focused tutorial. The main text now explains the workflow step by step, from mechanistic input collection and model construction through prediction, retrospective evaluation, and the conditional study-design simulation, with reproducible executable files and task-specific instructions in Supplementary Material 1. The analysis files were also reorganized to provide additional implementation detail. Because the available public data limited the dataset, the eight-antibody analysis is presented as a retrospective illustration, without a claim of method novelty or broad validation.</w:t>
      </w:r>
    </w:p>
    <w:p>
      <w:pPr>
        <w:pStyle w:val="BodyText"/>
        <w:bidi w:val="0"/>
        <w:spacing w:lineRule="auto" w:line="264" w:before="0" w:after="100"/>
        <w:jc w:val="start"/>
        <w:rPr>
          <w:color w:val="0046B4"/>
        </w:rPr>
      </w:pPr>
      <w:r>
        <w:rPr>
          <w:color w:val="0046B4"/>
        </w:rPr>
      </w:r>
    </w:p>
    <w:p>
      <w:pPr>
        <w:pStyle w:val="BodyText"/>
        <w:bidi w:val="0"/>
        <w:spacing w:lineRule="auto" w:line="264" w:before="0" w:after="100"/>
        <w:jc w:val="start"/>
        <w:rPr/>
      </w:pPr>
      <w:r>
        <w:rPr/>
      </w:r>
    </w:p>
    <w:sectPr>
      <w:type w:val="nextPage"/>
      <w:pgSz w:w="12240" w:h="15840"/>
      <w:pgMar w:left="1134" w:right="1134" w:gutter="0" w:header="0" w:top="792" w:footer="0" w:bottom="792"/>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1"/>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LibreOffice/26.2.5.2$Windows_X86_64 LibreOffice_project/cd7284b4cbbfeb507e630c1aac019f4157393acb</Application>
  <AppVersion>15.0000</AppVersion>
  <Pages>4</Pages>
  <Words>2449</Words>
  <Characters>14235</Characters>
  <CharactersWithSpaces>16659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2026-09-18T12:57:13Z</dcterms:created>
  <dc:creator/>
  <dc:description/>
  <dc:language>en-US</dc:language>
  <cp:lastModifiedBy/>
  <dcterms:modified xsi:type="dcterms:W3CDTF">2026-09-23T21:05:41Z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