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Physiologically-Based Pharmacokinetic Modeling to Guide Reduced Monkey PK Studies for Monoclonal Antibodies: A Tutorial</w:t>
      </w:r>
    </w:p>
    <w:p>
      <w:pPr>
        <w:pStyle w:val="Title"/>
        <w:jc w:val="center"/>
        <w:rPr/>
      </w:pPr>
      <w:r>
        <w:rPr/>
        <w:t>Supplementary Material S2</w:t>
      </w:r>
    </w:p>
    <w:p>
      <w:pPr>
        <w:pStyle w:val="Normal"/>
        <w:jc w:val="center"/>
        <w:rPr>
          <w:b/>
          <w:bCs/>
        </w:rPr>
      </w:pPr>
      <w:r>
        <w:rPr>
          <w:b/>
          <w:bCs/>
        </w:rPr>
        <w:t>Additional Figures and Tables</w:t>
      </w:r>
    </w:p>
    <w:p>
      <w:pPr>
        <w:pStyle w:val="Normal"/>
        <w:spacing w:before="0" w:after="0"/>
        <w:jc w:val="left"/>
        <w:rPr>
          <w:b/>
        </w:rPr>
      </w:pPr>
      <w:r>
        <w:rPr>
          <w:b/>
          <w:bCs/>
        </w:rPr>
        <w:t>1. Parame</w:t>
      </w:r>
      <w:r>
        <w:rPr>
          <w:b/>
        </w:rPr>
        <w:t>ters Used in the A Priori Predictions</w:t>
      </w:r>
    </w:p>
    <w:tbl>
      <w:tblPr>
        <w:tblW w:w="10469" w:type="dxa"/>
        <w:jc w:val="left"/>
        <w:tblInd w:w="25" w:type="dxa"/>
        <w:tblLayout w:type="fixed"/>
        <w:tblCellMar>
          <w:top w:w="0" w:type="dxa"/>
          <w:left w:w="30" w:type="dxa"/>
          <w:bottom w:w="0" w:type="dxa"/>
          <w:right w:w="30" w:type="dxa"/>
        </w:tblCellMar>
        <w:tblLook w:val="04a0" w:firstRow="1" w:noVBand="1" w:lastRow="0" w:firstColumn="1" w:lastColumn="0" w:noHBand="0"/>
      </w:tblPr>
      <w:tblGrid>
        <w:gridCol w:w="1599"/>
        <w:gridCol w:w="953"/>
        <w:gridCol w:w="1710"/>
        <w:gridCol w:w="1169"/>
        <w:gridCol w:w="807"/>
        <w:gridCol w:w="3061"/>
        <w:gridCol w:w="1170"/>
      </w:tblGrid>
      <w:tr>
        <w:trPr>
          <w:trHeight w:val="64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Molecule</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jc w:val="center"/>
              <w:rPr>
                <w:sz w:val="22"/>
                <w:szCs w:val="22"/>
              </w:rPr>
            </w:pPr>
            <w:r>
              <w:rPr>
                <w:b/>
                <w:sz w:val="22"/>
                <w:szCs w:val="22"/>
              </w:rPr>
              <w:t>Species</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Parameter</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Value</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Unit</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Analytical Method for deriving the parameter</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276" w:before="0" w:after="0"/>
              <w:ind w:hanging="0" w:left="0" w:right="269"/>
              <w:jc w:val="center"/>
              <w:rPr>
                <w:sz w:val="22"/>
                <w:szCs w:val="22"/>
              </w:rPr>
            </w:pPr>
            <w:r>
              <w:rPr>
                <w:b/>
                <w:sz w:val="22"/>
                <w:szCs w:val="22"/>
              </w:rPr>
              <w:t>Source</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0.000127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[2]</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[3]</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 [5]</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0.299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Equilibrium binding studies using human PD-L1 expressed on 293 cells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0.00936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Flow cytometry internalization assay in BxPC-3 cells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[6]</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[6]</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1155"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0.0000467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[8]</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pHrodo flow-cytometry internalization assay</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[6]</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[6]</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0.000058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0.00186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[10]</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quantitative fluorescence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[11]</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cycloheximide-chase protein degradation assay; western blot dosimetry</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[10]</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0.000018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0.005583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of the source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Model-derived TNF-alpha baseline assumption (1 pM)</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0.00145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T100)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0.114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0.00031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0.081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0.00134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0.01284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 Pulse chase experiments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2.2</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Ligand-binding receptor assay (assumed same across species)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[16]</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720"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 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0.000127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Estimated from minimal PBPK model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[3]</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256"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0.299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Equilibrium binding studies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0.00936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Flow cytometry internalization assay in BxPC-3 cells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[6]</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256"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0.0000467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[8]</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pHrodo flow-cytometry internalization assay</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[6]</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256"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0.000058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0.00186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[17]</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quantitative fluorescence (assumed same across species)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[11]</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cycloheximide-chase protein degradation assay; western blot dosimetry</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[17]</w:t>
            </w:r>
          </w:p>
        </w:tc>
      </w:tr>
      <w:tr>
        <w:trPr>
          <w:trHeight w:val="256"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0.000018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0.005583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[2]</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Model-derived TNF-alpha baseline assumption (1 pM)</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[4]</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256"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0.00145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T100)</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0.114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0.07138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[13]</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256"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0.00031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[13]</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0.07138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of the source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256"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0.081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0.00134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0.01284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Ligand-binding receptor assay</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[16]</w:t>
            </w:r>
          </w:p>
        </w:tc>
      </w:tr>
      <w:tr>
        <w:trPr>
          <w:trHeight w:val="417"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256" w:hRule="atLeast"/>
        </w:trPr>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bl>
    <w:p>
      <w:pPr>
        <w:sectPr>
          <w:type w:val="nextPage"/>
          <w:pgSz w:w="12240" w:h="15840"/>
          <w:pgMar w:left="1440" w:right="1440" w:gutter="0" w:header="0" w:top="1440" w:footer="0" w:bottom="1440"/>
          <w:pgNumType w:fmt="decimal"/>
          <w:formProt w:val="false"/>
          <w:textDirection w:val="lrTb"/>
          <w:docGrid w:type="default" w:linePitch="360" w:charSpace="0"/>
        </w:sectPr>
      </w:pPr>
      <w:r>
        <w:br w:type="page"/>
      </w:r>
    </w:p>
    <w:p>
      <w:pPr>
        <w:pStyle w:val="Normal"/>
        <w:spacing w:before="0" w:after="160"/>
        <w:rPr>
          <w:b/>
          <w:bCs/>
        </w:rPr>
      </w:pPr>
      <w:r>
        <w:rPr>
          <w:b/>
          <w:bCs/>
        </w:rPr>
      </w:r>
    </w:p>
    <w:p>
      <w:pPr>
        <w:pStyle w:val="Normal"/>
        <w:spacing w:before="0" w:after="160"/>
        <w:rPr/>
      </w:pPr>
      <w:r>
        <w:rPr>
          <w:b/>
          <w:bCs/>
        </w:rPr>
        <w:t xml:space="preserve">2. Local Sensitivity Analysis of Target Related Parameters on Clearance Estimate Using PBPK Model. </w:t>
      </w:r>
      <w:r>
        <w:rPr/>
        <w:t>An a priori PBPK modeling framework was used to assess parameter sensitivity by varying the target reference concentration, target degradation rate (kdeg), and internalization rate (kint) one at a time while holding all other model parameters constant. Each parameter was varied by decreasing to 0.1-fold and increasing to 10-fold of its reference value, and the resulting terminal clearance was compared with the reference simulation. The normalized sensitivity coefficient was calculated as ln(CLvaried/CLreference)/ln(Pvaried/Preference), and a sensitivity index of 1+ the normalized coefficient was reported, such that a value of 1 indicates no sensitivity. Sensitivity indices were averaged across evaluated doses for each molecule and ranked from highest to lowest in the figure.</w:t>
      </w:r>
    </w:p>
    <w:p>
      <w:pPr>
        <w:pStyle w:val="Normal"/>
        <w:jc w:val="left"/>
        <w:rPr>
          <w:b/>
          <w:bCs/>
        </w:rPr>
      </w:pPr>
      <w:r>
        <w:rPr/>
        <w:drawing>
          <wp:inline distT="0" distB="0" distL="0" distR="0">
            <wp:extent cx="6608445" cy="432054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2"/>
                    <a:stretch>
                      <a:fillRect/>
                    </a:stretch>
                  </pic:blipFill>
                  <pic:spPr bwMode="auto">
                    <a:xfrm>
                      <a:off x="0" y="0"/>
                      <a:ext cx="6608445" cy="4320540"/>
                    </a:xfrm>
                    <a:prstGeom prst="rect">
                      <a:avLst/>
                    </a:prstGeom>
                    <a:noFill/>
                  </pic:spPr>
                </pic:pic>
              </a:graphicData>
            </a:graphic>
          </wp:inline>
        </w:drawing>
      </w:r>
    </w:p>
    <w:p>
      <w:pPr>
        <w:pStyle w:val="Normal"/>
        <w:jc w:val="left"/>
        <w:rPr>
          <w:b/>
          <w:bCs/>
        </w:rPr>
      </w:pPr>
      <w:r>
        <w:rPr>
          <w:b/>
          <w:bCs/>
        </w:rPr>
      </w:r>
    </w:p>
    <w:p>
      <w:pPr>
        <w:pStyle w:val="Normal"/>
        <w:spacing w:before="0" w:after="80"/>
        <w:rPr>
          <w:b/>
          <w:bCs/>
        </w:rPr>
      </w:pPr>
      <w:r>
        <w:rPr>
          <w:b/>
          <w:bCs/>
        </w:rPr>
      </w:r>
      <w:r>
        <w:br w:type="page"/>
      </w:r>
    </w:p>
    <w:p>
      <w:pPr>
        <w:pStyle w:val="Heading1"/>
        <w:spacing w:before="0" w:after="80"/>
        <w:rPr/>
      </w:pPr>
      <w:r>
        <w:rPr/>
        <w:t>References</w:t>
      </w:r>
    </w:p>
    <w:p>
      <w:pPr>
        <w:pStyle w:val="Normal"/>
        <w:rPr/>
      </w:pPr>
      <w:r>
        <w:rPr/>
        <w:t>1. Shealy DJ, Cai A, Staquet K, Baker A, Lacy ER, Johns L, et al. Characterization of golimumab, a human monoclonal antibody specific for human tumor necrosis factor alpha. mAbs. 2010;2(4):428-439. doi:10.4161/mabs.2.4.12304.</w:t>
      </w:r>
    </w:p>
    <w:p>
      <w:pPr>
        <w:pStyle w:val="Normal"/>
        <w:rPr/>
      </w:pPr>
      <w:r>
        <w:rPr/>
        <w:t>2. Zheng S, Niu J, Geist B, Fink D, Xu Z, Zhou H, Wang W. A minimal physiologically based pharmacokinetic model to characterize colon TNF suppression and treatment effects of an anti-TNF monoclonal antibody in a mouse inflammatory bowel disease model. mAbs. 2020;12(1):1813962. doi:10.1080/19420862.2020.1813962.</w:t>
      </w:r>
    </w:p>
    <w:p>
      <w:pPr>
        <w:pStyle w:val="Normal"/>
        <w:rPr/>
      </w:pPr>
      <w:r>
        <w:rPr/>
        <w:t>3. Reig-López J, García-Otero X, Cuquerella-Gilabert M, Bandín-Vilar E, Otero-Espinar FJ, Fernández-Ferreiro A, et al. A physiologically based pharmacokinetic model to describe [89Zr]Zr-DFO-adalimumab specific activity after intravitreal administration to rats with endotoxin-induced uveitis. International Journal of Pharmaceutics. 2025;681:125845. doi:10.1016/j.ijpharm.2025.125845.</w:t>
      </w:r>
    </w:p>
    <w:p>
      <w:pPr>
        <w:pStyle w:val="Normal"/>
        <w:rPr/>
      </w:pPr>
      <w:r>
        <w:rPr/>
        <w:t>4. Chen J, Lin R, Guo G, Wu W, Ke M, Ke C, et al. Physiologically-Based Pharmacokinetic Modeling of Anti-Tumor Necrosis Factor Agents for Inflammatory Bowel Disease Patients to Predict the Withdrawal Time in Pregnancy and Vaccine Time in Infants. Clinical Pharmacology &amp; Therapeutics. 2023;114(6):1254-1263. doi:10.1002/cpt.3031.</w:t>
      </w:r>
    </w:p>
    <w:p>
      <w:pPr>
        <w:pStyle w:val="Normal"/>
        <w:rPr/>
      </w:pPr>
      <w:r>
        <w:rPr/>
        <w:t>5.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 Translational Science. 2026;9:177-190. doi:10.1021/acsptsci.5c00674.</w:t>
      </w:r>
    </w:p>
    <w:p>
      <w:pPr>
        <w:pStyle w:val="Normal"/>
        <w:rPr/>
      </w:pPr>
      <w:r>
        <w:rPr/>
        <w:t>6. Huang W, Stader F, Chan P, Shemesh CS, Chen Y, Gill KL, et al. Development of a pediatric physiologically-based pharmacokinetic model to support recommended dosing of atezolizumab in children with solid tumors. Frontiers in Pharmacology. 2022;13:974423. doi:10.3389/fphar.2022.974423.</w:t>
      </w:r>
    </w:p>
    <w:p>
      <w:pPr>
        <w:pStyle w:val="Normal"/>
        <w:rPr/>
      </w:pPr>
      <w:r>
        <w:rPr/>
        <w:t>7. Jin H, D'Urso V, Neuteboom B, McKenna SD, Schweickhardt R, Gross AW, et al. Avelumab internalization by human circulating immune cells is mediated by both Fc gamma receptor and PD-L1 binding. OncoImmunology. 2021;10(1):1958590. doi:10.1080/2162402X.2021.1958590.</w:t>
      </w:r>
    </w:p>
    <w:p>
      <w:pPr>
        <w:pStyle w:val="Normal"/>
        <w:rPr/>
      </w:pPr>
      <w:r>
        <w:rPr/>
        <w:t>8. Benicky J, Sanda M, Brnakova Kennedy Z, Grant OC, Woods RJ, Zwart A, Goldman R. PD-L1 Glycosylation and Its Impact on Binding to Clinical Antibodies. Journal of Proteome Research. 2021;20(1):485-497. doi:10.1021/acs.jproteome.0c00521.</w:t>
      </w:r>
    </w:p>
    <w:p>
      <w:pPr>
        <w:pStyle w:val="Normal"/>
        <w:rPr/>
      </w:pPr>
      <w:r>
        <w:rPr/>
        <w:t>9. Papadopoulos N, Martin J, Ruan Q, Rafique A, Rosconi MP, Shi E, et al. Binding and neutralization of vascular endothelial growth factor (VEGF) and related ligands by VEGF Trap, ranibizumab and bevacizumab. Angiogenesis. 2012;15(2):171-185. doi:10.1007/s10456-011-9249-6.</w:t>
      </w:r>
    </w:p>
    <w:p>
      <w:pPr>
        <w:pStyle w:val="Normal"/>
        <w:rPr/>
      </w:pPr>
      <w:r>
        <w:rPr/>
        <w:t>10. Calera MR, Venkatakrishnan A, Kazlauskas A. VE-cadherin increases the half-life of VEGF receptor 2. Experimental Cell Research. 2004;300(1):248-256. doi:10.1016/j.yexcr.2004.07.007.</w:t>
      </w:r>
    </w:p>
    <w:p>
      <w:pPr>
        <w:pStyle w:val="Normal"/>
        <w:rPr/>
      </w:pPr>
      <w:r>
        <w:rPr/>
        <w:t>11. Imoukhuede PI, Popel AS. Quantification and cell-to-cell variation of vascular endothelial growth factor receptors. Experimental Cell Research. 2011;317(7):955-965. doi:10.1016/j.yexcr.2010.12.014.</w:t>
      </w:r>
    </w:p>
    <w:p>
      <w:pPr>
        <w:pStyle w:val="Normal"/>
        <w:rPr/>
      </w:pPr>
      <w:r>
        <w:rPr/>
        <w:t>12. Tan S, Zhang H, Chai Y, Song H, Tong Z, Wang Q, et al. An unexpected N-terminal loop in PD-1 dominates binding by nivolumab. Nature Communications. 2017;8:14369. doi:10.1038/ncomms14369.</w:t>
      </w:r>
    </w:p>
    <w:p>
      <w:pPr>
        <w:pStyle w:val="Normal"/>
        <w:rPr/>
      </w:pPr>
      <w:r>
        <w:rPr/>
        <w:t>13. Lindauer A, Valiathan CR, Mehta K, Sriram V, de Greef R, Elassaiss-Schaap J, de Alwis DP. Translational Pharmacokinetic/Pharmacodynamic Modeling of Tumor Growth Inhibition Supports Dose-Range Selection of the Anti-PD-1 Antibody Pembrolizumab. CPT Pharmacometrics &amp; Systems Pharmacology. 2017;6(1):11-20. doi:10.1002/psp4.12130.</w:t>
      </w:r>
    </w:p>
    <w:p>
      <w:pPr>
        <w:pStyle w:val="Normal"/>
        <w:rPr/>
      </w:pPr>
      <w:r>
        <w:rPr/>
        <w:t>14. Xu C, Rafique A, Potocky T, Paccaly A, Nolain P, Lu Q, et al. Differential Binding of Sarilumab and Tocilizumab to IL-6Rα and Effects of Receptor Occupancy on Clinical Parameters. Journal of Clinical Pharmacology. 2021;61(5):714-724. doi:10.1002/jcph.1795.</w:t>
      </w:r>
    </w:p>
    <w:p>
      <w:pPr>
        <w:pStyle w:val="Normal"/>
        <w:rPr/>
      </w:pPr>
      <w:r>
        <w:rPr/>
        <w:t>15. Gerhartz C, Dittrich E, Stoyan T, Rose-John S, Yasukawa K, Heinrich PC, Graeve L. Biosynthesis and half-life of the interleukin-6 receptor and its signal transducer gp130. European Journal of Biochemistry. 1994;223(1):265-274. doi:10.1111/j.1432-1033.1994.tb18991.x.</w:t>
      </w:r>
    </w:p>
    <w:p>
      <w:pPr>
        <w:pStyle w:val="Normal"/>
        <w:rPr/>
      </w:pPr>
      <w:r>
        <w:rPr/>
        <w:t>16. Nesbitt JE, Fuller GM. Differential regulation of interleukin-6 receptor and gp130 gene expression in rat hepatocytes. Molecular Biology of the Cell. 1992;3(1):103-112. doi:10.1091/mbc.3.1.103.</w:t>
      </w:r>
    </w:p>
    <w:p>
      <w:pPr>
        <w:pStyle w:val="Normal"/>
        <w:spacing w:before="0" w:after="160"/>
        <w:rPr/>
      </w:pPr>
      <w:r>
        <w:rPr/>
        <w:t>17. Sarabipour S, Kinghorn K, Quigley KM, Kovacs-Kasa A, Annex BH, Bautch VL, Mac Gabhann F. Trafficking dynamics of VEGFR1, VEGFR2, and NRP1 in human endothelial cells. PLOS Computational Biology. 2024;20(2):e1011798. doi:10.1371/journal.pcbi.1011798.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20"/>
  <w:defaultTabStop w:val="720"/>
  <w:autoHyphenation w:val="true"/>
  <w:hyphenationZone w:val="36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Comment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Comment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caption111" w:customStyle="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0d4e68"/>
    <w:pPr>
      <w:widowControl/>
      <w:suppressAutoHyphens w:val="fals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3065</TotalTime>
  <Application>LibreOffice/26.2.5.2$Windows_X86_64 LibreOffice_project/cd7284b4cbbfeb507e630c1aac019f4157393acb</Application>
  <AppVersion>15.0000</AppVersion>
  <Pages>9</Pages>
  <Words>1798</Words>
  <Characters>11228</Characters>
  <CharactersWithSpaces>12326</CharactersWithSpaces>
  <Paragraphs>701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2026-09-23T21:06:43Z</dcterms:modified>
  <cp:revision>225</cp:revision>
  <dc:subject/>
  <dc:title/>
</cp:coreProperties>
</file>

<file path=docProps/custom.xml><?xml version="1.0" encoding="utf-8"?>
<Properties xmlns="http://schemas.openxmlformats.org/officeDocument/2006/custom-properties" xmlns:vt="http://schemas.openxmlformats.org/officeDocument/2006/docPropsVTypes"/>
</file>