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Utility Customer Digital Portal</w:t>
      </w:r>
    </w:p>
    <w:p>
      <w:pPr>
        <w:pStyle w:val="Subtitle"/>
      </w:pPr>
      <w:r>
        <w:t xml:space="preserve">Solution Proposal — Preference Center, Energy Program Enrollment &amp; Rate Analyzer on SAP BTP</w:t>
      </w:r>
    </w:p>
    <w:p>
      <w:pPr>
        <w:pStyle w:val="Author"/>
      </w:pPr>
      <w:r>
        <w:t xml:space="preserve">Prepared by: [Your name / company] · Prepared for: [Client / utility name]</w:t>
      </w:r>
    </w:p>
    <w:p>
      <w:pPr>
        <w:pStyle w:val="Date"/>
      </w:pPr>
      <w:r>
        <w:t xml:space="preserve">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Utility customers today are asked to navigate several disconnected systems: communication</w:t>
      </w:r>
      <w:r>
        <w:t xml:space="preserve"> </w:t>
      </w:r>
      <w:r>
        <w:t xml:space="preserve">preferences live in CRM, program enrollment in a demand-response management system, rates</w:t>
      </w:r>
      <w:r>
        <w:t xml:space="preserve"> </w:t>
      </w:r>
      <w:r>
        <w:t xml:space="preserve">and billing in SAP S/4HANA Utilities, and meter usage in the MDMS. The result is a</w:t>
      </w:r>
      <w:r>
        <w:t xml:space="preserve"> </w:t>
      </w:r>
      <w:r>
        <w:t xml:space="preserve">fragmented experience, avoidable call-center volume, and missed opportunities to move</w:t>
      </w:r>
      <w:r>
        <w:t xml:space="preserve"> </w:t>
      </w:r>
      <w:r>
        <w:t xml:space="preserve">customers onto better rates and beneficial programs.</w:t>
      </w:r>
    </w:p>
    <w:p>
      <w:pPr>
        <w:pStyle w:val="BodyText"/>
      </w:pPr>
      <w:r>
        <w:t xml:space="preserve">We propose a single</w:t>
      </w:r>
      <w:r>
        <w:t xml:space="preserve"> </w:t>
      </w:r>
      <w:r>
        <w:rPr>
          <w:b/>
          <w:bCs/>
        </w:rPr>
        <w:t xml:space="preserve">Utility Customer Digital Portal</w:t>
      </w:r>
      <w:r>
        <w:t xml:space="preserve"> </w:t>
      </w:r>
      <w:r>
        <w:t xml:space="preserve">— a modern, consumer-grade</w:t>
      </w:r>
      <w:r>
        <w:t xml:space="preserve"> </w:t>
      </w:r>
      <w:r>
        <w:t xml:space="preserve">self-service experience delivered on</w:t>
      </w:r>
      <w:r>
        <w:t xml:space="preserve"> </w:t>
      </w:r>
      <w:r>
        <w:rPr>
          <w:b/>
          <w:bCs/>
        </w:rPr>
        <w:t xml:space="preserve">SAP Business Technology Platform (SAP BTP)</w:t>
      </w:r>
      <w:r>
        <w:t xml:space="preserve"> </w:t>
      </w:r>
      <w:r>
        <w:t xml:space="preserve">and</w:t>
      </w:r>
      <w:r>
        <w:t xml:space="preserve"> </w:t>
      </w:r>
      <w:r>
        <w:t xml:space="preserve">integrated with</w:t>
      </w:r>
      <w:r>
        <w:t xml:space="preserve"> </w:t>
      </w:r>
      <w:r>
        <w:rPr>
          <w:b/>
          <w:bCs/>
        </w:rPr>
        <w:t xml:space="preserve">SAP S/4HANA Utilities</w:t>
      </w:r>
      <w:r>
        <w:t xml:space="preserve">. It unifies three high-value capabilities on one</w:t>
      </w:r>
      <w:r>
        <w:t xml:space="preserve"> </w:t>
      </w:r>
      <w:r>
        <w:t xml:space="preserve">customer-centered surface: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Preference Center</w:t>
      </w:r>
      <w:r>
        <w:t xml:space="preserve"> </w:t>
      </w:r>
      <w:r>
        <w:t xml:space="preserve">— one place to manage communication channels, paperless</w:t>
      </w:r>
      <w:r>
        <w:t xml:space="preserve"> </w:t>
      </w:r>
      <w:r>
        <w:t xml:space="preserve">billing, usage/outage alerts, program and marketing opt-ins, and privacy consents, with</w:t>
      </w:r>
      <w:r>
        <w:t xml:space="preserve"> </w:t>
      </w:r>
      <w:r>
        <w:t xml:space="preserve">a complete regulatory-grade audit trail.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Program Enrollment Center</w:t>
      </w:r>
      <w:r>
        <w:t xml:space="preserve"> </w:t>
      </w:r>
      <w:r>
        <w:t xml:space="preserve">— a marketplace where customers discover</w:t>
      </w:r>
      <w:r>
        <w:t xml:space="preserve"> </w:t>
      </w:r>
      <w:r>
        <w:t xml:space="preserve">efficiency, demand-response, EV, renewable, and assistance programs, check eligibility</w:t>
      </w:r>
      <w:r>
        <w:t xml:space="preserve"> </w:t>
      </w:r>
      <w:r>
        <w:t xml:space="preserve">instantly against a configurable rules engine, and enroll through a tracked workflow.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Analyzer &amp; Recommendation Center</w:t>
      </w:r>
      <w:r>
        <w:t xml:space="preserve"> </w:t>
      </w:r>
      <w:r>
        <w:t xml:space="preserve">— computes each eligible tariff against the</w:t>
      </w:r>
      <w:r>
        <w:t xml:space="preserve"> </w:t>
      </w:r>
      <w:r>
        <w:t xml:space="preserve">customer’s actual 12–24 months of usage, explains the best-fit rate in plain language,</w:t>
      </w:r>
      <w:r>
        <w:t xml:space="preserve"> </w:t>
      </w:r>
      <w:r>
        <w:t xml:space="preserve">and lets customers run</w:t>
      </w:r>
      <w:r>
        <w:t xml:space="preserve"> </w:t>
      </w:r>
      <w:r>
        <w:t xml:space="preserve">“what-if”</w:t>
      </w:r>
      <w:r>
        <w:t xml:space="preserve"> </w:t>
      </w:r>
      <w:r>
        <w:t xml:space="preserve">simulations such as</w:t>
      </w:r>
      <w:r>
        <w:t xml:space="preserve"> </w:t>
      </w:r>
      <w:r>
        <w:rPr>
          <w:i/>
          <w:iCs/>
        </w:rPr>
        <w:t xml:space="preserve">“What if I charge my EV after</w:t>
      </w:r>
      <w:r>
        <w:rPr>
          <w:i/>
          <w:iCs/>
        </w:rPr>
        <w:t xml:space="preserve"> </w:t>
      </w:r>
      <w:r>
        <w:rPr>
          <w:i/>
          <w:iCs/>
        </w:rPr>
        <w:t xml:space="preserve">11 PM?”</w:t>
      </w:r>
      <w:r>
        <w:t xml:space="preserve"> </w:t>
      </w:r>
      <w:r>
        <w:t xml:space="preserve">before requesting a rate change.</w:t>
      </w:r>
    </w:p>
    <w:p>
      <w:pPr>
        <w:pStyle w:val="FirstParagraph"/>
      </w:pPr>
      <w:r>
        <w:t xml:space="preserve">The engagement is de-risked by design: a</w:t>
      </w:r>
      <w:r>
        <w:t xml:space="preserve"> </w:t>
      </w:r>
      <w:r>
        <w:rPr>
          <w:b/>
          <w:bCs/>
        </w:rPr>
        <w:t xml:space="preserve">working demonstration application</w:t>
      </w:r>
      <w:r>
        <w:t xml:space="preserve"> </w:t>
      </w:r>
      <w:r>
        <w:t xml:space="preserve">is available</w:t>
      </w:r>
      <w:r>
        <w:t xml:space="preserve"> </w:t>
      </w:r>
      <w:r>
        <w:t xml:space="preserve">today (live link below), and the production solution is delivered as an</w:t>
      </w:r>
      <w:r>
        <w:t xml:space="preserve"> </w:t>
      </w:r>
      <w:r>
        <w:rPr>
          <w:b/>
          <w:bCs/>
        </w:rPr>
        <w:t xml:space="preserve">SAP BTP blueprint</w:t>
      </w:r>
      <w:r>
        <w:t xml:space="preserve"> </w:t>
      </w:r>
      <w:r>
        <w:t xml:space="preserve">(SAP CAP services on SAP HANA Cloud, integrated through SAP Integration Suite) that a</w:t>
      </w:r>
      <w:r>
        <w:t xml:space="preserve"> </w:t>
      </w:r>
      <w:r>
        <w:t xml:space="preserve">delivery team can evolve directly from the demo. Every financial figure the portal shows is</w:t>
      </w:r>
      <w:r>
        <w:t xml:space="preserve"> </w:t>
      </w:r>
      <w:r>
        <w:t xml:space="preserve">computed by a deterministic, unit-tested rate engine — never hard-coded — so customers and</w:t>
      </w:r>
      <w:r>
        <w:t xml:space="preserve"> </w:t>
      </w:r>
      <w:r>
        <w:t xml:space="preserve">regulators can trust the numbers.</w:t>
      </w:r>
    </w:p>
    <w:p>
      <w:pPr>
        <w:pStyle w:val="BodyText"/>
      </w:pPr>
      <w:r>
        <w:rPr>
          <w:b/>
          <w:bCs/>
        </w:rPr>
        <w:t xml:space="preserve">Headline outcomes targeted:</w:t>
      </w:r>
      <w:r>
        <w:t xml:space="preserve"> </w:t>
      </w:r>
      <w:r>
        <w:t xml:space="preserve">reduced call-center volume, higher program participation,</w:t>
      </w:r>
      <w:r>
        <w:t xml:space="preserve"> </w:t>
      </w:r>
      <w:r>
        <w:t xml:space="preserve">measurable peak-load reduction through TOU-rate and demand-response adoption, improved</w:t>
      </w:r>
      <w:r>
        <w:t xml:space="preserve"> </w:t>
      </w:r>
      <w:r>
        <w:t xml:space="preserve">digital satisfaction scores, and demonstrable regulatory compliance for consent and</w:t>
      </w:r>
      <w:r>
        <w:t xml:space="preserve"> </w:t>
      </w:r>
      <w:r>
        <w:t xml:space="preserve">preference management.</w:t>
      </w:r>
    </w:p>
    <w:bookmarkEnd w:id="9"/>
    <w:bookmarkStart w:id="10" w:name="the-business-challenge"/>
    <w:p>
      <w:pPr>
        <w:pStyle w:val="Heading1"/>
      </w:pPr>
      <w:r>
        <w:t xml:space="preserve">2. The business challenge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today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Preferences, programs, rates, and usage live in separate systems</w:t>
            </w:r>
          </w:p>
        </w:tc>
        <w:tc>
          <w:tcPr/>
          <w:p>
            <w:pPr>
              <w:pStyle w:val="Compact"/>
            </w:pPr>
            <w:r>
              <w:t xml:space="preserve">Confusing customer experience; low self-service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transparent way for customers to understand or compare their rate</w:t>
            </w:r>
          </w:p>
        </w:tc>
        <w:tc>
          <w:tcPr/>
          <w:p>
            <w:pPr>
              <w:pStyle w:val="Compact"/>
            </w:pPr>
            <w:r>
              <w:t xml:space="preserve">Distrust of tariff changes; under-adoption of beneficial rates (TOU, 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discovery and eligibility are manual and opaque</w:t>
            </w:r>
          </w:p>
        </w:tc>
        <w:tc>
          <w:tcPr/>
          <w:p>
            <w:pPr>
              <w:pStyle w:val="Compact"/>
            </w:pPr>
            <w:r>
              <w:t xml:space="preserve">Low enrollment in efficiency, demand-response, and assistance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and preference changes are hard to audit</w:t>
            </w:r>
          </w:p>
        </w:tc>
        <w:tc>
          <w:tcPr/>
          <w:p>
            <w:pPr>
              <w:pStyle w:val="Compact"/>
            </w:pPr>
            <w:r>
              <w:t xml:space="preserve">Regulatory exposure (consent, marketing, privacy obligations)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demand is expensive to serve</w:t>
            </w:r>
          </w:p>
        </w:tc>
        <w:tc>
          <w:tcPr/>
          <w:p>
            <w:pPr>
              <w:pStyle w:val="Compact"/>
            </w:pPr>
            <w:r>
              <w:t xml:space="preserve">Higher wholesale cost; grid stress during peak windows</w:t>
            </w:r>
          </w:p>
        </w:tc>
      </w:tr>
    </w:tbl>
    <w:p>
      <w:pPr>
        <w:pStyle w:val="BodyText"/>
      </w:pPr>
      <w:r>
        <w:t xml:space="preserve">A single digital front door directly addresses each of these.</w:t>
      </w:r>
    </w:p>
    <w:bookmarkEnd w:id="10"/>
    <w:bookmarkStart w:id="14" w:name="proposed-solution"/>
    <w:p>
      <w:pPr>
        <w:pStyle w:val="Heading1"/>
      </w:pPr>
      <w:r>
        <w:t xml:space="preserve">3. Proposed solution</w:t>
      </w:r>
    </w:p>
    <w:bookmarkStart w:id="11" w:name="customer-preference-center"/>
    <w:p>
      <w:pPr>
        <w:pStyle w:val="Heading2"/>
      </w:pPr>
      <w:r>
        <w:t xml:space="preserve">3.1 Customer Preference Center</w:t>
      </w:r>
    </w:p>
    <w:p>
      <w:pPr>
        <w:pStyle w:val="FirstParagraph"/>
      </w:pPr>
      <w:r>
        <w:t xml:space="preserve">A complete preference-management experience across seven areas — communication channels</w:t>
      </w:r>
      <w:r>
        <w:t xml:space="preserve"> </w:t>
      </w:r>
      <w:r>
        <w:t xml:space="preserve">(with a preferred channel), billing and paperless, usage-threshold alerts (e.g. </w:t>
      </w:r>
      <w:r>
        <w:rPr>
          <w:i/>
          <w:iCs/>
        </w:rPr>
        <w:t xml:space="preserve">“notify me</w:t>
      </w:r>
      <w:r>
        <w:rPr>
          <w:i/>
          <w:iCs/>
        </w:rPr>
        <w:t xml:space="preserve"> </w:t>
      </w:r>
      <w:r>
        <w:rPr>
          <w:i/>
          <w:iCs/>
        </w:rPr>
        <w:t xml:space="preserve">when my projected monthly bill exceeds $200”</w:t>
      </w:r>
      <w:r>
        <w:t xml:space="preserve">), outage notifications per event and channel,</w:t>
      </w:r>
      <w:r>
        <w:t xml:space="preserve"> </w:t>
      </w:r>
      <w:r>
        <w:t xml:space="preserve">program and marketing opt-ins, and privacy/consent management with an immutable consent</w:t>
      </w:r>
      <w:r>
        <w:t xml:space="preserve"> </w:t>
      </w:r>
      <w:r>
        <w:t xml:space="preserve">history. Every change records the customer, account, category, previous and new value,</w:t>
      </w:r>
      <w:r>
        <w:t xml:space="preserve"> </w:t>
      </w:r>
      <w:r>
        <w:t xml:space="preserve">effective date, source, timestamp, and acting user — the audit trail regulators expect.</w:t>
      </w:r>
    </w:p>
    <w:bookmarkEnd w:id="11"/>
    <w:bookmarkStart w:id="12" w:name="energy-program-enrollment-center"/>
    <w:p>
      <w:pPr>
        <w:pStyle w:val="Heading2"/>
      </w:pPr>
      <w:r>
        <w:t xml:space="preserve">3.2 Energy Program Enrollment Center</w:t>
      </w:r>
    </w:p>
    <w:p>
      <w:pPr>
        <w:pStyle w:val="FirstParagraph"/>
      </w:pPr>
      <w:r>
        <w:t xml:space="preserve">A marketplace-style catalog across five categories — Energy Efficiency, Demand Response,</w:t>
      </w:r>
      <w:r>
        <w:t xml:space="preserve"> </w:t>
      </w:r>
      <w:r>
        <w:t xml:space="preserve">Electric Vehicle, Renewable Energy, and Financial Assistance. Each program card shows the</w:t>
      </w:r>
      <w:r>
        <w:t xml:space="preserve"> </w:t>
      </w:r>
      <w:r>
        <w:t xml:space="preserve">incentive, estimated savings, enrollment window, and capacity, plus an instant, rule-by-rule</w:t>
      </w:r>
      <w:r>
        <w:t xml:space="preserve"> </w:t>
      </w:r>
      <w:r>
        <w:t xml:space="preserve">eligibility result. A guided workflow takes the customer from eligibility check through terms</w:t>
      </w:r>
      <w:r>
        <w:t xml:space="preserve"> </w:t>
      </w:r>
      <w:r>
        <w:t xml:space="preserve">acceptance and information capture to submission, with status tracked end-to-end (Submitted →</w:t>
      </w:r>
      <w:r>
        <w:t xml:space="preserve"> </w:t>
      </w:r>
      <w:r>
        <w:t xml:space="preserve">Under Review → Enrolled) in a</w:t>
      </w:r>
      <w:r>
        <w:t xml:space="preserve"> </w:t>
      </w:r>
      <w:r>
        <w:t xml:space="preserve">“My Programs”</w:t>
      </w:r>
      <w:r>
        <w:t xml:space="preserve"> </w:t>
      </w:r>
      <w:r>
        <w:t xml:space="preserve">view. The eligibility engine is</w:t>
      </w:r>
      <w:r>
        <w:t xml:space="preserve"> </w:t>
      </w:r>
      <w:r>
        <w:rPr>
          <w:b/>
          <w:bCs/>
        </w:rPr>
        <w:t xml:space="preserve">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data, not code</w:t>
      </w:r>
      <w:r>
        <w:t xml:space="preserve">, so program administrators can adjust rules without a software release.</w:t>
      </w:r>
    </w:p>
    <w:bookmarkEnd w:id="12"/>
    <w:bookmarkStart w:id="13" w:name="rate-analyzer-recommendation-center"/>
    <w:p>
      <w:pPr>
        <w:pStyle w:val="Heading2"/>
      </w:pPr>
      <w:r>
        <w:t xml:space="preserve">3.3 Rate Analyzer &amp; Recommendation Center</w:t>
      </w:r>
    </w:p>
    <w:p>
      <w:pPr>
        <w:pStyle w:val="FirstParagraph"/>
      </w:pPr>
      <w:r>
        <w:t xml:space="preserve">The analyzer prices every eligible tariff — fixed, tiered, time-of-use, seasonal, and demand</w:t>
      </w:r>
      <w:r>
        <w:t xml:space="preserve"> </w:t>
      </w:r>
      <w:r>
        <w:t xml:space="preserve">— against the customer’s real historical usage, then presents a side-by-side comparison with</w:t>
      </w:r>
      <w:r>
        <w:t xml:space="preserve"> </w:t>
      </w:r>
      <w:r>
        <w:t xml:space="preserve">estimated annual cost, monthly average, savings, eligibility, and a risk indicator. An</w:t>
      </w:r>
      <w:r>
        <w:t xml:space="preserve"> </w:t>
      </w:r>
      <w:r>
        <w:t xml:space="preserve">explainable recommendation names the best-fit rate with a confidence score and a plain-language</w:t>
      </w:r>
      <w:r>
        <w:t xml:space="preserve"> </w:t>
      </w:r>
      <w:r>
        <w:t xml:space="preserve">rationale. An interactive</w:t>
      </w:r>
      <w:r>
        <w:t xml:space="preserve"> </w:t>
      </w:r>
      <w:r>
        <w:rPr>
          <w:b/>
          <w:bCs/>
        </w:rPr>
        <w:t xml:space="preserve">“What if?”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lets customers model EV charging windows,</w:t>
      </w:r>
      <w:r>
        <w:t xml:space="preserve"> </w:t>
      </w:r>
      <w:r>
        <w:t xml:space="preserve">thermostat setback, solar, battery, and usage growth, and watch every rate recalculate live.</w:t>
      </w:r>
      <w:r>
        <w:t xml:space="preserve"> </w:t>
      </w:r>
      <w:r>
        <w:t xml:space="preserve">The recommendation engine is deterministic for the MVP and architected to accept machine-learning</w:t>
      </w:r>
      <w:r>
        <w:t xml:space="preserve"> </w:t>
      </w:r>
      <w:r>
        <w:t xml:space="preserve">models in a later phase, always keeping the deterministic engine as the authoritative source</w:t>
      </w:r>
      <w:r>
        <w:t xml:space="preserve"> </w:t>
      </w:r>
      <w:r>
        <w:t xml:space="preserve">for dollar figures.</w:t>
      </w:r>
    </w:p>
    <w:bookmarkEnd w:id="13"/>
    <w:bookmarkEnd w:id="14"/>
    <w:bookmarkStart w:id="15" w:name="solution-architecture-sap-btp"/>
    <w:p>
      <w:pPr>
        <w:pStyle w:val="Heading1"/>
      </w:pPr>
      <w:r>
        <w:t xml:space="preserve">4. Solution architecture (SAP BTP)</w:t>
      </w:r>
    </w:p>
    <w:p>
      <w:pPr>
        <w:pStyle w:val="FirstParagraph"/>
      </w:pPr>
      <w:r>
        <w:t xml:space="preserve">The target architecture follows current SAP reference patterns and keeps SAP S/4HANA</w:t>
      </w:r>
      <w:r>
        <w:t xml:space="preserve"> </w:t>
      </w:r>
      <w:r>
        <w:t xml:space="preserve">Utilities as the system of record for business partner, contract, installation, device, and</w:t>
      </w:r>
      <w:r>
        <w:t xml:space="preserve"> </w:t>
      </w:r>
      <w:r>
        <w:t xml:space="preserve">tariff master data. The portal owns only its transactional data (preferences, consents,</w:t>
      </w:r>
      <w:r>
        <w:t xml:space="preserve"> </w:t>
      </w:r>
      <w:r>
        <w:t xml:space="preserve">enrollments, analyses, requests, and audit).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Web &amp; mobile browser · React with SAP UI5 Web Components · optional SAP Build Work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Application Router · SAP Cloud Identity Services (IAS) + Authorization &amp; Trust Management (XSUAA) · OAuth 2.0 /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SAP Cloud Application Programming Model (CAP, Node.js) · deterministic rate &amp; eligibility engine · audit +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async</w:t>
            </w:r>
          </w:p>
        </w:tc>
        <w:tc>
          <w:tcPr/>
          <w:p>
            <w:pPr>
              <w:pStyle w:val="Compact"/>
            </w:pPr>
            <w:r>
              <w:t xml:space="preserve">SAP HANA Cloud · SAP Event Mesh · Destination &amp; Connectivity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SAP Integration Suite → SAP S/4HANA Utilities, AMI/MDMS, DRMS, OMS, Marketing, Payment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by design.</w:t>
      </w:r>
      <w:r>
        <w:t xml:space="preserve"> </w:t>
      </w:r>
      <w:r>
        <w:t xml:space="preserve">SAP backend credentials are never exposed to the browser — the</w:t>
      </w:r>
      <w:r>
        <w:t xml:space="preserve"> </w:t>
      </w:r>
      <w:r>
        <w:t xml:space="preserve">Destination service holds all technical credentials, and the application router forwards only</w:t>
      </w:r>
      <w:r>
        <w:t xml:space="preserve"> </w:t>
      </w:r>
      <w:r>
        <w:t xml:space="preserve">the authenticated user’s token to CAP services. Authorization is role-based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instance-based: a customer can only ever access their own accounts, usage, preferences,</w:t>
      </w:r>
      <w:r>
        <w:t xml:space="preserve"> </w:t>
      </w:r>
      <w:r>
        <w:t xml:space="preserve">enrollments, and analyses. Data is encrypted in transit and at rest; consent history is</w:t>
      </w:r>
      <w:r>
        <w:t xml:space="preserve"> </w:t>
      </w:r>
      <w:r>
        <w:t xml:space="preserve">immutable; every sensitive write is audited.</w:t>
      </w:r>
    </w:p>
    <w:p>
      <w:pPr>
        <w:pStyle w:val="BodyText"/>
      </w:pPr>
      <w:r>
        <w:rPr>
          <w:b/>
          <w:bCs/>
        </w:rPr>
        <w:t xml:space="preserve">Integration is landscape-aware.</w:t>
      </w:r>
      <w:r>
        <w:t xml:space="preserve"> </w:t>
      </w:r>
      <w:r>
        <w:t xml:space="preserve">Exact SAP S/4HANA Utilities interfaces vary by release,</w:t>
      </w:r>
      <w:r>
        <w:t xml:space="preserve"> </w:t>
      </w:r>
      <w:r>
        <w:t xml:space="preserve">deployment model, and enabled scope. Each integration point is identified with its pattern</w:t>
      </w:r>
      <w:r>
        <w:t xml:space="preserve"> </w:t>
      </w:r>
      <w:r>
        <w:t xml:space="preserve">(synchronous API, asynchronous event, or batch replication); concrete SAP APIs are validated</w:t>
      </w:r>
      <w:r>
        <w:t xml:space="preserve"> </w:t>
      </w:r>
      <w:r>
        <w:t xml:space="preserve">against the target landscape during the discovery phase rather than assumed. No SAP APIs are</w:t>
      </w:r>
      <w:r>
        <w:t xml:space="preserve"> </w:t>
      </w:r>
      <w:r>
        <w:t xml:space="preserve">invented.</w:t>
      </w:r>
    </w:p>
    <w:bookmarkEnd w:id="15"/>
    <w:bookmarkStart w:id="16" w:name="why-this-approach"/>
    <w:p>
      <w:pPr>
        <w:pStyle w:val="Heading1"/>
      </w:pPr>
      <w:r>
        <w:t xml:space="preserve">5. Why this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De-risked delivery.</w:t>
      </w:r>
      <w:r>
        <w:t xml:space="preserve"> </w:t>
      </w:r>
      <w:r>
        <w:t xml:space="preserve">A working demo exists now; the production design is a direct</w:t>
      </w:r>
      <w:r>
        <w:t xml:space="preserve"> </w:t>
      </w:r>
      <w:r>
        <w:t xml:space="preserve">evolution of it, not a separate rewrite. The same rate/eligibility engine runs in the demo</w:t>
      </w:r>
      <w:r>
        <w:t xml:space="preserve"> </w:t>
      </w:r>
      <w:r>
        <w:t xml:space="preserve">and in the CAP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Trustworthy numbers.</w:t>
      </w:r>
      <w:r>
        <w:t xml:space="preserve"> </w:t>
      </w:r>
      <w:r>
        <w:t xml:space="preserve">All costs, savings, and recommendations are computed by a</w:t>
      </w:r>
      <w:r>
        <w:t xml:space="preserve"> </w:t>
      </w:r>
      <w:r>
        <w:t xml:space="preserve">deterministic, unit-tested engine — nothing is hard-coded, so results are explainable and</w:t>
      </w:r>
      <w:r>
        <w:t xml:space="preserve"> </w:t>
      </w:r>
      <w:r>
        <w:t xml:space="preserve">reproducible.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Standards-based.</w:t>
      </w:r>
      <w:r>
        <w:t xml:space="preserve"> </w:t>
      </w:r>
      <w:r>
        <w:t xml:space="preserve">Built on SAP’s own BTP services and integration patterns, so it fits</w:t>
      </w:r>
      <w:r>
        <w:t xml:space="preserve"> </w:t>
      </w:r>
      <w:r>
        <w:t xml:space="preserve">a utility’s existing SAP investment and operating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Configurable, not brittle.</w:t>
      </w:r>
      <w:r>
        <w:t xml:space="preserve"> </w:t>
      </w:r>
      <w:r>
        <w:t xml:space="preserve">Program eligibility and rate rules are data that</w:t>
      </w:r>
      <w:r>
        <w:t xml:space="preserve"> </w:t>
      </w:r>
      <w:r>
        <w:t xml:space="preserve">administrators maintain — reducing change cost over the life of the solution.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Compliance-ready.</w:t>
      </w:r>
      <w:r>
        <w:t xml:space="preserve"> </w:t>
      </w:r>
      <w:r>
        <w:t xml:space="preserve">Consent and preference auditing are built in, not bolted on.</w:t>
      </w:r>
    </w:p>
    <w:bookmarkEnd w:id="16"/>
    <w:bookmarkStart w:id="17" w:name="live-demonstration-what-is-included"/>
    <w:p>
      <w:pPr>
        <w:pStyle w:val="Heading1"/>
      </w:pPr>
      <w:r>
        <w:t xml:space="preserve">6. Live demonstration &amp; what is included</w:t>
      </w:r>
    </w:p>
    <w:p>
      <w:pPr>
        <w:pStyle w:val="FirstParagraph"/>
      </w:pPr>
      <w:r>
        <w:t xml:space="preserve">A fully interactive demonstration is available in the browser — login, dashboard, preference</w:t>
      </w:r>
      <w:r>
        <w:t xml:space="preserve"> </w:t>
      </w:r>
      <w:r>
        <w:t xml:space="preserve">center, program marketplace with live eligibility, rate analyzer, and the</w:t>
      </w:r>
      <w:r>
        <w:t xml:space="preserve"> </w:t>
      </w:r>
      <w:r>
        <w:t xml:space="preserve">“what-if”</w:t>
      </w:r>
      <w:r>
        <w:t xml:space="preserve"> </w:t>
      </w:r>
      <w:r>
        <w:t xml:space="preserve">simulator</w:t>
      </w:r>
      <w:r>
        <w:t xml:space="preserve"> </w:t>
      </w:r>
      <w:r>
        <w:t xml:space="preserve">all function against realistic mock data.</w:t>
      </w:r>
    </w:p>
    <w:p>
      <w:pPr>
        <w:pStyle w:val="Block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[paste the shared demo link here]</w:t>
      </w:r>
    </w:p>
    <w:p>
      <w:pPr>
        <w:pStyle w:val="BlockText"/>
      </w:pPr>
      <w:r>
        <w:rPr>
          <w:i/>
          <w:iCs/>
        </w:rPr>
        <w:t xml:space="preserve">(Sign in with any email/password, or use</w:t>
      </w:r>
      <w:r>
        <w:rPr>
          <w:i/>
          <w:iCs/>
        </w:rPr>
        <w:t xml:space="preserve"> </w:t>
      </w:r>
      <w:r>
        <w:rPr>
          <w:i/>
          <w:iCs/>
        </w:rPr>
        <w:t xml:space="preserve">“Sign in as Alex Johnson”</w:t>
      </w:r>
      <w:r>
        <w:rPr>
          <w:i/>
          <w:iCs/>
        </w:rPr>
        <w:t xml:space="preserve">.)</w:t>
      </w:r>
    </w:p>
    <w:p>
      <w:pPr>
        <w:pStyle w:val="FirstParagraph"/>
      </w:pPr>
      <w:r>
        <w:t xml:space="preserve">The delivery package accompanying this proposal includes: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 demonstration application</w:t>
      </w:r>
      <w:r>
        <w:t xml:space="preserve"> </w:t>
      </w:r>
      <w:r>
        <w:t xml:space="preserve">— React + TypeScript front end and a Node.js back</w:t>
      </w:r>
      <w:r>
        <w:t xml:space="preserve"> </w:t>
      </w:r>
      <w:r>
        <w:t xml:space="preserve">end sharing the same rate engine.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Production SAP BTP blueprint</w:t>
      </w:r>
      <w:r>
        <w:t xml:space="preserve"> </w:t>
      </w:r>
      <w:r>
        <w:t xml:space="preserve">— SAP CAP data model and services, security model,</w:t>
      </w:r>
      <w:r>
        <w:t xml:space="preserve"> </w:t>
      </w:r>
      <w:r>
        <w:t xml:space="preserve">deployment descriptors (MTA), and seed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documentation set</w:t>
      </w:r>
      <w:r>
        <w:t xml:space="preserve"> </w:t>
      </w:r>
      <w:r>
        <w:t xml:space="preserve">— solution architecture, functional design, UX specification,</w:t>
      </w:r>
      <w:r>
        <w:t xml:space="preserve"> </w:t>
      </w:r>
      <w:r>
        <w:t xml:space="preserve">data model, API specification (OpenAPI), security and event architecture, testing and</w:t>
      </w:r>
      <w:r>
        <w:t xml:space="preserve"> </w:t>
      </w:r>
      <w:r>
        <w:t xml:space="preserve">CI/CD strategy, and an implementation roadmap.</w:t>
      </w:r>
    </w:p>
    <w:bookmarkEnd w:id="17"/>
    <w:bookmarkStart w:id="18" w:name="deliverables"/>
    <w:p>
      <w:pPr>
        <w:pStyle w:val="Heading1"/>
      </w:pPr>
      <w:r>
        <w:t xml:space="preserve">7.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design</w:t>
            </w:r>
          </w:p>
        </w:tc>
        <w:tc>
          <w:tcPr/>
          <w:p>
            <w:pPr>
              <w:pStyle w:val="Compact"/>
            </w:pPr>
            <w:r>
              <w:t xml:space="preserve">Executive summary, business requirements, functional design, customer journeys, UX specification, wireframes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SAP BTP solution architecture, architecture diagrams, integration architecture, S/4HANA Utilities and AMI/MDMS integration designs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design</w:t>
            </w:r>
          </w:p>
        </w:tc>
        <w:tc>
          <w:tcPr/>
          <w:p>
            <w:pPr>
              <w:pStyle w:val="Compact"/>
            </w:pPr>
            <w:r>
              <w:t xml:space="preserve">Data model &amp; ER diagram, API design &amp; OpenAPI spec, security architecture, event architecture, rate-engine design, eligibility engine, AI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React front-end demo, back-end demo, SAP CAP application structure, BTP deployment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Local &amp; BTP deployment instructions, testing strategy, CI/CD strategy, implementation roadmap, risk register, production-readiness checklist</w:t>
            </w:r>
          </w:p>
        </w:tc>
      </w:tr>
    </w:tbl>
    <w:bookmarkEnd w:id="18"/>
    <w:bookmarkStart w:id="19" w:name="implementation-roadmap"/>
    <w:p>
      <w:pPr>
        <w:pStyle w:val="Heading1"/>
      </w:pPr>
      <w:r>
        <w:t xml:space="preserve">8.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Indicative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MVP</w:t>
            </w:r>
          </w:p>
        </w:tc>
        <w:tc>
          <w:tcPr/>
          <w:p>
            <w:pPr>
              <w:pStyle w:val="Compact"/>
            </w:pPr>
            <w:r>
              <w:t xml:space="preserve">Dashboard, Preference Center (with audit), Program Marketplace &amp; enrollment, basic Rate Analyzer, selected SAP integrations, identity &amp; logging</w:t>
            </w:r>
          </w:p>
        </w:tc>
        <w:tc>
          <w:tcPr/>
          <w:p>
            <w:pPr>
              <w:pStyle w:val="Compact"/>
            </w:pPr>
            <w:r>
              <w:t xml:space="preserve">3–4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Full AMI/MDMS interval integration, advanced rate analysis, automated eligibility from S/4, notifications, event-driven integration, CSR view</w:t>
            </w:r>
          </w:p>
        </w:tc>
        <w:tc>
          <w:tcPr/>
          <w:p>
            <w:pPr>
              <w:pStyle w:val="Compact"/>
            </w:pPr>
            <w:r>
              <w:t xml:space="preserve">+3–4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AI Energy Advisor, ML rate &amp; program recommendations, predictive usage &amp; budget alerts, advanced targeting</w:t>
            </w:r>
          </w:p>
        </w:tc>
        <w:tc>
          <w:tcPr/>
          <w:p>
            <w:pPr>
              <w:pStyle w:val="Compact"/>
            </w:pPr>
            <w:r>
              <w:t xml:space="preserve">+4–6 months</w:t>
            </w:r>
          </w:p>
        </w:tc>
      </w:tr>
    </w:tbl>
    <w:p>
      <w:pPr>
        <w:pStyle w:val="BodyText"/>
      </w:pPr>
      <w:r>
        <w:rPr>
          <w:i/>
          <w:iCs/>
        </w:rPr>
        <w:t xml:space="preserve">Durations are indicative and refined during discovery based on landscape and scope.</w:t>
      </w:r>
    </w:p>
    <w:bookmarkEnd w:id="19"/>
    <w:bookmarkStart w:id="20" w:name="commercial-approach"/>
    <w:p>
      <w:pPr>
        <w:pStyle w:val="Heading1"/>
      </w:pPr>
      <w:r>
        <w:t xml:space="preserve">9. Commercial approach</w:t>
      </w:r>
    </w:p>
    <w:p>
      <w:pPr>
        <w:pStyle w:val="FirstParagraph"/>
      </w:pPr>
      <w:r>
        <w:t xml:space="preserve">We recommend a phased engagement that delivers value early and defers larger investment until</w:t>
      </w:r>
      <w:r>
        <w:t xml:space="preserve"> </w:t>
      </w:r>
      <w:r>
        <w:t xml:space="preserve">the MVP has proven adoption: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 &amp; landscape validation</w:t>
      </w:r>
      <w:r>
        <w:t xml:space="preserve"> </w:t>
      </w:r>
      <w:r>
        <w:t xml:space="preserve">(fixed fee) — confirm SAP S/4HANA Utilities interfaces,</w:t>
      </w:r>
      <w:r>
        <w:t xml:space="preserve"> </w:t>
      </w:r>
      <w:r>
        <w:t xml:space="preserve">identity model, rate/tariff catalog, and program rules; finalize the Phase 1 backlog.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MVP delivery</w:t>
      </w:r>
      <w:r>
        <w:t xml:space="preserve"> </w:t>
      </w:r>
      <w:r>
        <w:t xml:space="preserve">(fixed-scope) — the capabilities above, deployed to your BTP</w:t>
      </w:r>
      <w:r>
        <w:t xml:space="preserve"> </w:t>
      </w:r>
      <w:r>
        <w:t xml:space="preserve">environment.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Phases 2–3</w:t>
      </w:r>
      <w:r>
        <w:t xml:space="preserve"> </w:t>
      </w:r>
      <w:r>
        <w:t xml:space="preserve">(time &amp; materials or fixed-scope per release) — advanced integration and AI.</w:t>
      </w:r>
    </w:p>
    <w:p>
      <w:pPr>
        <w:pStyle w:val="FirstParagraph"/>
      </w:pPr>
      <w:r>
        <w:t xml:space="preserve">Detailed pricing is provided in a separate commercial schedule once scope is confirmed in</w:t>
      </w:r>
      <w:r>
        <w:t xml:space="preserve"> </w:t>
      </w:r>
      <w:r>
        <w:t xml:space="preserve">discovery. SAP BTP and SAP HANA Cloud runtime consumption is licensed by the utility directly</w:t>
      </w:r>
      <w:r>
        <w:t xml:space="preserve"> </w:t>
      </w:r>
      <w:r>
        <w:t xml:space="preserve">through its SAP agreement.</w:t>
      </w:r>
    </w:p>
    <w:bookmarkEnd w:id="20"/>
    <w:bookmarkStart w:id="21" w:name="assumptions-risks-dependencies"/>
    <w:p>
      <w:pPr>
        <w:pStyle w:val="Heading1"/>
      </w:pPr>
      <w:r>
        <w:t xml:space="preserve">10. Assumptions, risks &amp;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S/4HANA Utilities APIs vary by release/scope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Discovery workshop; Integration Suite isolates the portal from interface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MDMS vendor API capabilities and limits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Aggregation-first strategy tolerates batch-only MDMS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Tariff complexity beyond standard components (riders, net-metering true-up)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Component-extensible rate model, validated against the real tariff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Consent/regulatory requirements differ by jurisdiction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Versioned consent model; legal review gate 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identity linked to BP/account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Verified account-linking flow at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accuracy and trust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Deterministic engine + explanations + confidence; estimates clearly labeled as non-binding</w:t>
            </w:r>
          </w:p>
        </w:tc>
      </w:tr>
    </w:tbl>
    <w:bookmarkEnd w:id="21"/>
    <w:bookmarkStart w:id="22" w:name="next-steps"/>
    <w:p>
      <w:pPr>
        <w:pStyle w:val="Heading1"/>
      </w:pPr>
      <w:r>
        <w:t xml:space="preserve">11. Next steps</w:t>
      </w:r>
    </w:p>
    <w:p>
      <w:pPr>
        <w:pStyle w:val="Compact"/>
        <w:numPr>
          <w:ilvl w:val="0"/>
          <w:numId w:val="1005"/>
        </w:numPr>
      </w:pPr>
      <w:r>
        <w:t xml:space="preserve">Review this proposal and the live demonstration with your stakeholders.</w:t>
      </w:r>
    </w:p>
    <w:p>
      <w:pPr>
        <w:pStyle w:val="Compact"/>
        <w:numPr>
          <w:ilvl w:val="0"/>
          <w:numId w:val="1005"/>
        </w:numPr>
      </w:pPr>
      <w:r>
        <w:t xml:space="preserve">Schedule a</w:t>
      </w:r>
      <w:r>
        <w:t xml:space="preserve"> </w:t>
      </w:r>
      <w:r>
        <w:rPr>
          <w:b/>
          <w:bCs/>
        </w:rPr>
        <w:t xml:space="preserve">discovery &amp; landscape-validation</w:t>
      </w:r>
      <w:r>
        <w:t xml:space="preserve"> </w:t>
      </w:r>
      <w:r>
        <w:t xml:space="preserve">workshop (recommended 1–2 weeks).</w:t>
      </w:r>
    </w:p>
    <w:p>
      <w:pPr>
        <w:pStyle w:val="Compact"/>
        <w:numPr>
          <w:ilvl w:val="0"/>
          <w:numId w:val="1005"/>
        </w:numPr>
      </w:pPr>
      <w:r>
        <w:t xml:space="preserve">Confirm Phase 1 scope and commercial schedule.</w:t>
      </w:r>
    </w:p>
    <w:p>
      <w:pPr>
        <w:pStyle w:val="Compact"/>
        <w:numPr>
          <w:ilvl w:val="0"/>
          <w:numId w:val="1005"/>
        </w:numPr>
      </w:pPr>
      <w:r>
        <w:t xml:space="preserve">Mobilize the delivery team and stand up the BTP development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[Your name / company].</w:t>
      </w:r>
      <w:r>
        <w:rPr>
          <w:i/>
          <w:iCs/>
        </w:rPr>
        <w:t xml:space="preserve"> </w:t>
      </w:r>
      <w:r>
        <w:rPr>
          <w:i/>
          <w:iCs/>
        </w:rPr>
        <w:t xml:space="preserve">“SmartGrid Energy”</w:t>
      </w:r>
      <w:r>
        <w:rPr>
          <w:i/>
          <w:iCs/>
        </w:rPr>
        <w:t xml:space="preserve"> </w:t>
      </w:r>
      <w:r>
        <w:rPr>
          <w:i/>
          <w:iCs/>
        </w:rPr>
        <w:t xml:space="preserve">is a fictional utility brand used for</w:t>
      </w:r>
      <w:r>
        <w:rPr>
          <w:i/>
          <w:iCs/>
        </w:rPr>
        <w:t xml:space="preserve"> </w:t>
      </w:r>
      <w:r>
        <w:rPr>
          <w:i/>
          <w:iCs/>
        </w:rPr>
        <w:t xml:space="preserve">the demonstration; no real utility branding is used. All performance figures are proposed</w:t>
      </w:r>
      <w:r>
        <w:rPr>
          <w:i/>
          <w:iCs/>
        </w:rPr>
        <w:t xml:space="preserve"> </w:t>
      </w:r>
      <w:r>
        <w:rPr>
          <w:i/>
          <w:iCs/>
        </w:rPr>
        <w:t xml:space="preserve">design targets, not guaranteed platform performance. Financial estimates in the portal are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illustrative and are not a guarantee of future bills.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 Customer Digital Portal</dc:title>
  <dc:creator>Prepared by: [Your name / company] · Prepared for: [Client / utility name]</dc:creator>
  <cp:keywords/>
  <dcterms:created xsi:type="dcterms:W3CDTF">2026-07-21T15:55:41Z</dcterms:created>
  <dcterms:modified xsi:type="dcterms:W3CDTF">2026-07-21T15:55:41Z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Solution Proposal — Preference Center, Energy Program Enrollment &amp; Rate Analyzer on SAP BTP</vt:lpwstr>
  </property>
</Properties>
</file>