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Customer Preference Center — Solution Summary</w:t>
      </w:r>
    </w:p>
    <w:bookmarkStart w:id="13" w:name="X86cc9fe041be9fd69f7e7b56da3190e0b3537f4"/>
    <w:p>
      <w:pPr>
        <w:pStyle w:val="Heading1"/>
      </w:pPr>
      <w:r>
        <w:t xml:space="preserve">Customer Preference Center — Solution Summary</w:t>
      </w:r>
    </w:p>
    <w:p>
      <w:pPr>
        <w:pStyle w:val="FirstParagraph"/>
      </w:pPr>
      <w:r>
        <w:rPr>
          <w:b/>
          <w:bCs/>
        </w:rPr>
        <w:t xml:space="preserve">One platform for how a utility talks to its customers.</w:t>
      </w:r>
      <w:r>
        <w:t xml:space="preserve"> </w:t>
      </w:r>
      <w:r>
        <w:t xml:space="preserve">Customers manage their own</w:t>
      </w:r>
      <w:r>
        <w:t xml:space="preserve"> </w:t>
      </w:r>
      <w:r>
        <w:t xml:space="preserve">communication preferences on the portal; CSRs manage them inside SAP Service Cloud V2;</w:t>
      </w:r>
      <w:r>
        <w:t xml:space="preserve"> </w:t>
      </w:r>
      <w:r>
        <w:t xml:space="preserve">the rules and data live in SAP S/4HANA Utilities; and every outbound message — bill,</w:t>
      </w:r>
      <w:r>
        <w:t xml:space="preserve"> </w:t>
      </w:r>
      <w:r>
        <w:t xml:space="preserve">outage alert, reminder, offer — is checked against those preferences at the moment it</w:t>
      </w:r>
      <w:r>
        <w:t xml:space="preserve"> </w:t>
      </w:r>
      <w:r>
        <w:t xml:space="preserve">is sent.</w:t>
      </w:r>
    </w:p>
    <w:bookmarkStart w:id="9" w:name="what-it-does"/>
    <w:p>
      <w:pPr>
        <w:pStyle w:val="Heading2"/>
      </w:pPr>
      <w:r>
        <w:t xml:space="preserve">What it does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Preference management</w:t>
      </w:r>
      <w:r>
        <w:t xml:space="preserve"> </w:t>
      </w:r>
      <w:r>
        <w:t xml:space="preserve">— communication channels, billing, usage and outage alerts,</w:t>
      </w:r>
      <w:r>
        <w:t xml:space="preserve"> </w:t>
      </w:r>
      <w:r>
        <w:t xml:space="preserve">program and marketing opt-ins, privacy consents. Records are validity-dated and</w:t>
      </w:r>
      <w:r>
        <w:t xml:space="preserve"> </w:t>
      </w:r>
      <w:r>
        <w:t xml:space="preserve">end-dated, never deleted: the full history is audit-ready by construction.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Do-Not-Call done right</w:t>
      </w:r>
      <w:r>
        <w:t xml:space="preserve"> </w:t>
      </w:r>
      <w:r>
        <w:t xml:space="preserve">— DNC/Do-Not-Mail held at Business Partner level, applying</w:t>
      </w:r>
      <w:r>
        <w:t xml:space="preserve"> </w:t>
      </w:r>
      <w:r>
        <w:t xml:space="preserve">to every contract account, distributed to dialers, campaign tools and print with</w:t>
      </w:r>
      <w:r>
        <w:t xml:space="preserve"> </w:t>
      </w:r>
      <w:r>
        <w:t xml:space="preserve">delivery receipts, sequence protection and daily reconciliation.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Event-driven communication</w:t>
      </w:r>
      <w:r>
        <w:t xml:space="preserve"> </w:t>
      </w:r>
      <w:r>
        <w:t xml:space="preserve">— business events (bill created, outage detected,</w:t>
      </w:r>
      <w:r>
        <w:t xml:space="preserve"> </w:t>
      </w:r>
      <w:r>
        <w:t xml:space="preserve">demand-response dispatch…) resolve</w:t>
      </w:r>
      <w:r>
        <w:t xml:space="preserve"> </w:t>
      </w:r>
      <w:r>
        <w:rPr>
          <w:i/>
          <w:iCs/>
        </w:rPr>
        <w:t xml:space="preserve">whether and how</w:t>
      </w:r>
      <w:r>
        <w:t xml:space="preserve"> </w:t>
      </w:r>
      <w:r>
        <w:t xml:space="preserve">to contact the customer through</w:t>
      </w:r>
      <w:r>
        <w:t xml:space="preserve"> </w:t>
      </w:r>
      <w:r>
        <w:t xml:space="preserve">BRFplus</w:t>
      </w:r>
      <w:r>
        <w:t xml:space="preserve"> </w:t>
      </w:r>
      <w:r>
        <w:rPr>
          <w:b/>
          <w:bCs/>
        </w:rPr>
        <w:t xml:space="preserve">at send time</w:t>
      </w:r>
      <w:r>
        <w:t xml:space="preserve">; suppressed messages are logged with their reason as</w:t>
      </w:r>
      <w:r>
        <w:t xml:space="preserve"> </w:t>
      </w:r>
      <w:r>
        <w:t xml:space="preserve">compliance evidence.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Automatic housekeeping</w:t>
      </w:r>
      <w:r>
        <w:t xml:space="preserve"> </w:t>
      </w:r>
      <w:r>
        <w:t xml:space="preserve">— Move-In/Move-Out and BP changes trigger BRFplus rules</w:t>
      </w:r>
      <w:r>
        <w:t xml:space="preserve"> </w:t>
      </w:r>
      <w:r>
        <w:t xml:space="preserve">that end, seed or revalidate preferences with no manual CSR effort.</w:t>
      </w:r>
    </w:p>
    <w:bookmarkEnd w:id="9"/>
    <w:bookmarkStart w:id="10" w:name="how-it-is-built"/>
    <w:p>
      <w:pPr>
        <w:pStyle w:val="Heading2"/>
      </w:pPr>
      <w:r>
        <w:t xml:space="preserve">How it is built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ends</w:t>
            </w:r>
          </w:p>
        </w:tc>
        <w:tc>
          <w:tcPr/>
          <w:p>
            <w:pPr>
              <w:pStyle w:val="Compact"/>
            </w:pPr>
            <w:r>
              <w:t xml:space="preserve">One embeddable web app:</w:t>
            </w:r>
            <w:r>
              <w:t xml:space="preserve"> </w:t>
            </w:r>
            <w:r>
              <w:rPr>
                <w:b/>
                <w:bCs/>
              </w:rPr>
              <w:t xml:space="preserve">Service Cloud V2 mashup</w:t>
            </w:r>
            <w:r>
              <w:t xml:space="preserve"> </w:t>
            </w:r>
            <w:r>
              <w:t xml:space="preserve">(CSR, case-context) and customer portal mode.</w:t>
            </w:r>
            <w:r>
              <w:t xml:space="preserve"> </w:t>
            </w:r>
            <w:r>
              <w:rPr>
                <w:i/>
                <w:iCs/>
              </w:rPr>
              <w:t xml:space="preserve">Option B:</w:t>
            </w:r>
            <w:r>
              <w:t xml:space="preserve"> </w:t>
            </w:r>
            <w:r>
              <w:t xml:space="preserve">on-stack S/4 CRM WebClient assignment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SAP BTP: API Management +</w:t>
            </w:r>
            <w:r>
              <w:t xml:space="preserve"> </w:t>
            </w:r>
            <w:r>
              <w:rPr>
                <w:b/>
                <w:bCs/>
              </w:rPr>
              <w:t xml:space="preserve">Integration Suite</w:t>
            </w:r>
            <w:r>
              <w:t xml:space="preserve"> </w:t>
            </w:r>
            <w:r>
              <w:t xml:space="preserve">(8 iFlows — save, DNC broadcast, dispatch built as importable CPI projects) + Event Mesh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BRFplus application ZCPC</w:t>
            </w:r>
            <w:r>
              <w:t xml:space="preserve"> </w:t>
            </w:r>
            <w:r>
              <w:t xml:space="preserve">— validation, channel resolution with DNC fallback, event auto-processing; rules maintained by business admins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&amp; API</w:t>
            </w:r>
          </w:p>
        </w:tc>
        <w:tc>
          <w:tcPr/>
          <w:p>
            <w:pPr>
              <w:pStyle w:val="Compact"/>
            </w:pPr>
            <w:r>
              <w:t xml:space="preserve">S/4 tables (</w:t>
            </w:r>
            <w:r>
              <w:rPr>
                <w:rStyle w:val="VerbatimChar"/>
              </w:rPr>
              <w:t xml:space="preserve">ZCPC_PREF/AUDIT/PREFTYPE</w:t>
            </w:r>
            <w:r>
              <w:t xml:space="preserve">) + CDS views +</w:t>
            </w:r>
            <w:r>
              <w:t xml:space="preserve"> </w:t>
            </w:r>
            <w:r>
              <w:rPr>
                <w:b/>
                <w:bCs/>
              </w:rPr>
              <w:t xml:space="preserve">RAP OData V4 service</w:t>
            </w:r>
            <w:r>
              <w:t xml:space="preserve">; one core class is the only writer for both front 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Identity from the authenticated token — never the payload; customers restricted to their own partner; insert-only audit with CSR on-behalf-of attribution; correlation IDs end to end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principles:</w:t>
      </w:r>
      <w:r>
        <w:t xml:space="preserve"> </w:t>
      </w:r>
      <w:r>
        <w:t xml:space="preserve">one write path (</w:t>
      </w:r>
      <w:r>
        <w:rPr>
          <w:rStyle w:val="VerbatimChar"/>
        </w:rPr>
        <w:t xml:space="preserve">ZCL_CPC_CORE</w:t>
      </w:r>
      <w:r>
        <w:t xml:space="preserve">) · half-open validity</w:t>
      </w:r>
      <w:r>
        <w:t xml:space="preserve"> </w:t>
      </w:r>
      <w:r>
        <w:rPr>
          <w:rStyle w:val="VerbatimChar"/>
        </w:rPr>
        <w:t xml:space="preserve">[from, to)</w:t>
      </w:r>
      <w:r>
        <w:t xml:space="preserve"> </w:t>
      </w:r>
      <w:r>
        <w:t xml:space="preserve">· BP-level privacy preferences · all-or-nothing saves · send-time</w:t>
      </w:r>
      <w:r>
        <w:t xml:space="preserve"> </w:t>
      </w:r>
      <w:r>
        <w:t xml:space="preserve">decisions, never cached · no invented SAP APIs — every landscape-dependent artifact is</w:t>
      </w:r>
      <w:r>
        <w:t xml:space="preserve"> </w:t>
      </w:r>
      <w:r>
        <w:t xml:space="preserve">flagged</w:t>
      </w:r>
      <w:r>
        <w:t xml:space="preserve"> </w:t>
      </w:r>
      <w:r>
        <w:rPr>
          <w:b/>
          <w:bCs/>
        </w:rPr>
        <w:t xml:space="preserve">[validate]</w:t>
      </w:r>
      <w:r>
        <w:t xml:space="preserve">.</w:t>
      </w:r>
    </w:p>
    <w:bookmarkEnd w:id="10"/>
    <w:bookmarkStart w:id="11" w:name="what-exists-today"/>
    <w:p>
      <w:pPr>
        <w:pStyle w:val="Heading2"/>
      </w:pPr>
      <w:r>
        <w:t xml:space="preserve">What exists today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demo (4 mock customers, mashup-ready)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nammi2011.github.io/Smart-Grid-Portal/cpc/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Cloud V2 mashup configuration</w:t>
            </w:r>
          </w:p>
        </w:tc>
        <w:tc>
          <w:tcPr/>
          <w:p>
            <w:pPr>
              <w:pStyle w:val="Compact"/>
            </w:pPr>
            <w:r>
              <w:t xml:space="preserve">Documented &amp; rehearsed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iFlows (save · DNC broadcast · dispatch)</w:t>
            </w:r>
          </w:p>
        </w:tc>
        <w:tc>
          <w:tcPr/>
          <w:p>
            <w:pPr>
              <w:pStyle w:val="Compact"/>
            </w:pPr>
            <w:r>
              <w:t xml:space="preserve">Built;</w:t>
            </w:r>
            <w:r>
              <w:t xml:space="preserve"> </w:t>
            </w:r>
            <w:r>
              <w:rPr>
                <w:b/>
                <w:bCs/>
              </w:rPr>
              <w:t xml:space="preserve">IF_CPC_02 imported successfully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S/4 build kit: table DDL, CDS views, RAP BDEF + behavior pool, core class, GenIL adapter</w:t>
            </w:r>
          </w:p>
        </w:tc>
        <w:tc>
          <w:tcPr/>
          <w:p>
            <w:pPr>
              <w:pStyle w:val="Compact"/>
            </w:pPr>
            <w:r>
              <w:t xml:space="preserve">Delivered (code, pre-syntax-check)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BRFplus: architecture, step-by-step build guide, seed content (24 types, DNC policy, event rules)</w:t>
            </w:r>
          </w:p>
        </w:tc>
        <w:tc>
          <w:tcPr/>
          <w:p>
            <w:pPr>
              <w:pStyle w:val="Compact"/>
            </w:pPr>
            <w:r>
              <w:t xml:space="preserve">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documentation package + client deck</w:t>
            </w:r>
          </w:p>
        </w:tc>
        <w:tc>
          <w:tcPr/>
          <w:p>
            <w:pPr>
              <w:pStyle w:val="Compact"/>
            </w:pPr>
            <w:r>
              <w:t xml:space="preserve">Delivered (single combined Word document)</w:t>
            </w:r>
          </w:p>
        </w:tc>
      </w:tr>
    </w:tbl>
    <w:bookmarkEnd w:id="11"/>
    <w:bookmarkStart w:id="12" w:name="delivery-at-a-glance"/>
    <w:p>
      <w:pPr>
        <w:pStyle w:val="Heading2"/>
      </w:pPr>
      <w:r>
        <w:t xml:space="preserve">Delivery at a glance</w:t>
      </w:r>
    </w:p>
    <w:p>
      <w:pPr>
        <w:pStyle w:val="FirstParagraph"/>
      </w:pPr>
      <w:r>
        <w:rPr>
          <w:b/>
          <w:bCs/>
        </w:rPr>
        <w:t xml:space="preserve">Phase 0 (~1 wk)</w:t>
      </w:r>
      <w:r>
        <w:t xml:space="preserve"> </w:t>
      </w:r>
      <w:r>
        <w:t xml:space="preserve">validate landscape items, confirm option →</w:t>
      </w:r>
      <w:r>
        <w:t xml:space="preserve"> </w:t>
      </w:r>
      <w:r>
        <w:rPr>
          <w:b/>
          <w:bCs/>
        </w:rPr>
        <w:t xml:space="preserve">Phase 1 (6–8 wks)</w:t>
      </w:r>
      <w:r>
        <w:t xml:space="preserve"> </w:t>
      </w:r>
      <w:r>
        <w:t xml:space="preserve">S/4</w:t>
      </w:r>
      <w:r>
        <w:t xml:space="preserve"> </w:t>
      </w:r>
      <w:r>
        <w:t xml:space="preserve">core: tables, CDS, RAP, BRFplus, event enhancements →</w:t>
      </w:r>
      <w:r>
        <w:t xml:space="preserve"> </w:t>
      </w:r>
      <w:r>
        <w:rPr>
          <w:b/>
          <w:bCs/>
        </w:rPr>
        <w:t xml:space="preserve">Phase 2 (3–4 wks)</w:t>
      </w:r>
      <w:r>
        <w:t xml:space="preserve"> </w:t>
      </w:r>
      <w:r>
        <w:t xml:space="preserve">BTP deploy,</w:t>
      </w:r>
      <w:r>
        <w:t xml:space="preserve"> </w:t>
      </w:r>
      <w:r>
        <w:t xml:space="preserve">Event Mesh, Service Cloud rollout →</w:t>
      </w:r>
      <w:r>
        <w:t xml:space="preserve"> </w:t>
      </w:r>
      <w:r>
        <w:rPr>
          <w:b/>
          <w:bCs/>
        </w:rPr>
        <w:t xml:space="preserve">Phase 3 (3–4 wks)</w:t>
      </w:r>
      <w:r>
        <w:t xml:space="preserve"> </w:t>
      </w:r>
      <w:r>
        <w:t xml:space="preserve">migration &amp; cutover.</w:t>
      </w:r>
      <w:r>
        <w:t xml:space="preserve"> </w:t>
      </w:r>
      <w:r>
        <w:rPr>
          <w:b/>
          <w:bCs/>
        </w:rPr>
        <w:t xml:space="preserve">Total ≈ 13–18 weeks</w:t>
      </w:r>
      <w:r>
        <w:t xml:space="preserve"> </w:t>
      </w:r>
      <w:r>
        <w:t xml:space="preserve">(Option A). Option B adds ~3 weeks of WebClient UI.</w:t>
      </w:r>
    </w:p>
    <w:p>
      <w:pPr>
        <w:pStyle w:val="BodyText"/>
      </w:pPr>
      <w:r>
        <w:rPr>
          <w:b/>
          <w:bCs/>
        </w:rPr>
        <w:t xml:space="preserve">Why SAP BTP:</w:t>
      </w:r>
      <w:r>
        <w:t xml:space="preserve"> </w:t>
      </w:r>
      <w:r>
        <w:t xml:space="preserve">the system of record is S/4HANA Utilities and the agent desktop is</w:t>
      </w:r>
      <w:r>
        <w:t xml:space="preserve"> </w:t>
      </w:r>
      <w:r>
        <w:t xml:space="preserve">Service Cloud V2 — on BTP, connectivity, identity, integration runtime, eventing and</w:t>
      </w:r>
      <w:r>
        <w:t xml:space="preserve"> </w:t>
      </w:r>
      <w:r>
        <w:t xml:space="preserve">monitoring are subscribed services and sanctioned extension patterns; on a custom</w:t>
      </w:r>
      <w:r>
        <w:t xml:space="preserve"> </w:t>
      </w:r>
      <w:r>
        <w:t xml:space="preserve">stack each is a build-and-maintain project before the first preference is saved.</w:t>
      </w:r>
    </w:p>
    <w:p>
      <w:pPr>
        <w:pStyle w:val="BodyText"/>
      </w:pPr>
      <w:r>
        <w:rPr>
          <w:i/>
          <w:iCs/>
        </w:rPr>
        <w:t xml:space="preserve">All customer data shown in demos is fictional. Estimates are indicative pending Phase 0 validation.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Preference Center — Solution Summary</dc:title>
  <dc:creator/>
  <cp:keywords/>
  <dcterms:created xsi:type="dcterms:W3CDTF">2026-08-17T22:07:49Z</dcterms:created>
  <dcterms:modified xsi:type="dcterms:W3CDTF">2026-08-17T22:07:49Z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