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Scope Annex — Customer Preference Center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17" w:name="X3ee9d516a1a714023b21e323eed3aef3f5be3df"/>
    <w:p>
      <w:pPr>
        <w:pStyle w:val="Heading1"/>
      </w:pPr>
      <w:r>
        <w:t xml:space="preserve">AI Scope Annex — Customer Preference Center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Roadmap annex to the CPC solution package</w:t>
      </w:r>
    </w:p>
    <w:p>
      <w:pPr>
        <w:pStyle w:val="BodyText"/>
      </w:pPr>
      <w:r>
        <w:t xml:space="preserve">The CPC is unusually well-positioned for AI because of two assets the core design</w:t>
      </w:r>
      <w:r>
        <w:t xml:space="preserve"> </w:t>
      </w:r>
      <w:r>
        <w:t xml:space="preserve">already provides: a</w:t>
      </w:r>
      <w:r>
        <w:t xml:space="preserve"> </w:t>
      </w:r>
      <w:r>
        <w:rPr>
          <w:b/>
          <w:bCs/>
        </w:rPr>
        <w:t xml:space="preserve">structured, insert-only preference and dispatch history</w:t>
      </w:r>
      <w:r>
        <w:t xml:space="preserve"> </w:t>
      </w:r>
      <w:r>
        <w:t xml:space="preserve">(clean</w:t>
      </w:r>
      <w:r>
        <w:t xml:space="preserve"> </w:t>
      </w:r>
      <w:r>
        <w:t xml:space="preserve">training and grounding data) and a</w:t>
      </w:r>
      <w:r>
        <w:t xml:space="preserve"> </w:t>
      </w:r>
      <w:r>
        <w:rPr>
          <w:b/>
          <w:bCs/>
        </w:rPr>
        <w:t xml:space="preserve">deterministic decision core</w:t>
      </w:r>
      <w:r>
        <w:t xml:space="preserve"> </w:t>
      </w:r>
      <w:r>
        <w:t xml:space="preserve">— BRFplus plus the</w:t>
      </w:r>
      <w:r>
        <w:t xml:space="preserve"> </w:t>
      </w:r>
      <w:r>
        <w:t xml:space="preserve">single-writer class — that AI can sit</w:t>
      </w:r>
      <w:r>
        <w:t xml:space="preserve"> </w:t>
      </w:r>
      <w:r>
        <w:rPr>
          <w:i/>
          <w:iCs/>
        </w:rPr>
        <w:t xml:space="preserve">on top of</w:t>
      </w:r>
      <w:r>
        <w:t xml:space="preserve"> </w:t>
      </w:r>
      <w:r>
        <w:t xml:space="preserve">without ever being trusted with a</w:t>
      </w:r>
      <w:r>
        <w:t xml:space="preserve"> </w:t>
      </w:r>
      <w:r>
        <w:t xml:space="preserve">compliance decision.</w:t>
      </w:r>
    </w:p>
    <w:p>
      <w:pPr>
        <w:pStyle w:val="BodyText"/>
      </w:pPr>
      <w:r>
        <w:rPr>
          <w:b/>
          <w:bCs/>
        </w:rPr>
        <w:t xml:space="preserve">Governing principle (same as the rate engine): the LLM proposes, explains and</w:t>
      </w:r>
      <w:r>
        <w:rPr>
          <w:b/>
          <w:bCs/>
        </w:rPr>
        <w:t xml:space="preserve"> </w:t>
      </w:r>
      <w:r>
        <w:rPr>
          <w:b/>
          <w:bCs/>
        </w:rPr>
        <w:t xml:space="preserve">translates; BRFplus decides; the core writes.</w:t>
      </w:r>
    </w:p>
    <w:bookmarkStart w:id="9" w:name="where-the-llm-sits-architecture"/>
    <w:p>
      <w:pPr>
        <w:pStyle w:val="Heading2"/>
      </w:pPr>
      <w:r>
        <w:t xml:space="preserve">1. Where the LLM sits —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PROPOSE[AI layer — proposes &amp; explains]</w:t>
      </w:r>
      <w:r>
        <w:br/>
      </w:r>
      <w:r>
        <w:rPr>
          <w:rStyle w:val="VerbatimChar"/>
        </w:rPr>
        <w:t xml:space="preserve">      NL[Customer natural language\n"stop calling me, keep outage texts"]</w:t>
      </w:r>
      <w:r>
        <w:br/>
      </w:r>
      <w:r>
        <w:rPr>
          <w:rStyle w:val="VerbatimChar"/>
        </w:rPr>
        <w:t xml:space="preserve">      LLM[LLM\nintent extraction · summarization]</w:t>
      </w:r>
      <w:r>
        <w:br/>
      </w:r>
      <w:r>
        <w:rPr>
          <w:rStyle w:val="VerbatimChar"/>
        </w:rPr>
        <w:t xml:space="preserve">      COP[CSR copilot\naudit-trail summary · Q&amp;A]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DECIDE[Deterministic core — decides &amp; writes]</w:t>
      </w:r>
      <w:r>
        <w:br/>
      </w:r>
      <w:r>
        <w:rPr>
          <w:rStyle w:val="VerbatimChar"/>
        </w:rPr>
        <w:t xml:space="preserve">      CONF[Human confirmation\nplain-language rendering]</w:t>
      </w:r>
      <w:r>
        <w:br/>
      </w:r>
      <w:r>
        <w:rPr>
          <w:rStyle w:val="VerbatimChar"/>
        </w:rPr>
        <w:t xml:space="preserve">      SAVE[saveChanges API\nidentity guard]</w:t>
      </w:r>
      <w:r>
        <w:br/>
      </w:r>
      <w:r>
        <w:rPr>
          <w:rStyle w:val="VerbatimChar"/>
        </w:rPr>
        <w:t xml:space="preserve">      BRF[BRFplus ZCPC\nvalidate · resolve · DNC policy]</w:t>
      </w:r>
      <w:r>
        <w:br/>
      </w:r>
      <w:r>
        <w:rPr>
          <w:rStyle w:val="VerbatimChar"/>
        </w:rPr>
        <w:t xml:space="preserve">      CORE[ZCL_CPC_CORE\nend-date + insert + audit]</w:t>
      </w:r>
      <w:r>
        <w:br/>
      </w:r>
      <w:r>
        <w:rPr>
          <w:rStyle w:val="VerbatimChar"/>
        </w:rPr>
        <w:t xml:space="preserve">      DB[(ZCPC_PREF / AUDIT)]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NL --&gt; LLM --&gt;|proposed changes JSON| CONF --&gt; SAVE --&gt; BRF --&gt; CORE --&gt; DB</w:t>
      </w:r>
      <w:r>
        <w:br/>
      </w:r>
      <w:r>
        <w:rPr>
          <w:rStyle w:val="VerbatimChar"/>
        </w:rPr>
        <w:t xml:space="preserve">    DB --&gt;|read-only| COP</w:t>
      </w:r>
      <w:r>
        <w:br/>
      </w:r>
      <w:r>
        <w:rPr>
          <w:rStyle w:val="VerbatimChar"/>
        </w:rPr>
        <w:t xml:space="preserve">    LLM -. never writes, never decides send/suppress .-x DB</w:t>
      </w:r>
      <w:r>
        <w:br/>
      </w:r>
      <w:r>
        <w:rPr>
          <w:rStyle w:val="VerbatimChar"/>
        </w:rPr>
        <w:t xml:space="preserve">    EVT[Business events] --&gt; BRF --&gt;|send/suppress| DISP[Dispatch]</w:t>
      </w:r>
      <w:r>
        <w:br/>
      </w:r>
      <w:r>
        <w:rPr>
          <w:rStyle w:val="VerbatimChar"/>
        </w:rPr>
        <w:t xml:space="preserve">    DISP --&gt;|outcomes| DB</w:t>
      </w:r>
    </w:p>
    <w:p>
      <w:pPr>
        <w:pStyle w:val="FirstParagraph"/>
      </w:pPr>
      <w:r>
        <w:t xml:space="preserve">Two structural guarantees follow from this placement: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AI-originated change passes the full trusted path</w:t>
      </w:r>
      <w:r>
        <w:t xml:space="preserve"> </w:t>
      </w:r>
      <w:r>
        <w:t xml:space="preserve">— human confirmation,</w:t>
      </w:r>
      <w:r>
        <w:t xml:space="preserve"> </w:t>
      </w:r>
      <w:r>
        <w:t xml:space="preserve">token-based identity, BRFplus validation, all-or-nothing save, audit row. An</w:t>
      </w:r>
      <w:r>
        <w:t xml:space="preserve"> </w:t>
      </w:r>
      <w:r>
        <w:t xml:space="preserve">AI-proposed change is indistinguishable in governance terms from a clicked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send/suppress decision path contains no AI at all.</w:t>
      </w:r>
      <w:r>
        <w:t xml:space="preserve"> </w:t>
      </w:r>
      <w:r>
        <w:t xml:space="preserve">“The model decided to</w:t>
      </w:r>
      <w:r>
        <w:t xml:space="preserve"> </w:t>
      </w:r>
      <w:r>
        <w:t xml:space="preserve">call a DNC customer”</w:t>
      </w:r>
      <w:r>
        <w:t xml:space="preserve"> </w:t>
      </w:r>
      <w:r>
        <w:t xml:space="preserve">is not a defensible sentence; therefore the model cannot.</w:t>
      </w:r>
    </w:p>
    <w:bookmarkEnd w:id="9"/>
    <w:bookmarkStart w:id="13" w:name="use-cases"/>
    <w:p>
      <w:pPr>
        <w:pStyle w:val="Heading2"/>
      </w:pPr>
      <w:r>
        <w:t xml:space="preserve">2. Use cases</w:t>
      </w:r>
    </w:p>
    <w:bookmarkStart w:id="10" w:name="Xadbedb85eb6e0404b7cf9539ea375974d6012d6"/>
    <w:p>
      <w:pPr>
        <w:pStyle w:val="Heading3"/>
      </w:pPr>
      <w:r>
        <w:t xml:space="preserve">Wave 1 — near-term (grounded in data &amp; contracts that exist today)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Natural-language preference management</w:t>
            </w:r>
            <w:r>
              <w:t xml:space="preserve"> </w:t>
            </w:r>
            <w:r>
              <w:t xml:space="preserve">(portal + IVR later)</w:t>
            </w:r>
          </w:p>
        </w:tc>
        <w:tc>
          <w:tcPr/>
          <w:p>
            <w:pPr>
              <w:pStyle w:val="Compact"/>
            </w:pPr>
            <w:r>
              <w:t xml:space="preserve">LLM maps free text to a proposed</w:t>
            </w:r>
            <w:r>
              <w:t xml:space="preserve"> </w:t>
            </w:r>
            <w:r>
              <w:rPr>
                <w:rStyle w:val="VerbatimChar"/>
              </w:rPr>
              <w:t xml:space="preserve">saveChanges</w:t>
            </w:r>
            <w:r>
              <w:t xml:space="preserve"> </w:t>
            </w:r>
            <w:r>
              <w:t xml:space="preserve">payload → customer confirms a plain rendering → normal path executes</w:t>
            </w:r>
          </w:p>
        </w:tc>
        <w:tc>
          <w:tcPr/>
          <w:p>
            <w:pPr>
              <w:pStyle w:val="Compact"/>
            </w:pPr>
            <w:r>
              <w:t xml:space="preserve">Self-service for customers who won’t navigate toggle screens; accessibility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 copilot</w:t>
            </w:r>
            <w:r>
              <w:t xml:space="preserve"> </w:t>
            </w:r>
            <w:r>
              <w:t xml:space="preserve">(Service Cloud V2)</w:t>
            </w:r>
          </w:p>
        </w:tc>
        <w:tc>
          <w:tcPr/>
          <w:p>
            <w:pPr>
              <w:pStyle w:val="Compact"/>
            </w:pPr>
            <w:r>
              <w:t xml:space="preserve">Summarize audit history (</w:t>
            </w:r>
            <w:r>
              <w:t xml:space="preserve">“mail consent withdrawn Jan after billing dispute; DNC since Nov”</w:t>
            </w:r>
            <w:r>
              <w:t xml:space="preserve">), answer</w:t>
            </w:r>
            <w:r>
              <w:t xml:space="preserve"> </w:t>
            </w:r>
            <w:r>
              <w:t xml:space="preserve">“why isn’t this customer getting letters?”</w:t>
            </w:r>
            <w:r>
              <w:t xml:space="preserve">, draft the case note after a change</w:t>
            </w:r>
          </w:p>
        </w:tc>
        <w:tc>
          <w:tcPr/>
          <w:p>
            <w:pPr>
              <w:pStyle w:val="Compact"/>
            </w:pPr>
            <w:r>
              <w:t xml:space="preserve">Shorter handle time; fewer preference-related escalations. Check</w:t>
            </w:r>
            <w:r>
              <w:t xml:space="preserve"> </w:t>
            </w:r>
            <w:r>
              <w:rPr>
                <w:b/>
                <w:bCs/>
              </w:rPr>
              <w:t xml:space="preserve">Joule extensibility</w:t>
            </w:r>
            <w:r>
              <w:t xml:space="preserve"> </w:t>
            </w:r>
            <w:r>
              <w:t xml:space="preserve">first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  <w:r>
              <w:t xml:space="preserve"> </w:t>
            </w:r>
            <w:r>
              <w:t xml:space="preserve">— may be configuration, not build</w:t>
            </w:r>
          </w:p>
        </w:tc>
      </w:tr>
    </w:tbl>
    <w:bookmarkEnd w:id="10"/>
    <w:bookmarkStart w:id="11" w:name="Xdec3c758f55e0f98a0a13d2908e72ec93753f48"/>
    <w:p>
      <w:pPr>
        <w:pStyle w:val="Heading3"/>
      </w:pPr>
      <w:r>
        <w:t xml:space="preserve">Wave 2 — needs 6–12 months of accumulated dispatch/audit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 &amp; send-time propensity</w:t>
            </w:r>
            <w:r>
              <w:t xml:space="preserve"> </w:t>
            </w:r>
            <w:r>
              <w:t xml:space="preserve">(classic ML)</w:t>
            </w:r>
          </w:p>
        </w:tc>
        <w:tc>
          <w:tcPr/>
          <w:p>
            <w:pPr>
              <w:pStyle w:val="Compact"/>
            </w:pPr>
            <w:r>
              <w:t xml:space="preserve">Learn from IF_CPC_07 outcome logs which channel/time each customer engages with → surfaced as</w:t>
            </w:r>
            <w:r>
              <w:t xml:space="preserve"> </w:t>
            </w:r>
            <w:r>
              <w:rPr>
                <w:i/>
                <w:iCs/>
              </w:rPr>
              <w:t xml:space="preserve">recommended defaults</w:t>
            </w:r>
            <w:r>
              <w:t xml:space="preserve">, decision stays in BRFplus</w:t>
            </w:r>
          </w:p>
        </w:tc>
        <w:tc>
          <w:tcPr/>
          <w:p>
            <w:pPr>
              <w:pStyle w:val="Compact"/>
            </w:pPr>
            <w:r>
              <w:t xml:space="preserve">Higher engagement, fewer wasted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Opt-out / fatigue risk</w:t>
            </w:r>
          </w:p>
        </w:tc>
        <w:tc>
          <w:tcPr/>
          <w:p>
            <w:pPr>
              <w:pStyle w:val="Compact"/>
            </w:pPr>
            <w:r>
              <w:t xml:space="preserve">Predict when one more marketing touch tips a customer into</w:t>
            </w:r>
            <w:r>
              <w:t xml:space="preserve"> </w:t>
            </w:r>
            <w:r>
              <w:rPr>
                <w:rStyle w:val="VerbatimChar"/>
              </w:rPr>
              <w:t xml:space="preserve">PARTNER → OUT</w:t>
            </w:r>
            <w:r>
              <w:t xml:space="preserve"> </w:t>
            </w:r>
            <w:r>
              <w:t xml:space="preserve">or full DNC → throttle proactively</w:t>
            </w:r>
          </w:p>
        </w:tc>
        <w:tc>
          <w:tcPr/>
          <w:p>
            <w:pPr>
              <w:pStyle w:val="Compact"/>
            </w:pPr>
            <w:r>
              <w:t xml:space="preserve">Protects the contact channel as an asset</w:t>
            </w:r>
          </w:p>
        </w:tc>
      </w:tr>
    </w:tbl>
    <w:bookmarkEnd w:id="11"/>
    <w:bookmarkStart w:id="12" w:name="wave-3-governance-mature"/>
    <w:p>
      <w:pPr>
        <w:pStyle w:val="Heading3"/>
      </w:pPr>
      <w:r>
        <w:t xml:space="preserve">Wave 3 — governance-mature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&amp; ops anomaly detection</w:t>
            </w:r>
          </w:p>
        </w:tc>
        <w:tc>
          <w:tcPr/>
          <w:p>
            <w:pPr>
              <w:pStyle w:val="Compact"/>
            </w:pPr>
            <w:r>
              <w:t xml:space="preserve">Patterns in the audit + reconciliation streams: CSR bulk-change anomalies, opt-out spikes per campaign, recurring DNC drift at one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intelligence</w:t>
            </w:r>
          </w:p>
        </w:tc>
        <w:tc>
          <w:tcPr/>
          <w:p>
            <w:pPr>
              <w:pStyle w:val="Compact"/>
            </w:pPr>
            <w:r>
              <w:t xml:space="preserve">Tone/reading-level variants and translations of VM-11 templates; the variable layer is untouched.</w:t>
            </w:r>
            <w:r>
              <w:t xml:space="preserve"> </w:t>
            </w:r>
            <w:r>
              <w:rPr>
                <w:rStyle w:val="VerbatimChar"/>
              </w:rPr>
              <w:t xml:space="preserve">PAST_DUE</w:t>
            </w:r>
            <w:r>
              <w:t xml:space="preserve"> </w:t>
            </w:r>
            <w:r>
              <w:t xml:space="preserve">(legal-owned) excluded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Energy Advisor</w:t>
            </w:r>
            <w:r>
              <w:t xml:space="preserve"> </w:t>
            </w:r>
            <w:r>
              <w:t xml:space="preserve">(portal side, already designed)</w:t>
            </w:r>
          </w:p>
        </w:tc>
        <w:tc>
          <w:tcPr/>
          <w:p>
            <w:pPr>
              <w:pStyle w:val="Compact"/>
            </w:pPr>
            <w:r>
              <w:t xml:space="preserve">“Which rate is cheapest if I charge my EV at night?”</w:t>
            </w:r>
            <w:r>
              <w:t xml:space="preserve"> </w:t>
            </w:r>
            <w:r>
              <w:t xml:space="preserve">— deterministic rate engine authoritative, LLM explains</w:t>
            </w:r>
          </w:p>
        </w:tc>
      </w:tr>
    </w:tbl>
    <w:bookmarkEnd w:id="12"/>
    <w:bookmarkEnd w:id="13"/>
    <w:bookmarkStart w:id="14" w:name="X3c373980afe5af5afc889fff70143ff584ed3bd"/>
    <w:p>
      <w:pPr>
        <w:pStyle w:val="Heading2"/>
      </w:pPr>
      <w:r>
        <w:t xml:space="preserve">3. Red lines (non-negotiable, state them to every stakeholder)</w:t>
      </w:r>
    </w:p>
    <w:p>
      <w:pPr>
        <w:pStyle w:val="Compact"/>
        <w:numPr>
          <w:ilvl w:val="0"/>
          <w:numId w:val="1002"/>
        </w:numPr>
      </w:pPr>
      <w:r>
        <w:t xml:space="preserve">AI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makes the send/suppress decision — BRFplus only.</w:t>
      </w:r>
    </w:p>
    <w:p>
      <w:pPr>
        <w:pStyle w:val="Compact"/>
        <w:numPr>
          <w:ilvl w:val="0"/>
          <w:numId w:val="1002"/>
        </w:numPr>
      </w:pPr>
      <w:r>
        <w:t xml:space="preserve">AI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writes preferences — everything funnels through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with</w:t>
      </w:r>
      <w:r>
        <w:t xml:space="preserve"> </w:t>
      </w:r>
      <w:r>
        <w:t xml:space="preserve">explicit confirmation; the audit trail stays complete and attributable.</w:t>
      </w:r>
    </w:p>
    <w:p>
      <w:pPr>
        <w:pStyle w:val="Compact"/>
        <w:numPr>
          <w:ilvl w:val="0"/>
          <w:numId w:val="1002"/>
        </w:numPr>
      </w:pPr>
      <w:r>
        <w:t xml:space="preserve">Regulatory content (</w:t>
      </w:r>
      <w:r>
        <w:rPr>
          <w:rStyle w:val="VerbatimChar"/>
        </w:rPr>
        <w:t xml:space="preserve">PAST_DUE</w:t>
      </w:r>
      <w:r>
        <w:t xml:space="preserve"> </w:t>
      </w:r>
      <w:r>
        <w:t xml:space="preserve">wording) and financial figures are outside</w:t>
      </w:r>
      <w:r>
        <w:t xml:space="preserve"> </w:t>
      </w:r>
      <w:r>
        <w:t xml:space="preserve">generative scope entirely.</w:t>
      </w:r>
    </w:p>
    <w:p>
      <w:pPr>
        <w:pStyle w:val="Compact"/>
        <w:numPr>
          <w:ilvl w:val="0"/>
          <w:numId w:val="1002"/>
        </w:numPr>
      </w:pPr>
      <w:r>
        <w:t xml:space="preserve">PII minimization in prompts; no training on customer data without the consent the</w:t>
      </w:r>
      <w:r>
        <w:t xml:space="preserve"> </w:t>
      </w:r>
      <w:r>
        <w:t xml:space="preserve">CPC itself manages (</w:t>
      </w:r>
      <w:r>
        <w:rPr>
          <w:rStyle w:val="VerbatimChar"/>
        </w:rPr>
        <w:t xml:space="preserve">THIRD_PARTY</w:t>
      </w:r>
      <w:r>
        <w:t xml:space="preserve">/analytics consents gate the propensity models —</w:t>
      </w:r>
      <w:r>
        <w:t xml:space="preserve"> </w:t>
      </w:r>
      <w:r>
        <w:t xml:space="preserve">the system enforces its own AI data governance).</w:t>
      </w:r>
    </w:p>
    <w:bookmarkEnd w:id="14"/>
    <w:bookmarkStart w:id="15" w:name="platform-data-readiness"/>
    <w:p>
      <w:pPr>
        <w:pStyle w:val="Heading2"/>
      </w:pPr>
      <w:r>
        <w:t xml:space="preserve">4. Platform &amp; data readiness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GenAI runtime</w:t>
            </w:r>
          </w:p>
        </w:tc>
        <w:tc>
          <w:tcPr/>
          <w:p>
            <w:pPr>
              <w:pStyle w:val="Compact"/>
            </w:pPr>
            <w:r>
              <w:t xml:space="preserve">SAP AI Core /</w:t>
            </w:r>
            <w:r>
              <w:t xml:space="preserve"> </w:t>
            </w:r>
            <w:r>
              <w:rPr>
                <w:b/>
                <w:bCs/>
              </w:rPr>
              <w:t xml:space="preserve">Generative AI Hub</w:t>
            </w:r>
            <w:r>
              <w:t xml:space="preserve"> </w:t>
            </w:r>
            <w:r>
              <w:t xml:space="preserve">on BTP — same governance envelope as the rest of the solution; Joule for the Service Cloud surface</w:t>
            </w:r>
            <w:r>
              <w:t xml:space="preserve"> </w:t>
            </w:r>
            <w:r>
              <w:rPr>
                <w:b/>
                <w:bCs/>
              </w:rPr>
              <w:t xml:space="preserve">[validate tenant availability]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 ML</w:t>
            </w:r>
          </w:p>
        </w:tc>
        <w:tc>
          <w:tcPr/>
          <w:p>
            <w:pPr>
              <w:pStyle w:val="Compact"/>
            </w:pPr>
            <w:r>
              <w:t xml:space="preserve">HANA Cloud PAL / AI Core pipelines over the audit + dispatch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ZCPC_AUDIT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ZI_CPC_*</w:t>
            </w:r>
            <w:r>
              <w:t xml:space="preserve"> </w:t>
            </w:r>
            <w:r>
              <w:t xml:space="preserve">CDS views, VM-10/VM-11 catalogs — already structured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readiness</w:t>
            </w:r>
          </w:p>
        </w:tc>
        <w:tc>
          <w:tcPr/>
          <w:p>
            <w:pPr>
              <w:pStyle w:val="Compact"/>
            </w:pPr>
            <w:r>
              <w:t xml:space="preserve">IF_CPC_07 outcome logging (SENT/SUPPRESSED + reason) is the feature store for A3/A4 —</w:t>
            </w:r>
            <w:r>
              <w:t xml:space="preserve"> </w:t>
            </w:r>
            <w:r>
              <w:rPr>
                <w:b/>
                <w:bCs/>
              </w:rPr>
              <w:t xml:space="preserve">it accumulates from day one of go-live</w:t>
            </w:r>
            <w:r>
              <w:t xml:space="preserve">, so Wave 2 becomes possible ~6–12 months later without retrofitting</w:t>
            </w:r>
          </w:p>
        </w:tc>
      </w:tr>
    </w:tbl>
    <w:bookmarkEnd w:id="15"/>
    <w:bookmarkStart w:id="16" w:name="effort-signals-indicative"/>
    <w:p>
      <w:pPr>
        <w:pStyle w:val="Heading2"/>
      </w:pPr>
      <w:r>
        <w:t xml:space="preserve">5. Effort signals (indicative)</w:t>
      </w:r>
    </w:p>
    <w:p>
      <w:pPr>
        <w:pStyle w:val="FirstParagraph"/>
      </w:pPr>
      <w:r>
        <w:t xml:space="preserve">A2 copilot (if Joule-extensible): weeks, mostly prompt + grounding config · A1 NL</w:t>
      </w:r>
      <w:r>
        <w:t xml:space="preserve"> </w:t>
      </w:r>
      <w:r>
        <w:t xml:space="preserve">preferences: 4–6 weeks incl. confirmation UX · A3/A4 propensity: 6–8 weeks once data</w:t>
      </w:r>
      <w:r>
        <w:t xml:space="preserve"> </w:t>
      </w:r>
      <w:r>
        <w:t xml:space="preserve">exists · A5–A7: scoped per case. All additive — nothing in Waves 1–3 changes the core,</w:t>
      </w:r>
      <w:r>
        <w:t xml:space="preserve"> </w:t>
      </w:r>
      <w:r>
        <w:t xml:space="preserve">the APIs, or the compliance model.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Scope Annex — Customer Preference Center</dc:title>
  <dc:creator/>
  <cp:keywords/>
  <dcterms:created xsi:type="dcterms:W3CDTF">2026-08-17T22:15:42Z</dcterms:created>
  <dcterms:modified xsi:type="dcterms:W3CDTF">2026-08-17T22:15:42Z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