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iFlow Mapping Specification — IF_CPC_06 DNC_Broadcast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2" w:name="Xbdf9d0226723ef2227d5424a62e17f3a933d66b"/>
    <w:p>
      <w:pPr>
        <w:pStyle w:val="Heading1"/>
      </w:pPr>
      <w:r>
        <w:t xml:space="preserve">iFlow Mapping Specification — IF_CPC_06</w:t>
      </w:r>
      <w:r>
        <w:t xml:space="preserve"> </w:t>
      </w:r>
      <w:r>
        <w:rPr>
          <w:rStyle w:val="VerbatimChar"/>
        </w:rPr>
        <w:t xml:space="preserve">IF_CPC_DNC_Broadcast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·</w:t>
      </w:r>
      <w: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CPC (</w:t>
      </w:r>
      <w:r>
        <w:rPr>
          <w:rStyle w:val="VerbatimChar"/>
        </w:rPr>
        <w:t xml:space="preserve">cpc-solution-package.md</w:t>
      </w:r>
      <w:r>
        <w:t xml:space="preserve"> </w:t>
      </w:r>
      <w:r>
        <w:t xml:space="preserve">§5)</w:t>
      </w:r>
    </w:p>
    <w:p>
      <w:pPr>
        <w:pStyle w:val="BodyText"/>
      </w:pPr>
      <w:r>
        <w:t xml:space="preserve">Distributes</w:t>
      </w:r>
      <w:r>
        <w:t xml:space="preserve"> </w:t>
      </w:r>
      <w:r>
        <w:rPr>
          <w:b/>
          <w:bCs/>
        </w:rPr>
        <w:t xml:space="preserve">Do-Not-Call / Do-Not-Mail changes</w:t>
      </w:r>
      <w:r>
        <w:t xml:space="preserve"> </w:t>
      </w:r>
      <w:r>
        <w:t xml:space="preserve">from S/4HANA to every outbound</w:t>
      </w:r>
      <w:r>
        <w:t xml:space="preserve"> </w:t>
      </w:r>
      <w:r>
        <w:t xml:space="preserve">communication system (dialers, campaign/marketing platforms, print bureau) with</w:t>
      </w:r>
      <w:r>
        <w:t xml:space="preserve"> </w:t>
      </w:r>
      <w:r>
        <w:t xml:space="preserve">guaranteed delivery and full audit.</w:t>
      </w:r>
      <w:r>
        <w:t xml:space="preserve"> </w:t>
      </w:r>
      <w:r>
        <w:rPr>
          <w:b/>
          <w:bCs/>
        </w:rPr>
        <w:t xml:space="preserve">This is a compliance interface</w:t>
      </w:r>
      <w:r>
        <w:t xml:space="preserve">: a DNC that a</w:t>
      </w:r>
      <w:r>
        <w:t xml:space="preserve"> </w:t>
      </w:r>
      <w:r>
        <w:t xml:space="preserve">dialer never learns about is a regulatory violation, so its failure handling is</w:t>
      </w:r>
      <w:r>
        <w:t xml:space="preserve"> </w:t>
      </w:r>
      <w:r>
        <w:t xml:space="preserve">stricter than every other iFlow in the package.</w:t>
      </w:r>
    </w:p>
    <w:p>
      <w:pPr>
        <w:pStyle w:val="BlockText"/>
      </w:pPr>
      <w:r>
        <w:rPr>
          <w:b/>
          <w:bCs/>
        </w:rPr>
        <w:t xml:space="preserve">[validate]</w:t>
      </w:r>
      <w:r>
        <w:t xml:space="preserve">: Event Mesh topic wiring from the RAP event (ENH-05), each target</w:t>
      </w:r>
      <w:r>
        <w:t xml:space="preserve"> </w:t>
      </w:r>
      <w:r>
        <w:t xml:space="preserve">system’s suppression API (dialer/campaign/print vendors differ), and your regulatory</w:t>
      </w:r>
      <w:r>
        <w:t xml:space="preserve"> </w:t>
      </w:r>
      <w:r>
        <w:t xml:space="preserve">SLA value (spec assumes</w:t>
      </w:r>
      <w:r>
        <w:t xml:space="preserve"> </w:t>
      </w:r>
      <w:r>
        <w:rPr>
          <w:b/>
          <w:bCs/>
        </w:rPr>
        <w:t xml:space="preserve">15 minutes</w:t>
      </w:r>
      <w:r>
        <w:t xml:space="preserve"> </w:t>
      </w:r>
      <w:r>
        <w:t xml:space="preserve">— confirm with compliance).</w:t>
      </w:r>
    </w:p>
    <w:p>
      <w:r>
        <w:pict>
          <v:rect style="width:0;height:1.5pt" o:hralign="center" o:hrstd="t" o:hr="t"/>
        </w:pict>
      </w:r>
    </w:p>
    <w:bookmarkStart w:id="9" w:name="interface-overview"/>
    <w:p>
      <w:pPr>
        <w:pStyle w:val="Heading2"/>
      </w:pPr>
      <w:r>
        <w:t xml:space="preserve">1. Interface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iFlow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IF_CPC_DNC_Broadcast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S/4 → downstream (asynchronous, event-driven)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SAP Event Mesh, queue</w:t>
            </w:r>
            <w:r>
              <w:t xml:space="preserve"> </w:t>
            </w:r>
            <w:r>
              <w:rPr>
                <w:rStyle w:val="VerbatimChar"/>
              </w:rPr>
              <w:t xml:space="preserve">cpc.dnc.broadcast</w:t>
            </w:r>
            <w:r>
              <w:t xml:space="preserve"> </w:t>
            </w:r>
            <w:r>
              <w:t xml:space="preserve">subscribed to topic</w:t>
            </w:r>
            <w:r>
              <w:t xml:space="preserve"> </w:t>
            </w:r>
            <w:r>
              <w:rPr>
                <w:rStyle w:val="VerbatimChar"/>
              </w:rPr>
              <w:t xml:space="preserve">zcpc/DncChanged</w:t>
            </w:r>
            <w:r>
              <w:t xml:space="preserve"> </w:t>
            </w:r>
            <w:r>
              <w:t xml:space="preserve">(also carries</w:t>
            </w:r>
            <w:r>
              <w:t xml:space="preserve"> </w:t>
            </w:r>
            <w:r>
              <w:rPr>
                <w:rStyle w:val="VerbatimChar"/>
              </w:rPr>
              <w:t xml:space="preserve">DnmChanged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ThirdPartyChanged</w:t>
            </w:r>
            <w:r>
              <w:t xml:space="preserve"> </w:t>
            </w:r>
            <w:r>
              <w:t xml:space="preserve">— all BP-scope privacy types)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 adapter</w:t>
            </w:r>
          </w:p>
        </w:tc>
        <w:tc>
          <w:tcPr/>
          <w:p>
            <w:pPr>
              <w:pStyle w:val="Compact"/>
            </w:pPr>
            <w:r>
              <w:t xml:space="preserve">AMQP (Event Mesh)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Receivers</w:t>
            </w:r>
          </w:p>
        </w:tc>
        <w:tc>
          <w:tcPr/>
          <w:p>
            <w:pPr>
              <w:pStyle w:val="Compact"/>
            </w:pPr>
            <w:r>
              <w:t xml:space="preserve">R1 outbound dialer suppression API · R2 campaign/marketing platform · R3 print bureau (DNM only) — one receiver branch each, multicast</w:t>
            </w:r>
            <w:r>
              <w:t xml:space="preserve"> </w:t>
            </w:r>
            <w:r>
              <w:rPr>
                <w:b/>
                <w:bCs/>
              </w:rPr>
              <w:t xml:space="preserve">[validate each API]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Exactly-once effective</w:t>
            </w:r>
            <w:r>
              <w:t xml:space="preserve">: at-least-once delivery + idempotent targets (event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dedup)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</w:t>
            </w:r>
          </w:p>
        </w:tc>
        <w:tc>
          <w:tcPr/>
          <w:p>
            <w:pPr>
              <w:pStyle w:val="Compact"/>
            </w:pPr>
            <w:r>
              <w:t xml:space="preserve">Per-partner sequencing (§5) — a WITHDRAWN after GRANTED must never apply out of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Every target confirmed within</w:t>
            </w:r>
            <w:r>
              <w:t xml:space="preserve"> </w:t>
            </w:r>
            <w:r>
              <w:rPr>
                <w:b/>
                <w:bCs/>
              </w:rPr>
              <w:t xml:space="preserve">15 min</w:t>
            </w:r>
            <w:r>
              <w:t xml:space="preserve"> </w:t>
            </w:r>
            <w:r>
              <w:t xml:space="preserve">of the S/4 commit; breach = ops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Exponential backoff 1/2/4/8/16 min ×6 per target → target-specific DLQ →</w:t>
            </w:r>
            <w:r>
              <w:t xml:space="preserve"> </w:t>
            </w:r>
            <w:r>
              <w:rPr>
                <w:b/>
                <w:bCs/>
              </w:rPr>
              <w:t xml:space="preserve">page ops</w:t>
            </w:r>
            <w:r>
              <w:t xml:space="preserve"> </w:t>
            </w:r>
            <w:r>
              <w:t xml:space="preserve">(not just alert)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Delivery receipt per target written back to</w:t>
            </w:r>
            <w:r>
              <w:t xml:space="preserve"> </w:t>
            </w:r>
            <w:r>
              <w:rPr>
                <w:rStyle w:val="VerbatimChar"/>
              </w:rPr>
              <w:t xml:space="preserve">ZCPC_AUDIT</w:t>
            </w:r>
            <w:r>
              <w:t xml:space="preserve"> </w:t>
            </w:r>
            <w:r>
              <w:t xml:space="preserve">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Daily full-snapshot compare (§7) — retries alone are not sufficient evidence for compliance</w:t>
            </w:r>
          </w:p>
        </w:tc>
      </w:tr>
    </w:tbl>
    <w:bookmarkEnd w:id="9"/>
    <w:bookmarkStart w:id="10" w:name="processing-steps"/>
    <w:p>
      <w:pPr>
        <w:pStyle w:val="Heading2"/>
      </w:pPr>
      <w:r>
        <w:t xml:space="preserve">2. Processing steps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Q[Event Mesh queue\ncpc.dnc.broadcast] --&gt; V[Envelope validation\n+ dedup on event id]</w:t>
      </w:r>
      <w:r>
        <w:br/>
      </w:r>
      <w:r>
        <w:rPr>
          <w:rStyle w:val="VerbatimChar"/>
        </w:rPr>
        <w:t xml:space="preserve">    V --&gt; S[Sequence guard\nper-partner ordering §5]</w:t>
      </w:r>
      <w:r>
        <w:br/>
      </w:r>
      <w:r>
        <w:rPr>
          <w:rStyle w:val="VerbatimChar"/>
        </w:rPr>
        <w:t xml:space="preserve">    S --&gt; M[Multicast]</w:t>
      </w:r>
      <w:r>
        <w:br/>
      </w:r>
      <w:r>
        <w:rPr>
          <w:rStyle w:val="VerbatimChar"/>
        </w:rPr>
        <w:t xml:space="preserve">    M --&gt; R1[Map + call\nDialer suppression API]</w:t>
      </w:r>
      <w:r>
        <w:br/>
      </w:r>
      <w:r>
        <w:rPr>
          <w:rStyle w:val="VerbatimChar"/>
        </w:rPr>
        <w:t xml:space="preserve">    M --&gt; R2[Map + call\nCampaign platform]</w:t>
      </w:r>
      <w:r>
        <w:br/>
      </w:r>
      <w:r>
        <w:rPr>
          <w:rStyle w:val="VerbatimChar"/>
        </w:rPr>
        <w:t xml:space="preserve">    M --&gt; R3{type = DNM?} --&gt;|yes| P[Print bureau]</w:t>
      </w:r>
      <w:r>
        <w:br/>
      </w:r>
      <w:r>
        <w:rPr>
          <w:rStyle w:val="VerbatimChar"/>
        </w:rPr>
        <w:t xml:space="preserve">    R1 &amp; R2 &amp; P --&gt; W[Receipt write-back\nZCPC_AUDIT via OData]</w:t>
      </w:r>
      <w:r>
        <w:br/>
      </w:r>
      <w:r>
        <w:rPr>
          <w:rStyle w:val="VerbatimChar"/>
        </w:rPr>
        <w:t xml:space="preserve">    R1 &amp; R2 &amp; P -.fail ×6.-&gt; D[DLQ + PAGE ops]</w:t>
      </w:r>
    </w:p>
    <w:p>
      <w:pPr>
        <w:pStyle w:val="FirstParagraph"/>
      </w:pPr>
      <w:r>
        <w:t xml:space="preserve">Each receiver branch retries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— a dialer outage must not delay the</w:t>
      </w:r>
      <w:r>
        <w:t xml:space="preserve"> </w:t>
      </w:r>
      <w:r>
        <w:t xml:space="preserve">campaign platform.</w:t>
      </w:r>
    </w:p>
    <w:bookmarkEnd w:id="10"/>
    <w:bookmarkStart w:id="11" w:name="X3122b44b647fb327c7e1fe5090ca0cfcdbd08bb"/>
    <w:p>
      <w:pPr>
        <w:pStyle w:val="Heading2"/>
      </w:pPr>
      <w:r>
        <w:t xml:space="preserve">3. Source message —</w:t>
      </w:r>
      <w:r>
        <w:t xml:space="preserve"> </w:t>
      </w:r>
      <w:r>
        <w:rPr>
          <w:rStyle w:val="VerbatimChar"/>
        </w:rPr>
        <w:t xml:space="preserve">zcpc/DncChanged</w:t>
      </w:r>
      <w:r>
        <w:t xml:space="preserve"> </w:t>
      </w:r>
      <w:r>
        <w:t xml:space="preserve">(CloudEvents 1.0)</w:t>
      </w:r>
    </w:p>
    <w:p>
      <w:pPr>
        <w:pStyle w:val="FirstParagraph"/>
      </w:pPr>
      <w:r>
        <w:t xml:space="preserve">Published by ENH-05 in the same transaction scope as the preference save.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"zcpc.DncChanged.v1"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"/s4/zcpc"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"d0a4f8c2-7e91-4b5a-8c1d-2f6e9a3b7c50"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"2026-08-17T18:12:03Z"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"0001000567"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"preferenceType"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"channelSuppressed"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"sequenceNo"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"preferenceUUID"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"3f1e…"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sequenceNo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per-partner monotonic counter</w:t>
      </w:r>
      <w:r>
        <w:t xml:space="preserve"> </w:t>
      </w:r>
      <w:r>
        <w:t xml:space="preserve">maintained by S/4 (</w:t>
      </w:r>
      <w:r>
        <w:rPr>
          <w:rStyle w:val="VerbatimChar"/>
        </w:rPr>
        <w:t xml:space="preserve">ZCPC_SEQ</w:t>
      </w:r>
      <w:r>
        <w:t xml:space="preserve"> </w:t>
      </w:r>
      <w:r>
        <w:t xml:space="preserve">number range per partner) — the ordering authority for §5.</w:t>
      </w:r>
    </w:p>
    <w:bookmarkEnd w:id="11"/>
    <w:bookmarkStart w:id="15" w:name="field-mappings-per-receiver"/>
    <w:p>
      <w:pPr>
        <w:pStyle w:val="Heading2"/>
      </w:pPr>
      <w:r>
        <w:t xml:space="preserve">4. Field mappings per receiver</w:t>
      </w:r>
    </w:p>
    <w:bookmarkStart w:id="12" w:name="X9965f6149584d7c727b0b8e87843a472213cd6f"/>
    <w:p>
      <w:pPr>
        <w:pStyle w:val="Heading3"/>
      </w:pPr>
      <w:r>
        <w:t xml:space="preserve">4.1 R1 — Outbound dialer suppression list (generic REST; concrete API</w:t>
      </w:r>
      <w:r>
        <w:t xml:space="preserve"> </w:t>
      </w:r>
      <w:r>
        <w:rPr>
          <w:b/>
          <w:bCs/>
        </w:rPr>
        <w:t xml:space="preserve">[validate]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 (</w:t>
            </w:r>
            <w:r>
              <w:rPr>
                <w:rStyle w:val="VerbatimChar"/>
              </w:rPr>
              <w:t xml:space="preserve">data.*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Target (dialer)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customerRef</w:t>
            </w:r>
          </w:p>
        </w:tc>
        <w:tc>
          <w:tcPr/>
          <w:p>
            <w:pPr>
              <w:pStyle w:val="Compact"/>
            </w:pPr>
            <w:r>
              <w:t xml:space="preserve">ALPHA-stripped (no leading zeros)</w:t>
            </w:r>
            <w:r>
              <w:t xml:space="preserve"> </w:t>
            </w:r>
            <w:r>
              <w:rPr>
                <w:b/>
                <w:bCs/>
              </w:rPr>
              <w:t xml:space="preserve">[confirm dialer key]</w:t>
            </w:r>
            <w:r>
              <w:t xml:space="preserve"> </w:t>
            </w:r>
            <w:r>
              <w:t xml:space="preserve">— if the dialer keys on phone number, enrich: OData lookup</w:t>
            </w:r>
            <w:r>
              <w:t xml:space="preserve"> </w:t>
            </w:r>
            <w:r>
              <w:rPr>
                <w:rStyle w:val="VerbatimChar"/>
              </w:rPr>
              <w:t xml:space="preserve">I_BusinessPartner</w:t>
            </w:r>
            <w:r>
              <w:t xml:space="preserve"> </w:t>
            </w:r>
            <w:r>
              <w:t xml:space="preserve">phone numbers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  <w:r>
              <w:t xml:space="preserve"> </w:t>
            </w:r>
            <w:r>
              <w:t xml:space="preserve">and send one suppression entry per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 → ADD</w:t>
            </w:r>
            <w:r>
              <w:t xml:space="preserve"> </w:t>
            </w:r>
            <w:r>
              <w:t xml:space="preserve">(add to DNC list),</w:t>
            </w:r>
            <w:r>
              <w:t xml:space="preserve"> </w:t>
            </w:r>
            <w:r>
              <w:rPr>
                <w:rStyle w:val="VerbatimChar"/>
              </w:rPr>
              <w:t xml:space="preserve">OUT → 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DNC → DO_NOT_CALL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DNM</w:t>
            </w:r>
            <w:r>
              <w:t xml:space="preserve"> </w:t>
            </w:r>
            <w:r>
              <w:t xml:space="preserve">not sent to dialer (skip branch)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effectiveDate</w:t>
            </w:r>
          </w:p>
        </w:tc>
        <w:tc>
          <w:tcPr/>
          <w:p>
            <w:pPr>
              <w:pStyle w:val="Compact"/>
            </w:pPr>
            <w:r>
              <w:t xml:space="preserve">ISO date pass-through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(envelope)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externalRef</w:t>
            </w:r>
          </w:p>
        </w:tc>
        <w:tc>
          <w:tcPr/>
          <w:p>
            <w:pPr>
              <w:pStyle w:val="Compact"/>
            </w:pPr>
            <w:r>
              <w:t xml:space="preserve">Idempotency key at the dialer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  <w:r>
              <w:t xml:space="preserve"> </w:t>
            </w:r>
            <w:r>
              <w:rPr>
                <w:rStyle w:val="VerbatimChar"/>
              </w:rPr>
              <w:t xml:space="preserve">CUSTOMER_PREFERENCE</w:t>
            </w:r>
          </w:p>
        </w:tc>
      </w:tr>
    </w:tbl>
    <w:bookmarkEnd w:id="12"/>
    <w:bookmarkStart w:id="13" w:name="r2-campaign-marketing-platform"/>
    <w:p>
      <w:pPr>
        <w:pStyle w:val="Heading3"/>
      </w:pPr>
      <w:r>
        <w:t xml:space="preserve">4.2 R2 — Campaign / marketing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contactKey</w:t>
            </w:r>
          </w:p>
        </w:tc>
        <w:tc>
          <w:tcPr/>
          <w:p>
            <w:pPr>
              <w:pStyle w:val="Compact"/>
            </w:pPr>
            <w:r>
              <w:t xml:space="preserve">Per platform key mapping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channelConsent</w:t>
            </w:r>
            <w:r>
              <w:t xml:space="preserve"> </w:t>
            </w: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DNC/IN → {voice:"DENIED"}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DNM/IN → {print:"DENIED"}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THIRD_PARTY/IN|OUT → {dataSharing:…}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  <w:r>
              <w:t xml:space="preserve"> </w:t>
            </w:r>
            <w:r>
              <w:t xml:space="preserve">restores</w:t>
            </w:r>
            <w:r>
              <w:t xml:space="preserve"> </w:t>
            </w:r>
            <w:r>
              <w:rPr>
                <w:rStyle w:val="VerbatimChar"/>
              </w:rPr>
              <w:t xml:space="preserve">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consentTimestamp</w:t>
            </w:r>
          </w:p>
        </w:tc>
        <w:tc>
          <w:tcPr/>
          <w:p>
            <w:pPr>
              <w:pStyle w:val="Compact"/>
            </w:pPr>
            <w:r>
              <w:t xml:space="preserve">Pass-through — platforms typically require the consent-change instant for their own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eventId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</w:tr>
    </w:tbl>
    <w:bookmarkEnd w:id="13"/>
    <w:bookmarkStart w:id="14" w:name="r3-print-bureau-dnm-only"/>
    <w:p>
      <w:pPr>
        <w:pStyle w:val="Heading3"/>
      </w:pPr>
      <w:r>
        <w:t xml:space="preserve">4.3 R3 — Print bureau (DNM only)</w:t>
      </w:r>
    </w:p>
    <w:p>
      <w:pPr>
        <w:pStyle w:val="FirstParagraph"/>
      </w:pPr>
      <w:r>
        <w:rPr>
          <w:rStyle w:val="VerbatimChar"/>
        </w:rPr>
        <w:t xml:space="preserve">action ADD/REMOVE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addressRef</w:t>
      </w:r>
      <w:r>
        <w:t xml:space="preserve"> </w:t>
      </w:r>
      <w:r>
        <w:t xml:space="preserve">= partner; postal address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sent (bureau holds</w:t>
      </w:r>
      <w:r>
        <w:t xml:space="preserve"> </w:t>
      </w:r>
      <w:r>
        <w:t xml:space="preserve">address feed separately) — this interface only gates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to print.</w:t>
      </w:r>
    </w:p>
    <w:bookmarkEnd w:id="14"/>
    <w:bookmarkEnd w:id="15"/>
    <w:bookmarkStart w:id="16" w:name="ordering-race-handling"/>
    <w:p>
      <w:pPr>
        <w:pStyle w:val="Heading2"/>
      </w:pPr>
      <w:r>
        <w:t xml:space="preserve">5. Ordering &amp; race handling</w:t>
      </w:r>
    </w:p>
    <w:p>
      <w:pPr>
        <w:pStyle w:val="Compact"/>
        <w:numPr>
          <w:ilvl w:val="0"/>
          <w:numId w:val="1001"/>
        </w:numPr>
      </w:pPr>
      <w:r>
        <w:t xml:space="preserve">Queue is consumed with</w:t>
      </w:r>
      <w:r>
        <w:t xml:space="preserve"> </w:t>
      </w:r>
      <w:r>
        <w:rPr>
          <w:b/>
          <w:bCs/>
        </w:rPr>
        <w:t xml:space="preserve">partner-hash parallelism</w:t>
      </w:r>
      <w:r>
        <w:t xml:space="preserve">: events for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partner are</w:t>
      </w:r>
      <w:r>
        <w:t xml:space="preserve"> </w:t>
      </w:r>
      <w:r>
        <w:t xml:space="preserve">processed serially (CPI: single worker per partition key =</w:t>
      </w:r>
      <w:r>
        <w:t xml:space="preserve"> </w:t>
      </w:r>
      <w:r>
        <w:rPr>
          <w:rStyle w:val="VerbatimChar"/>
        </w:rPr>
        <w:t xml:space="preserve">businessPartner</w:t>
      </w:r>
      <w:r>
        <w:t xml:space="preserve">); different</w:t>
      </w:r>
      <w:r>
        <w:t xml:space="preserve"> </w:t>
      </w:r>
      <w:r>
        <w:t xml:space="preserve">partners in parallel.</w:t>
      </w:r>
      <w:r>
        <w:t xml:space="preserve"> </w:t>
      </w:r>
      <w:r>
        <w:rPr>
          <w:b/>
          <w:bCs/>
        </w:rPr>
        <w:t xml:space="preserve">[validate CPI parallelism config — else set queue to strict FIFO]</w:t>
      </w:r>
    </w:p>
    <w:p>
      <w:pPr>
        <w:pStyle w:val="Compact"/>
        <w:numPr>
          <w:ilvl w:val="0"/>
          <w:numId w:val="1001"/>
        </w:numPr>
      </w:pPr>
      <w:r>
        <w:t xml:space="preserve">Each receiver call carries</w:t>
      </w:r>
      <w:r>
        <w:t xml:space="preserve"> </w:t>
      </w:r>
      <w:r>
        <w:rPr>
          <w:rStyle w:val="VerbatimChar"/>
        </w:rPr>
        <w:t xml:space="preserve">sequenceNo</w:t>
      </w:r>
      <w:r>
        <w:t xml:space="preserve">; the write-back (§6) records it. If an event</w:t>
      </w:r>
      <w:r>
        <w:t xml:space="preserve"> </w:t>
      </w:r>
      <w:r>
        <w:t xml:space="preserve">arrives with</w:t>
      </w:r>
      <w:r>
        <w:t xml:space="preserve"> </w:t>
      </w:r>
      <w:r>
        <w:rPr>
          <w:rStyle w:val="VerbatimChar"/>
        </w:rPr>
        <w:t xml:space="preserve">sequenceNo</w:t>
      </w:r>
      <w:r>
        <w:t xml:space="preserve"> </w:t>
      </w:r>
      <w:r>
        <w:t xml:space="preserve">≤ the last</w:t>
      </w:r>
      <w:r>
        <w:t xml:space="preserve"> </w:t>
      </w:r>
      <w:r>
        <w:rPr>
          <w:i/>
          <w:iCs/>
        </w:rPr>
        <w:t xml:space="preserve">successfully broadcast</w:t>
      </w:r>
      <w:r>
        <w:t xml:space="preserve"> </w:t>
      </w:r>
      <w:r>
        <w:t xml:space="preserve">one for that partner</w:t>
      </w:r>
      <w:r>
        <w:t xml:space="preserve"> </w:t>
      </w:r>
      <w:r>
        <w:t xml:space="preserve">(data store</w:t>
      </w:r>
      <w:r>
        <w:t xml:space="preserve"> </w:t>
      </w:r>
      <w:r>
        <w:rPr>
          <w:rStyle w:val="VerbatimChar"/>
        </w:rPr>
        <w:t xml:space="preserve">CPC_DNC_SEQ</w:t>
      </w:r>
      <w:r>
        <w:t xml:space="preserve">), it is</w:t>
      </w:r>
      <w:r>
        <w:t xml:space="preserve"> </w:t>
      </w:r>
      <w:r>
        <w:rPr>
          <w:b/>
          <w:bCs/>
        </w:rPr>
        <w:t xml:space="preserve">skipped as stale</w:t>
      </w:r>
      <w:r>
        <w:t xml:space="preserve"> </w:t>
      </w:r>
      <w:r>
        <w:t xml:space="preserve">and logged</w:t>
      </w:r>
      <w:r>
        <w:t xml:space="preserve"> </w:t>
      </w:r>
      <w:r>
        <w:rPr>
          <w:rStyle w:val="VerbatimChar"/>
        </w:rPr>
        <w:t xml:space="preserve">SKIPPED_STALE</w:t>
      </w:r>
      <w:r>
        <w:t xml:space="preserve"> </w:t>
      </w:r>
      <w:r>
        <w:t xml:space="preserve">—</w:t>
      </w:r>
      <w:r>
        <w:t xml:space="preserve"> </w:t>
      </w:r>
      <w:r>
        <w:t xml:space="preserve">a newer state has already been distributed.</w:t>
      </w:r>
    </w:p>
    <w:p>
      <w:pPr>
        <w:pStyle w:val="Compact"/>
        <w:numPr>
          <w:ilvl w:val="0"/>
          <w:numId w:val="1001"/>
        </w:numPr>
      </w:pPr>
      <w:r>
        <w:t xml:space="preserve">Rationale: with retries,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can invert; sequence-guarding at the</w:t>
      </w:r>
      <w:r>
        <w:t xml:space="preserve"> </w:t>
      </w:r>
      <w:r>
        <w:t xml:space="preserve">iFlow (not just the target) makes inversion impossible even against targets with no</w:t>
      </w:r>
      <w:r>
        <w:t xml:space="preserve"> </w:t>
      </w:r>
      <w:r>
        <w:t xml:space="preserve">ordering support.</w:t>
      </w:r>
    </w:p>
    <w:bookmarkEnd w:id="16"/>
    <w:bookmarkStart w:id="17" w:name="receipt-write-back-audit-evidence"/>
    <w:p>
      <w:pPr>
        <w:pStyle w:val="Heading2"/>
      </w:pPr>
      <w:r>
        <w:t xml:space="preserve">6. Receipt write-back (audit evidence)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receiver branch succeeds: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ZUI_CPC_PREF</w:t>
      </w:r>
      <w:r>
        <w:t xml:space="preserve"> </w:t>
      </w:r>
      <w:r>
        <w:t xml:space="preserve">audit ingestion</w:t>
      </w:r>
      <w:r>
        <w:t xml:space="preserve"> </w:t>
      </w:r>
      <w:r>
        <w:t xml:space="preserve">(action</w:t>
      </w:r>
      <w:r>
        <w:t xml:space="preserve"> </w:t>
      </w:r>
      <w:r>
        <w:rPr>
          <w:rStyle w:val="VerbatimChar"/>
        </w:rPr>
        <w:t xml:space="preserve">logBroadcast</w:t>
      </w:r>
      <w:r>
        <w:t xml:space="preserve"> </w:t>
      </w:r>
      <w:r>
        <w:t xml:space="preserve">— add to RAP service):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data.preferenceUUID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partner /</w:t>
            </w:r>
            <w:r>
              <w:t xml:space="preserve"> </w:t>
            </w:r>
            <w:r>
              <w:rPr>
                <w:rStyle w:val="VerbatimChar"/>
              </w:rPr>
              <w:t xml:space="preserve">DNC_BROADCAST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&lt;target&gt;:&lt;ADD|REMOVE&gt;:CONFIRMED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DIALER:ADD:CONFIRMED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IF_CPC_06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from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receiver confirmation time —</w:t>
            </w:r>
            <w:r>
              <w:t xml:space="preserve"> </w:t>
            </w:r>
            <w:r>
              <w:rPr>
                <w:b/>
                <w:bCs/>
              </w:rPr>
              <w:t xml:space="preserve">this timestamp is the SLA evidence</w:t>
            </w:r>
          </w:p>
        </w:tc>
      </w:tr>
    </w:tbl>
    <w:p>
      <w:pPr>
        <w:pStyle w:val="BodyText"/>
      </w:pPr>
      <w:r>
        <w:t xml:space="preserve">Failure after all retries additionally writes</w:t>
      </w:r>
      <w:r>
        <w:t xml:space="preserve"> </w:t>
      </w:r>
      <w:r>
        <w:rPr>
          <w:rStyle w:val="VerbatimChar"/>
        </w:rPr>
        <w:t xml:space="preserve">&lt;target&gt;:…:FAILED</w:t>
      </w:r>
      <w:r>
        <w:t xml:space="preserve"> </w:t>
      </w:r>
      <w:r>
        <w:t xml:space="preserve">before the DLQ park,</w:t>
      </w:r>
      <w:r>
        <w:t xml:space="preserve"> </w:t>
      </w:r>
      <w:r>
        <w:t xml:space="preserve">so the audit trail shows the breach without needing CPI access.</w:t>
      </w:r>
    </w:p>
    <w:bookmarkEnd w:id="17"/>
    <w:bookmarkStart w:id="18" w:name="reconciliation-daily"/>
    <w:p>
      <w:pPr>
        <w:pStyle w:val="Heading2"/>
      </w:pPr>
      <w:r>
        <w:t xml:space="preserve">7. Reconciliation (daily)</w:t>
      </w:r>
    </w:p>
    <w:p>
      <w:pPr>
        <w:pStyle w:val="FirstParagraph"/>
      </w:pPr>
      <w:r>
        <w:t xml:space="preserve">Retries protect against transient loss; reconciliation protects against everything else:</w:t>
      </w:r>
    </w:p>
    <w:p>
      <w:pPr>
        <w:pStyle w:val="Compact"/>
        <w:numPr>
          <w:ilvl w:val="0"/>
          <w:numId w:val="1002"/>
        </w:numPr>
      </w:pPr>
      <w:r>
        <w:t xml:space="preserve">02:00 job: S/4 CDS</w:t>
      </w:r>
      <w:r>
        <w:t xml:space="preserve"> </w:t>
      </w:r>
      <w:r>
        <w:rPr>
          <w:rStyle w:val="VerbatimChar"/>
        </w:rPr>
        <w:t xml:space="preserve">ZI_CPC_CustomerPref</w:t>
      </w:r>
      <w:r>
        <w:t xml:space="preserve"> </w:t>
      </w:r>
      <w:r>
        <w:t xml:space="preserve">extract of all</w:t>
      </w:r>
      <w:r>
        <w:t xml:space="preserve"> </w:t>
      </w:r>
      <w:r>
        <w:rPr>
          <w:b/>
          <w:bCs/>
        </w:rPr>
        <w:t xml:space="preserve">active BP-scope privacy</w:t>
      </w:r>
      <w:r>
        <w:rPr>
          <w:b/>
          <w:bCs/>
        </w:rP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→ canonical DNC/DNM list.</w:t>
      </w:r>
    </w:p>
    <w:p>
      <w:pPr>
        <w:pStyle w:val="Compact"/>
        <w:numPr>
          <w:ilvl w:val="0"/>
          <w:numId w:val="1002"/>
        </w:numPr>
      </w:pPr>
      <w:r>
        <w:t xml:space="preserve">Pull each target’s current suppression list (API or SFTP file per vendor</w:t>
      </w:r>
      <w:r>
        <w:t xml:space="preserve"> </w:t>
      </w:r>
      <w:r>
        <w:rPr>
          <w:b/>
          <w:bCs/>
        </w:rPr>
        <w:t xml:space="preserve">[validate]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Compare; differences → auto-repair (re-send ADD/REMOVE) + reconciliation report to</w:t>
      </w:r>
      <w:r>
        <w:t xml:space="preserve"> </w:t>
      </w:r>
      <w:r>
        <w:t xml:space="preserve">compliance (count, partners, direction of drift).</w:t>
      </w:r>
    </w:p>
    <w:p>
      <w:pPr>
        <w:pStyle w:val="Compact"/>
        <w:numPr>
          <w:ilvl w:val="0"/>
          <w:numId w:val="1002"/>
        </w:numPr>
      </w:pPr>
      <w:r>
        <w:t xml:space="preserve">Report retained with the audit data (same retention policy).</w:t>
      </w:r>
    </w:p>
    <w:bookmarkEnd w:id="18"/>
    <w:bookmarkStart w:id="19" w:name="error-handling"/>
    <w:p>
      <w:pPr>
        <w:pStyle w:val="Heading2"/>
      </w:pPr>
      <w:r>
        <w:t xml:space="preserve">8.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Envelope invalid / unknown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DLQ immediately (no retry), alert</w:t>
            </w:r>
            <w:r>
              <w:t xml:space="preserve"> </w:t>
            </w:r>
            <w:r>
              <w:rPr>
                <w:rStyle w:val="VerbatimChar"/>
              </w:rPr>
              <w:t xml:space="preserve">DNC_BAD_EVENT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event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Skip silently (idempotency), MPL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</w:t>
            </w:r>
            <w:r>
              <w:t xml:space="preserve"> </w:t>
            </w:r>
            <w:r>
              <w:rPr>
                <w:rStyle w:val="VerbatimChar"/>
              </w:rPr>
              <w:t xml:space="preserve">sequenceNo</w:t>
            </w:r>
          </w:p>
        </w:tc>
        <w:tc>
          <w:tcPr/>
          <w:p>
            <w:pPr>
              <w:pStyle w:val="Compact"/>
            </w:pPr>
            <w:r>
              <w:t xml:space="preserve">Skip, log</w:t>
            </w:r>
            <w:r>
              <w:t xml:space="preserve"> </w:t>
            </w:r>
            <w:r>
              <w:rPr>
                <w:rStyle w:val="VerbatimChar"/>
              </w:rPr>
              <w:t xml:space="preserve">SKIPPED_STALE</w:t>
            </w:r>
            <w:r>
              <w:t xml:space="preserve"> </w:t>
            </w:r>
            <w:r>
              <w:t xml:space="preserve">(not an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4xx (bad request)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retry</w:t>
            </w:r>
            <w:r>
              <w:t xml:space="preserve"> </w:t>
            </w:r>
            <w:r>
              <w:t xml:space="preserve">— mapping/contract bug; DLQ + page (manual fix, then replay)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401/403</w:t>
            </w:r>
          </w:p>
        </w:tc>
        <w:tc>
          <w:tcPr/>
          <w:p>
            <w:pPr>
              <w:pStyle w:val="Compact"/>
            </w:pPr>
            <w:r>
              <w:t xml:space="preserve">Retry ×2 only (credential rotation race), then DLQ +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5xx / timeout</w:t>
            </w:r>
          </w:p>
        </w:tc>
        <w:tc>
          <w:tcPr/>
          <w:p>
            <w:pPr>
              <w:pStyle w:val="Compact"/>
            </w:pPr>
            <w:r>
              <w:t xml:space="preserve">Full retry ladder ×6 → DLQ +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Write-back failure (receipt)</w:t>
            </w:r>
          </w:p>
        </w:tc>
        <w:tc>
          <w:tcPr/>
          <w:p>
            <w:pPr>
              <w:pStyle w:val="Compact"/>
            </w:pPr>
            <w:r>
              <w:t xml:space="preserve">Retry ×6; if still failing, event</w:t>
            </w:r>
            <w:r>
              <w:t xml:space="preserve"> </w:t>
            </w:r>
            <w:r>
              <w:rPr>
                <w:b/>
                <w:bCs/>
              </w:rPr>
              <w:t xml:space="preserve">stays unacknowledged</w:t>
            </w:r>
            <w:r>
              <w:t xml:space="preserve"> </w:t>
            </w:r>
            <w:r>
              <w:t xml:space="preserve">(redelivered) — a broadcast without audit evidence counts as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timer breach (15 min, CPI timer on message age)</w:t>
            </w:r>
          </w:p>
        </w:tc>
        <w:tc>
          <w:tcPr/>
          <w:p>
            <w:pPr>
              <w:pStyle w:val="Compact"/>
            </w:pPr>
            <w:r>
              <w:t xml:space="preserve">Page ops even while retries continue</w:t>
            </w:r>
          </w:p>
        </w:tc>
      </w:tr>
    </w:tbl>
    <w:bookmarkEnd w:id="19"/>
    <w:bookmarkStart w:id="20" w:name="test-cases"/>
    <w:p>
      <w:pPr>
        <w:pStyle w:val="Heading2"/>
      </w:pPr>
      <w:r>
        <w:t xml:space="preserve">9.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DNC set to IN via portal</w:t>
            </w:r>
          </w:p>
        </w:tc>
        <w:tc>
          <w:tcPr/>
          <w:p>
            <w:pPr>
              <w:pStyle w:val="Compact"/>
            </w:pPr>
            <w:r>
              <w:t xml:space="preserve">Within SLA: dialer ADD, campaign voice=DENIED, audit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rows per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DNC withdrawn (OUT)</w:t>
            </w:r>
          </w:p>
        </w:tc>
        <w:tc>
          <w:tcPr/>
          <w:p>
            <w:pPr>
              <w:pStyle w:val="Compact"/>
            </w:pPr>
            <w:r>
              <w:t xml:space="preserve">REMOVE propagated; audit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Duplicate event redelivered</w:t>
            </w:r>
          </w:p>
        </w:tc>
        <w:tc>
          <w:tcPr/>
          <w:p>
            <w:pPr>
              <w:pStyle w:val="Compact"/>
            </w:pPr>
            <w:r>
              <w:t xml:space="preserve">Single target call (dedup), no double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IN then OUT within seconds, OUT delivered first at target</w:t>
            </w:r>
          </w:p>
        </w:tc>
        <w:tc>
          <w:tcPr/>
          <w:p>
            <w:pPr>
              <w:pStyle w:val="Compact"/>
            </w:pPr>
            <w:r>
              <w:t xml:space="preserve">Sequence guard blocks stale IN (</w:t>
            </w:r>
            <w:r>
              <w:rPr>
                <w:rStyle w:val="VerbatimChar"/>
              </w:rPr>
              <w:t xml:space="preserve">SKIPPED_STALE</w:t>
            </w:r>
            <w:r>
              <w:t xml:space="preserve">); final state at all targets =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Dialer down 40 min</w:t>
            </w:r>
          </w:p>
        </w:tc>
        <w:tc>
          <w:tcPr/>
          <w:p>
            <w:pPr>
              <w:pStyle w:val="Compact"/>
            </w:pPr>
            <w:r>
              <w:t xml:space="preserve">Retries exhaust → DLQ + page; campaign branch unaffected; replay from DLQ succeeds; audit shows FAILED then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DNM change</w:t>
            </w:r>
          </w:p>
        </w:tc>
        <w:tc>
          <w:tcPr/>
          <w:p>
            <w:pPr>
              <w:pStyle w:val="Compact"/>
            </w:pPr>
            <w:r>
              <w:t xml:space="preserve">Print bureau + campaign called; dialer branch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Reconciliation with seeded drift (partner on DNC in S/4, missing at dialer)</w:t>
            </w:r>
          </w:p>
        </w:tc>
        <w:tc>
          <w:tcPr/>
          <w:p>
            <w:pPr>
              <w:pStyle w:val="Compact"/>
            </w:pPr>
            <w:r>
              <w:t xml:space="preserve">Auto-repair ADD + drift report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Receipt write-back endpoint down</w:t>
            </w:r>
          </w:p>
        </w:tc>
        <w:tc>
          <w:tcPr/>
          <w:p>
            <w:pPr>
              <w:pStyle w:val="Compact"/>
            </w:pPr>
            <w:r>
              <w:t xml:space="preserve">Event redelivered until receipt lands; no acknowledgement without evidence</w:t>
            </w:r>
          </w:p>
        </w:tc>
      </w:tr>
    </w:tbl>
    <w:bookmarkEnd w:id="20"/>
    <w:bookmarkStart w:id="21" w:name="open-items"/>
    <w:p>
      <w:pPr>
        <w:pStyle w:val="Heading2"/>
      </w:pPr>
      <w:r>
        <w:t xml:space="preserve">10. Open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Dialer, campaign, print APIs + their keys (partner vs phone vs email).</w:t>
      </w:r>
    </w:p>
    <w:p>
      <w:pPr>
        <w:pStyle w:val="Compact"/>
        <w:numPr>
          <w:ilvl w:val="0"/>
          <w:numId w:val="1003"/>
        </w:numPr>
      </w:pPr>
      <w:r>
        <w:t xml:space="preserve">Confirm SLA value (15 min assumed) and paging policy with compliance.</w:t>
      </w:r>
    </w:p>
    <w:p>
      <w:pPr>
        <w:pStyle w:val="Compact"/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logBroadcast</w:t>
      </w:r>
      <w:r>
        <w:t xml:space="preserve"> </w:t>
      </w:r>
      <w:r>
        <w:t xml:space="preserve">action +</w:t>
      </w:r>
      <w:r>
        <w:t xml:space="preserve"> </w:t>
      </w:r>
      <w:r>
        <w:rPr>
          <w:rStyle w:val="VerbatimChar"/>
        </w:rPr>
        <w:t xml:space="preserve">ZCPC_SEQ</w:t>
      </w:r>
      <w:r>
        <w:t xml:space="preserve"> </w:t>
      </w:r>
      <w:r>
        <w:t xml:space="preserve">number range to the RAP build scope.</w:t>
      </w:r>
    </w:p>
    <w:p>
      <w:pPr>
        <w:pStyle w:val="Compact"/>
        <w:numPr>
          <w:ilvl w:val="0"/>
          <w:numId w:val="1003"/>
        </w:numPr>
      </w:pPr>
      <w:r>
        <w:t xml:space="preserve">Decide reconciliation report recipient + format (proposal: email + stored CSV).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iFlow Mapping Specification — IF_CPC_06 DNC_Broadcast</dc:title>
  <dc:creator/>
  <cp:keywords/>
  <dcterms:created xsi:type="dcterms:W3CDTF">2026-08-17T20:58:39Z</dcterms:created>
  <dcterms:modified xsi:type="dcterms:W3CDTF">2026-08-17T20:58:39Z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