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C8" w:rsidRPr="008E1DFA" w:rsidRDefault="002A1BC8" w:rsidP="002A1BC8">
      <w:pPr>
        <w:jc w:val="center"/>
        <w:rPr>
          <w:b/>
          <w:sz w:val="28"/>
          <w:szCs w:val="28"/>
        </w:rPr>
      </w:pPr>
      <w:r w:rsidRPr="008E1DFA">
        <w:rPr>
          <w:b/>
          <w:sz w:val="28"/>
          <w:szCs w:val="28"/>
        </w:rPr>
        <w:t xml:space="preserve">PHỤ LỤC </w:t>
      </w:r>
    </w:p>
    <w:p w:rsidR="00CF23BB" w:rsidRPr="008E1DFA" w:rsidRDefault="00E81C4C" w:rsidP="002A1BC8">
      <w:pPr>
        <w:jc w:val="center"/>
        <w:rPr>
          <w:b/>
          <w:sz w:val="28"/>
          <w:szCs w:val="28"/>
        </w:rPr>
      </w:pPr>
      <w:r w:rsidRPr="008E1DFA">
        <w:rPr>
          <w:b/>
          <w:sz w:val="28"/>
          <w:szCs w:val="28"/>
        </w:rPr>
        <w:t xml:space="preserve">DANH MỤC THỦ TỤC HÀNH CHÍNH </w:t>
      </w:r>
      <w:r w:rsidR="00CF23BB" w:rsidRPr="008E1DFA">
        <w:rPr>
          <w:b/>
          <w:sz w:val="28"/>
          <w:szCs w:val="28"/>
        </w:rPr>
        <w:t xml:space="preserve">MỚI BAN HÀNH TRONG </w:t>
      </w:r>
      <w:r w:rsidRPr="008E1DFA">
        <w:rPr>
          <w:b/>
          <w:sz w:val="28"/>
          <w:szCs w:val="28"/>
        </w:rPr>
        <w:t xml:space="preserve">LĨNH VỰC </w:t>
      </w:r>
      <w:r w:rsidR="00CF23BB" w:rsidRPr="008E1DFA">
        <w:rPr>
          <w:b/>
          <w:sz w:val="28"/>
          <w:szCs w:val="28"/>
        </w:rPr>
        <w:t>KHOÁNG SẢN</w:t>
      </w:r>
    </w:p>
    <w:p w:rsidR="00BC352C" w:rsidRPr="008E1DFA" w:rsidRDefault="00E81C4C" w:rsidP="002A1BC8">
      <w:pPr>
        <w:jc w:val="center"/>
        <w:rPr>
          <w:b/>
          <w:sz w:val="28"/>
          <w:szCs w:val="28"/>
        </w:rPr>
      </w:pPr>
      <w:r w:rsidRPr="008E1DFA">
        <w:rPr>
          <w:b/>
          <w:sz w:val="28"/>
          <w:szCs w:val="28"/>
        </w:rPr>
        <w:t xml:space="preserve">THUỘC THẨM QUYỀN GIẢI QUYẾT CỦA NGÀNH TÀI NGUYÊN VÀ MÔI TRƯỜNG </w:t>
      </w:r>
    </w:p>
    <w:p w:rsidR="002A1BC8" w:rsidRPr="008E1DFA" w:rsidRDefault="00BC352C" w:rsidP="002A1BC8">
      <w:pPr>
        <w:jc w:val="center"/>
        <w:rPr>
          <w:b/>
          <w:sz w:val="28"/>
          <w:szCs w:val="28"/>
        </w:rPr>
      </w:pPr>
      <w:r w:rsidRPr="008E1DFA">
        <w:rPr>
          <w:b/>
          <w:sz w:val="28"/>
          <w:szCs w:val="28"/>
        </w:rPr>
        <w:t xml:space="preserve">TRÊN ĐỊA BÀN </w:t>
      </w:r>
      <w:r w:rsidR="00E81C4C" w:rsidRPr="008E1DFA">
        <w:rPr>
          <w:b/>
          <w:sz w:val="28"/>
          <w:szCs w:val="28"/>
        </w:rPr>
        <w:t>TỈNH TÂY NINH</w:t>
      </w:r>
      <w:r w:rsidR="002A1BC8" w:rsidRPr="008E1DFA">
        <w:rPr>
          <w:b/>
          <w:sz w:val="28"/>
          <w:szCs w:val="28"/>
        </w:rPr>
        <w:t xml:space="preserve"> </w:t>
      </w:r>
    </w:p>
    <w:p w:rsidR="00BC352C" w:rsidRPr="008E1DFA" w:rsidRDefault="00BC352C" w:rsidP="00BC352C">
      <w:pPr>
        <w:keepNext/>
        <w:keepLines/>
        <w:spacing w:before="60" w:after="60" w:line="252" w:lineRule="auto"/>
        <w:jc w:val="center"/>
        <w:rPr>
          <w:bCs/>
          <w:i/>
          <w:sz w:val="28"/>
          <w:szCs w:val="28"/>
        </w:rPr>
      </w:pPr>
      <w:r w:rsidRPr="008E1DFA">
        <w:rPr>
          <w:b/>
          <w:bCs/>
          <w:sz w:val="28"/>
          <w:szCs w:val="28"/>
        </w:rPr>
        <w:t>(</w:t>
      </w:r>
      <w:r w:rsidRPr="008E1DFA">
        <w:rPr>
          <w:bCs/>
          <w:i/>
          <w:sz w:val="28"/>
          <w:szCs w:val="28"/>
        </w:rPr>
        <w:t xml:space="preserve">Kèm theo Quyết định số       </w:t>
      </w:r>
      <w:r w:rsidRPr="008E1DFA">
        <w:rPr>
          <w:bCs/>
          <w:i/>
          <w:sz w:val="28"/>
          <w:szCs w:val="28"/>
        </w:rPr>
        <w:t xml:space="preserve">    </w:t>
      </w:r>
      <w:r w:rsidRPr="008E1DFA">
        <w:rPr>
          <w:bCs/>
          <w:i/>
          <w:sz w:val="28"/>
          <w:szCs w:val="28"/>
        </w:rPr>
        <w:t xml:space="preserve">  /QĐ-UBND ngày     </w:t>
      </w:r>
      <w:r w:rsidRPr="008E1DFA">
        <w:rPr>
          <w:bCs/>
          <w:i/>
          <w:sz w:val="28"/>
          <w:szCs w:val="28"/>
        </w:rPr>
        <w:t xml:space="preserve">    </w:t>
      </w:r>
      <w:r w:rsidRPr="008E1DFA">
        <w:rPr>
          <w:bCs/>
          <w:i/>
          <w:sz w:val="28"/>
          <w:szCs w:val="28"/>
        </w:rPr>
        <w:t xml:space="preserve">  /02/2025 của Chủ tịch </w:t>
      </w:r>
      <w:r w:rsidR="008E1DFA">
        <w:rPr>
          <w:bCs/>
          <w:i/>
          <w:sz w:val="28"/>
          <w:szCs w:val="28"/>
        </w:rPr>
        <w:t>Ủy ban nhân dân</w:t>
      </w:r>
      <w:r w:rsidRPr="008E1DFA">
        <w:rPr>
          <w:bCs/>
          <w:i/>
          <w:sz w:val="28"/>
          <w:szCs w:val="28"/>
        </w:rPr>
        <w:t xml:space="preserve"> tỉnh Tây Ninh)</w:t>
      </w:r>
    </w:p>
    <w:p w:rsidR="00BC352C" w:rsidRPr="005F2E67" w:rsidRDefault="008E1DFA" w:rsidP="002A1BC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59690</wp:posOffset>
                </wp:positionV>
                <wp:extent cx="230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5F5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4.7pt" to="46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2A1BC8" w:rsidRPr="001A2C38" w:rsidRDefault="002A1BC8" w:rsidP="002A1BC8">
      <w:pPr>
        <w:jc w:val="center"/>
        <w:rPr>
          <w:b/>
          <w:bCs/>
          <w:color w:val="000000"/>
          <w:sz w:val="26"/>
          <w:szCs w:val="26"/>
        </w:rPr>
      </w:pPr>
    </w:p>
    <w:p w:rsidR="002A1BC8" w:rsidRPr="001A2C38" w:rsidRDefault="002A1BC8" w:rsidP="00E67E55">
      <w:pPr>
        <w:spacing w:after="120"/>
        <w:jc w:val="both"/>
        <w:rPr>
          <w:b/>
          <w:bCs/>
          <w:color w:val="000000"/>
          <w:sz w:val="26"/>
          <w:szCs w:val="26"/>
        </w:rPr>
      </w:pPr>
      <w:r w:rsidRPr="001A2C38">
        <w:rPr>
          <w:b/>
          <w:bCs/>
          <w:color w:val="000000"/>
          <w:sz w:val="26"/>
          <w:szCs w:val="26"/>
        </w:rPr>
        <w:t>A. THỦ TỤC HÀNH CHÍNH CẤP TỈNH</w:t>
      </w:r>
      <w:r w:rsidR="00DC1B96">
        <w:rPr>
          <w:b/>
          <w:bCs/>
          <w:color w:val="000000"/>
          <w:sz w:val="26"/>
          <w:szCs w:val="26"/>
        </w:rPr>
        <w:t>: 05 TTHC</w:t>
      </w:r>
    </w:p>
    <w:tbl>
      <w:tblPr>
        <w:tblW w:w="1502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4"/>
        <w:gridCol w:w="1294"/>
        <w:gridCol w:w="1258"/>
        <w:gridCol w:w="1558"/>
        <w:gridCol w:w="1520"/>
        <w:gridCol w:w="2973"/>
        <w:gridCol w:w="1096"/>
        <w:gridCol w:w="2775"/>
      </w:tblGrid>
      <w:tr w:rsidR="00CC5D0E" w:rsidRPr="00D52511" w:rsidTr="006F1952">
        <w:trPr>
          <w:trHeight w:val="1428"/>
          <w:tblHeader/>
        </w:trPr>
        <w:tc>
          <w:tcPr>
            <w:tcW w:w="709" w:type="dxa"/>
            <w:vAlign w:val="center"/>
          </w:tcPr>
          <w:p w:rsidR="00CC5D0E" w:rsidRPr="005C49D5" w:rsidRDefault="00CC5D0E" w:rsidP="00EF0DA1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844" w:type="dxa"/>
            <w:vAlign w:val="center"/>
          </w:tcPr>
          <w:p w:rsidR="00CC5D0E" w:rsidRPr="005C49D5" w:rsidRDefault="00CC5D0E" w:rsidP="00945616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Tên thủ tục hành chính</w:t>
            </w:r>
          </w:p>
        </w:tc>
        <w:tc>
          <w:tcPr>
            <w:tcW w:w="1294" w:type="dxa"/>
            <w:vAlign w:val="center"/>
          </w:tcPr>
          <w:p w:rsidR="00CC5D0E" w:rsidRPr="005C49D5" w:rsidRDefault="00CC5D0E" w:rsidP="00B87B23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Mã TTHC</w:t>
            </w:r>
          </w:p>
        </w:tc>
        <w:tc>
          <w:tcPr>
            <w:tcW w:w="1258" w:type="dxa"/>
            <w:vAlign w:val="center"/>
          </w:tcPr>
          <w:p w:rsidR="00CC5D0E" w:rsidRPr="005C49D5" w:rsidRDefault="00CC5D0E" w:rsidP="00B87B23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Lĩnh vực</w:t>
            </w:r>
          </w:p>
        </w:tc>
        <w:tc>
          <w:tcPr>
            <w:tcW w:w="1558" w:type="dxa"/>
            <w:vAlign w:val="center"/>
          </w:tcPr>
          <w:p w:rsidR="00CC5D0E" w:rsidRPr="005C49D5" w:rsidRDefault="00CC5D0E" w:rsidP="00861925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 xml:space="preserve">Thời </w:t>
            </w:r>
            <w:r w:rsidR="00861925" w:rsidRPr="005C49D5">
              <w:rPr>
                <w:b/>
                <w:bCs/>
                <w:color w:val="000000"/>
                <w:sz w:val="22"/>
                <w:szCs w:val="22"/>
              </w:rPr>
              <w:t>gian</w:t>
            </w:r>
            <w:r w:rsidRPr="005C49D5">
              <w:rPr>
                <w:b/>
                <w:bCs/>
                <w:color w:val="000000"/>
                <w:sz w:val="22"/>
                <w:szCs w:val="22"/>
              </w:rPr>
              <w:t xml:space="preserve"> giải quyết</w:t>
            </w:r>
          </w:p>
        </w:tc>
        <w:tc>
          <w:tcPr>
            <w:tcW w:w="1520" w:type="dxa"/>
            <w:vAlign w:val="center"/>
          </w:tcPr>
          <w:p w:rsidR="00CC5D0E" w:rsidRPr="005C49D5" w:rsidRDefault="00CC5D0E" w:rsidP="00945616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Địa điểm thực hiện</w:t>
            </w:r>
          </w:p>
        </w:tc>
        <w:tc>
          <w:tcPr>
            <w:tcW w:w="2973" w:type="dxa"/>
            <w:vAlign w:val="center"/>
          </w:tcPr>
          <w:p w:rsidR="00CC5D0E" w:rsidRPr="005C49D5" w:rsidRDefault="00CC5D0E" w:rsidP="00B87B23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Phí, lệ phí (nếu có)</w:t>
            </w:r>
          </w:p>
        </w:tc>
        <w:tc>
          <w:tcPr>
            <w:tcW w:w="1096" w:type="dxa"/>
            <w:vAlign w:val="center"/>
          </w:tcPr>
          <w:p w:rsidR="00CC5D0E" w:rsidRPr="005C49D5" w:rsidRDefault="00CC5D0E" w:rsidP="005F2E67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 xml:space="preserve">Mức </w:t>
            </w:r>
            <w:r w:rsidR="005F2E67" w:rsidRPr="005C49D5">
              <w:rPr>
                <w:b/>
                <w:bCs/>
                <w:color w:val="000000"/>
                <w:sz w:val="22"/>
                <w:szCs w:val="22"/>
              </w:rPr>
              <w:t>DVC</w:t>
            </w:r>
            <w:r w:rsidRPr="005C49D5">
              <w:rPr>
                <w:b/>
                <w:bCs/>
                <w:color w:val="000000"/>
                <w:sz w:val="22"/>
                <w:szCs w:val="22"/>
              </w:rPr>
              <w:t xml:space="preserve"> trực tuyến</w:t>
            </w:r>
          </w:p>
        </w:tc>
        <w:tc>
          <w:tcPr>
            <w:tcW w:w="2775" w:type="dxa"/>
            <w:vAlign w:val="center"/>
          </w:tcPr>
          <w:p w:rsidR="00CC5D0E" w:rsidRPr="005C49D5" w:rsidRDefault="00CC5D0E" w:rsidP="00945616">
            <w:pPr>
              <w:spacing w:before="120" w:after="12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C49D5">
              <w:rPr>
                <w:b/>
                <w:bCs/>
                <w:color w:val="000000"/>
                <w:sz w:val="22"/>
                <w:szCs w:val="22"/>
              </w:rPr>
              <w:t>Căn cứ pháp lý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0F3D17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1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C7374E">
            <w:pPr>
              <w:spacing w:after="24"/>
              <w:ind w:left="108"/>
              <w:jc w:val="both"/>
              <w:rPr>
                <w:sz w:val="22"/>
                <w:szCs w:val="22"/>
              </w:rPr>
            </w:pPr>
            <w:r w:rsidRPr="005C49D5">
              <w:rPr>
                <w:color w:val="333333"/>
                <w:sz w:val="22"/>
                <w:szCs w:val="22"/>
                <w:shd w:val="clear" w:color="auto" w:fill="FFFFFF"/>
              </w:rPr>
              <w:t>Cấp giấy phép khai thác khoáng sản nhóm IV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0F3D1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hyperlink r:id="rId7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1.013321</w:t>
              </w:r>
            </w:hyperlink>
          </w:p>
        </w:tc>
        <w:tc>
          <w:tcPr>
            <w:tcW w:w="1258" w:type="dxa"/>
            <w:vAlign w:val="center"/>
          </w:tcPr>
          <w:p w:rsidR="0041527B" w:rsidRPr="006D2383" w:rsidRDefault="006D2383" w:rsidP="00C7374E">
            <w:pPr>
              <w:jc w:val="center"/>
              <w:rPr>
                <w:sz w:val="22"/>
                <w:szCs w:val="22"/>
              </w:rPr>
            </w:pPr>
            <w:r w:rsidRPr="006D2383">
              <w:rPr>
                <w:color w:val="333333"/>
                <w:sz w:val="22"/>
                <w:szCs w:val="22"/>
                <w:shd w:val="clear" w:color="auto" w:fill="FFFFFF"/>
              </w:rPr>
              <w:t>Địa chất và khoáng sản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C7374E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- 30 ngày làm việc đối với trường hợp Tổ chức, cá nhân thuộc khoản 1 Điều 72  Luật địa chất và khoáng sản</w:t>
            </w:r>
          </w:p>
          <w:p w:rsidR="0041527B" w:rsidRPr="005C49D5" w:rsidRDefault="0041527B" w:rsidP="00C7374E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năm 2024.</w:t>
            </w:r>
          </w:p>
          <w:p w:rsidR="0041527B" w:rsidRPr="005C49D5" w:rsidRDefault="0041527B" w:rsidP="00C7374E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- 15 ngày làm việc đối với trường hợp Tổ chức thuộc khoản 2 Điều 72 Luật địa chất và khoáng sản năm 2024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Địa điểm tiếp nhận hồ sơ: 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Cơ quan có thẩm quyền: UBND tỉnh Tây Ninh</w:t>
            </w:r>
          </w:p>
          <w:p w:rsidR="0041527B" w:rsidRPr="005C49D5" w:rsidRDefault="0041527B" w:rsidP="005F2E6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4F3E75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Giấy phép khai thác khoáng sản làm vật liệu xây dựng thông thường có diện tích dưới 10 ha và công suất khai thác dưới 100.000 m3/năm: 15.000.000 đồng/giấy phép.</w:t>
            </w:r>
          </w:p>
          <w:p w:rsidR="0041527B" w:rsidRPr="005C49D5" w:rsidRDefault="0041527B" w:rsidP="004F3E75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Giấy phép khai thác khoáng sản làm vật liệu xây dựng thông thường có diện tích từ 10 ha trở lên và công suất khai thác dưới 100.000 m3/năm hoặc loại hoạt động khai thác khoáng sản làm vật liệu xây dựng thông thường có diện tích dưới 10 ha và công suất khai thác từ 100.000 m3/năm trở lên, than bùn trừ hoạt động khai thác cát, sỏi lòng suối quy định tại điểm 1 của Biểu mức thu này: 20.000.000 đồng/giấy phép.</w:t>
            </w:r>
          </w:p>
          <w:p w:rsidR="0041527B" w:rsidRPr="005C49D5" w:rsidRDefault="0041527B" w:rsidP="004F3E75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- Giấy phép khai thác khoáng sản làm vật liệu xây dựng thông thường có diện tích từ 10 ha trở lên và công suất khai thác dưới 100.000 m3/năm hoặc loại hoạt động khai thác khoáng sản làm vật liệu xây dựng thông thường có diện tích dưới 10 ha và công suất khai thác từ 100.000 m3/năm trở lên, than bùn trừ hoạt động khai thác cát, sỏi lòng suối quy định tại điểm 1 của Biểu mức thu này: 30.000.000 đồng/giấy phép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0F3D17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(3) Nghị định số 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(4) Nghị định số 05/2025/NĐ-CP ngày 06 tháng 01 năm 2025 của Chính phủ sửa đổi, bổ sung một số điều của Nghị định </w:t>
            </w:r>
            <w:r w:rsidRPr="005C49D5">
              <w:rPr>
                <w:lang w:val="en-GB"/>
              </w:rPr>
              <w:lastRenderedPageBreak/>
              <w:t>số 08/2022/NĐ- 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(5) Nghị định số 11/2025/NĐ-CP ngày 15 tháng 01 năm 2025 của Chính Phủ quy định chi tiết 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(6) Thông tư số 01/2025/TTBTNMT ngày 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(7) Thông tư số 10/2024/TT-BTC ngày 05 tháng 02 năm 2024 của Bộ trưởng Bộ Tài chính quy định mức thu,chế độ thu, nộp, quản ý và sử dụng phí thẩm định đánh giá</w:t>
            </w:r>
          </w:p>
          <w:p w:rsidR="0041527B" w:rsidRPr="006B2DF1" w:rsidRDefault="0041527B" w:rsidP="006B2DF1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trữ lượng khoáng sản và lệ phí cấp giấy phép hoạt động khoáng sản.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B63E24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F737CC">
            <w:pPr>
              <w:pStyle w:val="TableParagraph"/>
              <w:spacing w:before="35"/>
              <w:ind w:right="48"/>
              <w:jc w:val="both"/>
            </w:pPr>
            <w:r w:rsidRPr="005C49D5">
              <w:rPr>
                <w:color w:val="333333"/>
              </w:rPr>
              <w:t xml:space="preserve">Gia hạn giấy phép khai thác khoáng sản nhóm </w:t>
            </w:r>
            <w:r w:rsidRPr="005C49D5">
              <w:rPr>
                <w:color w:val="333333"/>
              </w:rPr>
              <w:lastRenderedPageBreak/>
              <w:t>IV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B63E24">
            <w:pPr>
              <w:ind w:left="180"/>
              <w:jc w:val="center"/>
              <w:rPr>
                <w:sz w:val="22"/>
                <w:szCs w:val="22"/>
              </w:rPr>
            </w:pPr>
            <w:hyperlink r:id="rId8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</w:rPr>
                <w:t>1.013322</w:t>
              </w:r>
            </w:hyperlink>
          </w:p>
        </w:tc>
        <w:tc>
          <w:tcPr>
            <w:tcW w:w="1258" w:type="dxa"/>
            <w:vAlign w:val="center"/>
          </w:tcPr>
          <w:p w:rsidR="0041527B" w:rsidRPr="005C49D5" w:rsidRDefault="0041527B" w:rsidP="00B63E24">
            <w:pPr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Khoáng sản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5F2E67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 xml:space="preserve">- 25 ngày làm việc đối với </w:t>
            </w: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lastRenderedPageBreak/>
              <w:t>trường hợp Tổ chức, cá nhân thuộc khoản 1 Điều 72 Luật địa chất và khoáng sản</w:t>
            </w:r>
          </w:p>
          <w:p w:rsidR="0041527B" w:rsidRPr="005C49D5" w:rsidRDefault="0041527B" w:rsidP="005F2E67">
            <w:pPr>
              <w:spacing w:before="120" w:after="120"/>
              <w:ind w:right="-108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năm 2024.</w:t>
            </w:r>
          </w:p>
          <w:p w:rsidR="0041527B" w:rsidRPr="005C49D5" w:rsidRDefault="0041527B" w:rsidP="005F2E67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- 13 ngày làm việc đối với trường hợp Tổ chức thuộc khoản 2 Điều 72 Luật địa chất và khoáng sản năm 2024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 xml:space="preserve">- Địa điểm tiếp nhận hồ sơ: </w:t>
            </w: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Cơ quan có thẩm quyền: UBND tỉnh Tây Ninh</w:t>
            </w:r>
          </w:p>
          <w:p w:rsidR="0041527B" w:rsidRPr="005C49D5" w:rsidRDefault="0041527B" w:rsidP="00B63E24">
            <w:pPr>
              <w:spacing w:before="120" w:after="120"/>
              <w:rPr>
                <w:bC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9E231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 xml:space="preserve">- Giấy phép khai thác khoáng sản làm vật liệu xây dựng thông </w:t>
            </w: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thường có diện tích dưới 10 ha và công suất khai thác dưới 100.000 m3/năm: 7.500.000 đồng/giấy phép.</w:t>
            </w:r>
          </w:p>
          <w:p w:rsidR="0041527B" w:rsidRPr="005C49D5" w:rsidRDefault="0041527B" w:rsidP="009E231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Giấy phép khai thác khoáng sản làm vật liệu xây dựng thông thường có diện tích từ 10 ha trở lên và công suất khai thác dưới 100.000 m3/năm hoặc loại hoạt động khai thác khoáng sản làm vật liệu xây dựng thông thường có diện tích dưới 10 ha và công suất khai thác từ 100.000 m3/năm trở lên, than bùn trừ hoạt động khai thác cát, sỏi lòng suối quy định tại điểm 1 của Biểu mức thu này: 10.000.000 đồng/giấy phép.</w:t>
            </w:r>
          </w:p>
          <w:p w:rsidR="0041527B" w:rsidRPr="005C49D5" w:rsidRDefault="0041527B" w:rsidP="009E231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Giấy phép khai thác khoáng sản làm vật liệu xây dựng thông thường có diện tích từ 10 ha trở lên và công suất khai thác dưới 100.000 m3/năm hoặc loại hoạt động khai thác khoáng sản làm vật liệu xây dựng thông thường có diện tích dưới 10 ha và công suất khai thác từ 100.000 m3/năm trở lên, than bùn trừ hoạt động khai thác cát, sỏi lòng suối quy định tại điểm 1 </w:t>
            </w: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của Biểu mức thu này: 15.000.000 đồng/giấy phép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B63E24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lastRenderedPageBreak/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(3) Nghị định số 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(4) Nghị định số 05/2025/NĐ-CP ngày 06 tháng 01 năm 2025 của Chính phủ sửa đổi, bổ sung một số điều của Nghị định số 08/2022/NĐ- 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(5) Nghị định số 11/2025/NĐ-CP ngày 15 tháng 01 năm 2025 của Chính Phủ quy định chi tiết 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(6) Thông tư số 01/2025/TTBTNMT ngày </w:t>
            </w:r>
            <w:r w:rsidRPr="005C49D5">
              <w:rPr>
                <w:lang w:val="en-GB"/>
              </w:rPr>
              <w:lastRenderedPageBreak/>
              <w:t>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(7) Thông tư số 10/2024/TT-BTC ngày 05 tháng 02 năm 2024 của Bộ trưởng Bộ Tài chính quy định mức thu,chế độ thu, nộp, quản ý và sử dụng phí thẩm định đánh giá</w:t>
            </w:r>
          </w:p>
          <w:p w:rsidR="0041527B" w:rsidRPr="006B2DF1" w:rsidRDefault="0041527B" w:rsidP="006B2DF1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trữ lượng khoáng sản và lệ phí cấp giấy phép hoạt động khoáng sản.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B63E24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335FFD">
            <w:pPr>
              <w:pStyle w:val="TableParagraph"/>
              <w:ind w:right="50"/>
              <w:jc w:val="both"/>
            </w:pPr>
            <w:r w:rsidRPr="005C49D5">
              <w:rPr>
                <w:color w:val="333333"/>
                <w:shd w:val="clear" w:color="auto" w:fill="FFFFFF"/>
              </w:rPr>
              <w:t>Điều chỉnh giấy phép khai thác khoáng sản nhóm IV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B63E24">
            <w:pPr>
              <w:ind w:left="180"/>
              <w:jc w:val="center"/>
              <w:rPr>
                <w:sz w:val="22"/>
                <w:szCs w:val="22"/>
              </w:rPr>
            </w:pPr>
            <w:hyperlink r:id="rId9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1.013323</w:t>
              </w:r>
            </w:hyperlink>
          </w:p>
        </w:tc>
        <w:tc>
          <w:tcPr>
            <w:tcW w:w="1258" w:type="dxa"/>
            <w:vAlign w:val="center"/>
          </w:tcPr>
          <w:p w:rsidR="0041527B" w:rsidRPr="005C49D5" w:rsidRDefault="0041527B" w:rsidP="00335FFD">
            <w:pPr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Khoáng sản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335FFD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- 28 ngày làm việc đối với trường hợp Tổ chức, cá nhân thuộc khoản 1 Điều 72 Luật địa chất và khoáng sản năm 2024.</w:t>
            </w:r>
          </w:p>
          <w:p w:rsidR="0041527B" w:rsidRPr="005C49D5" w:rsidRDefault="0041527B" w:rsidP="00335FFD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 xml:space="preserve">- 16 ngày làm việc đối với trường hợp Tổ chức thuộc khoản 2 Điều 72 Luật địa </w:t>
            </w: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lastRenderedPageBreak/>
              <w:t>chất và khoáng sản năm 2024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- Địa điểm tiếp nhận hồ sơ: 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Cơ quan có thẩm quyền: UBND tỉnh Tây Ninh</w:t>
            </w:r>
          </w:p>
          <w:p w:rsidR="0041527B" w:rsidRPr="005C49D5" w:rsidRDefault="0041527B" w:rsidP="00B63E24">
            <w:pPr>
              <w:spacing w:before="120" w:after="120"/>
              <w:rPr>
                <w:bC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B63E24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Không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B63E24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 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(3) Nghị định số 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lastRenderedPageBreak/>
              <w:t>(4) Nghị định số 05/2025/NĐ-CP ngày 06 tháng 01 năm 2025 của Chính phủ sửa đổi, bổ sung một số điều của Nghị định số 08/2022/NĐ- 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(5) Nghị định số 11/2025/NĐ-CP ngày 15 tháng 01 năm 2025 của Chính Phủ quy định chi tiết 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(6) Thông tư số 01/2025/TTBTNMT ngày 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(7) Thông tư số 10/2024/TT-BTC ngày 05 tháng 02 năm 2024 của Bộ trưởng Bộ Tài chính quy định mức thu,chế độ thu, nộp, quản ý và sử dụng phí thẩm định đánh giá</w:t>
            </w:r>
          </w:p>
          <w:p w:rsidR="0041527B" w:rsidRPr="006F1952" w:rsidRDefault="0041527B" w:rsidP="006F1952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trữ lượng khoáng sản và lệ </w:t>
            </w:r>
            <w:r w:rsidRPr="005C49D5">
              <w:rPr>
                <w:lang w:val="en-GB"/>
              </w:rPr>
              <w:lastRenderedPageBreak/>
              <w:t>phí cấp giấy phép hoạt động khoáng sản.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B63E24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6116BA">
            <w:pPr>
              <w:pStyle w:val="TableParagraph"/>
              <w:spacing w:before="35"/>
              <w:ind w:right="45"/>
              <w:jc w:val="both"/>
            </w:pPr>
            <w:r w:rsidRPr="005C49D5">
              <w:t>Trả lại</w:t>
            </w:r>
            <w:r w:rsidRPr="005C49D5">
              <w:rPr>
                <w:lang w:val="en-GB"/>
              </w:rPr>
              <w:t xml:space="preserve"> </w:t>
            </w:r>
            <w:r w:rsidRPr="005C49D5">
              <w:t>giấy</w:t>
            </w:r>
            <w:r w:rsidRPr="005C49D5">
              <w:rPr>
                <w:lang w:val="en-GB"/>
              </w:rPr>
              <w:t xml:space="preserve"> </w:t>
            </w:r>
            <w:r w:rsidRPr="005C49D5">
              <w:t>phép</w:t>
            </w:r>
            <w:r w:rsidRPr="005C49D5">
              <w:rPr>
                <w:lang w:val="en-GB"/>
              </w:rPr>
              <w:t xml:space="preserve"> </w:t>
            </w:r>
            <w:r w:rsidRPr="005C49D5">
              <w:t>khai</w:t>
            </w:r>
            <w:r w:rsidRPr="005C49D5">
              <w:rPr>
                <w:lang w:val="en-GB"/>
              </w:rPr>
              <w:t xml:space="preserve"> </w:t>
            </w:r>
            <w:r w:rsidRPr="005C49D5">
              <w:t>thác</w:t>
            </w:r>
            <w:r w:rsidRPr="005C49D5">
              <w:rPr>
                <w:lang w:val="en-GB"/>
              </w:rPr>
              <w:t xml:space="preserve"> </w:t>
            </w:r>
            <w:r w:rsidRPr="005C49D5">
              <w:t>khoáng</w:t>
            </w:r>
            <w:r w:rsidRPr="005C49D5">
              <w:rPr>
                <w:lang w:val="en-GB"/>
              </w:rPr>
              <w:t xml:space="preserve"> </w:t>
            </w:r>
            <w:r w:rsidRPr="005C49D5">
              <w:t>sản</w:t>
            </w:r>
            <w:r w:rsidRPr="005C49D5">
              <w:rPr>
                <w:lang w:val="en-GB"/>
              </w:rPr>
              <w:t xml:space="preserve"> </w:t>
            </w:r>
            <w:r w:rsidRPr="005C49D5">
              <w:t>nhóm</w:t>
            </w:r>
            <w:r w:rsidRPr="005C49D5">
              <w:rPr>
                <w:lang w:val="en-GB"/>
              </w:rPr>
              <w:t xml:space="preserve"> </w:t>
            </w:r>
            <w:r w:rsidRPr="005C49D5">
              <w:t>IV</w:t>
            </w:r>
          </w:p>
          <w:p w:rsidR="0041527B" w:rsidRPr="005C49D5" w:rsidRDefault="0041527B" w:rsidP="006116BA">
            <w:pPr>
              <w:pStyle w:val="TableParagraph"/>
              <w:spacing w:before="35"/>
              <w:ind w:right="45"/>
              <w:jc w:val="both"/>
            </w:pPr>
            <w:r w:rsidRPr="005C49D5">
              <w:rPr>
                <w:rFonts w:ascii="Arial" w:hAnsi="Arial" w:cs="Arial"/>
                <w:color w:val="333333"/>
              </w:rPr>
              <w:t>Trả lại giấy phép khai thác khoáng sản nhóm IV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B63E24">
            <w:pPr>
              <w:ind w:left="180"/>
              <w:jc w:val="center"/>
              <w:rPr>
                <w:sz w:val="22"/>
                <w:szCs w:val="22"/>
              </w:rPr>
            </w:pPr>
            <w:hyperlink r:id="rId10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</w:rPr>
                <w:t>1.013324</w:t>
              </w:r>
            </w:hyperlink>
          </w:p>
        </w:tc>
        <w:tc>
          <w:tcPr>
            <w:tcW w:w="1258" w:type="dxa"/>
            <w:vAlign w:val="center"/>
          </w:tcPr>
          <w:p w:rsidR="0041527B" w:rsidRPr="005C49D5" w:rsidRDefault="0041527B" w:rsidP="006116BA">
            <w:pPr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Khoáng sản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B63E24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30 ngày làm việc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Địa điểm tiếp nhận hồ sơ: 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Cơ quan có thẩm quyền: UBND tỉnh Tây Ninh</w:t>
            </w:r>
          </w:p>
          <w:p w:rsidR="0041527B" w:rsidRPr="005C49D5" w:rsidRDefault="0041527B" w:rsidP="00B63E24">
            <w:pPr>
              <w:spacing w:before="120" w:after="120"/>
              <w:rPr>
                <w:bC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6016A1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Không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B63E24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6F1952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41527B" w:rsidRPr="005C49D5">
              <w:rPr>
                <w:lang w:val="en-GB"/>
              </w:rPr>
              <w:t>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(3) Nghị định số 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(4) Nghị định số 05/2025/NĐ-CP ngày 06 tháng 01 năm 2025 của Chính phủ sửa đổi, bổ sung một số điều của Nghị định số 08/2022/NĐ- 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(5) Nghị định số 11/2025/NĐ-CP ngày 15 tháng 01 năm 2025 của Chính Phủ quy định chi tiết </w:t>
            </w:r>
            <w:r w:rsidRPr="005C49D5">
              <w:rPr>
                <w:lang w:val="en-GB"/>
              </w:rPr>
              <w:lastRenderedPageBreak/>
              <w:t>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(6) Thông tư số 01/2025/TTBTNMT ngày 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(7) Thông tư số 10/2024/TT-BTC ngày 05 tháng 02 năm 2024 của Bộ trưởng Bộ Tài chính quy định mức thu,chế độ thu, nộp, quản ý và sử dụng phí thẩm định đánh giá</w:t>
            </w:r>
          </w:p>
          <w:p w:rsidR="0041527B" w:rsidRPr="006F1952" w:rsidRDefault="0041527B" w:rsidP="006F1952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trữ lượng khoáng sản và lệ phí cấp giấy phép hoạt động khoáng sản.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B63E24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2C1E25">
            <w:pPr>
              <w:pStyle w:val="TableParagraph"/>
              <w:ind w:right="47"/>
              <w:jc w:val="both"/>
            </w:pPr>
            <w:r w:rsidRPr="005C49D5">
              <w:rPr>
                <w:color w:val="333333"/>
                <w:shd w:val="clear" w:color="auto" w:fill="FFFFFF"/>
              </w:rPr>
              <w:t>Chấp thuận khảo sát, đánh giá thông tin chung đối với khoáng sản nhóm IV tại khu vực không đấu giá quyền khai thác khoáng sản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B63E24">
            <w:pPr>
              <w:ind w:left="180"/>
              <w:jc w:val="center"/>
              <w:rPr>
                <w:sz w:val="22"/>
                <w:szCs w:val="22"/>
              </w:rPr>
            </w:pPr>
            <w:hyperlink r:id="rId11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1.013326</w:t>
              </w:r>
            </w:hyperlink>
          </w:p>
        </w:tc>
        <w:tc>
          <w:tcPr>
            <w:tcW w:w="1258" w:type="dxa"/>
            <w:vAlign w:val="center"/>
          </w:tcPr>
          <w:p w:rsidR="0041527B" w:rsidRPr="005C49D5" w:rsidRDefault="0041527B" w:rsidP="002C1E25">
            <w:pPr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Khoáng sản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B63E24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09 ngày làm việc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Địa điểm tiếp nhận hồ sơ: 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- Cơ quan có thẩm quyền: UBND tỉnh Tây Ninh</w:t>
            </w:r>
          </w:p>
          <w:p w:rsidR="0041527B" w:rsidRPr="005C49D5" w:rsidRDefault="0041527B" w:rsidP="00B63E24">
            <w:pPr>
              <w:spacing w:before="120" w:after="120"/>
              <w:rPr>
                <w:bC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6016A1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lastRenderedPageBreak/>
              <w:t>Không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B63E24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- 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(3) Nghị định số </w:t>
            </w:r>
            <w:r w:rsidRPr="005C49D5">
              <w:rPr>
                <w:lang w:val="en-GB"/>
              </w:rPr>
              <w:lastRenderedPageBreak/>
              <w:t>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(4) Nghị định số 05/2025/NĐ-CP ngày 06 tháng 01 năm 2025 của Chính phủ sửa đổi, bổ sung một số điều của Nghị định số 08/2022/NĐ- 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(5) Nghị định số 11/2025/NĐ-CP ngày 15 tháng 01 năm 2025 của Chính Phủ quy định chi tiết 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(6) Thông tư số 01/2025/TTBTNMT ngày 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(7) Thông tư số 10/2024/TT-BTC ngày 05 tháng 02 năm 2024 của Bộ </w:t>
            </w:r>
            <w:r w:rsidRPr="005C49D5">
              <w:rPr>
                <w:lang w:val="en-GB"/>
              </w:rPr>
              <w:lastRenderedPageBreak/>
              <w:t>trưởng Bộ Tài chính quy định mức thu,chế độ thu, nộp, quản ý và sử dụng phí thẩm định đánh giá</w:t>
            </w:r>
          </w:p>
          <w:p w:rsidR="0041527B" w:rsidRPr="006B2DF1" w:rsidRDefault="0041527B" w:rsidP="006B2DF1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trữ lượng khoáng sản và lệ phí cấp giấy phép hoạt động khoáng sản.</w:t>
            </w:r>
          </w:p>
        </w:tc>
      </w:tr>
      <w:tr w:rsidR="0041527B" w:rsidRPr="00D52511" w:rsidTr="006F1952">
        <w:trPr>
          <w:trHeight w:val="332"/>
        </w:trPr>
        <w:tc>
          <w:tcPr>
            <w:tcW w:w="709" w:type="dxa"/>
            <w:vAlign w:val="center"/>
          </w:tcPr>
          <w:p w:rsidR="0041527B" w:rsidRPr="005C49D5" w:rsidRDefault="0041527B" w:rsidP="00B63E24">
            <w:pPr>
              <w:ind w:left="11"/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844" w:type="dxa"/>
            <w:vAlign w:val="center"/>
          </w:tcPr>
          <w:p w:rsidR="0041527B" w:rsidRPr="005C49D5" w:rsidRDefault="0041527B" w:rsidP="005200A1">
            <w:pPr>
              <w:pStyle w:val="TableParagraph"/>
              <w:ind w:right="47"/>
              <w:jc w:val="both"/>
            </w:pPr>
            <w:r w:rsidRPr="005C49D5">
              <w:rPr>
                <w:color w:val="333333"/>
              </w:rPr>
              <w:t>Xác nhận kết quả khảo sát, đánh giá thông tin chung đối với khoáng sản nhóm IV</w:t>
            </w:r>
          </w:p>
        </w:tc>
        <w:tc>
          <w:tcPr>
            <w:tcW w:w="1294" w:type="dxa"/>
            <w:vAlign w:val="center"/>
          </w:tcPr>
          <w:p w:rsidR="0041527B" w:rsidRPr="005C49D5" w:rsidRDefault="0041527B" w:rsidP="00B63E24">
            <w:pPr>
              <w:ind w:left="180"/>
              <w:jc w:val="center"/>
              <w:rPr>
                <w:sz w:val="22"/>
                <w:szCs w:val="22"/>
              </w:rPr>
            </w:pPr>
            <w:hyperlink r:id="rId12" w:history="1">
              <w:r w:rsidRPr="005C49D5">
                <w:rPr>
                  <w:rStyle w:val="Hyperlink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</w:rPr>
                <w:t>1.013325</w:t>
              </w:r>
            </w:hyperlink>
            <w:r w:rsidRPr="005C49D5">
              <w:rPr>
                <w:sz w:val="22"/>
                <w:szCs w:val="22"/>
              </w:rPr>
              <w:tab/>
            </w:r>
          </w:p>
        </w:tc>
        <w:tc>
          <w:tcPr>
            <w:tcW w:w="1258" w:type="dxa"/>
            <w:vAlign w:val="center"/>
          </w:tcPr>
          <w:p w:rsidR="0041527B" w:rsidRPr="005C49D5" w:rsidRDefault="0041527B" w:rsidP="005200A1">
            <w:pPr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Khoáng sản</w:t>
            </w:r>
          </w:p>
        </w:tc>
        <w:tc>
          <w:tcPr>
            <w:tcW w:w="1558" w:type="dxa"/>
            <w:vAlign w:val="center"/>
          </w:tcPr>
          <w:p w:rsidR="0041527B" w:rsidRPr="005C49D5" w:rsidRDefault="0041527B" w:rsidP="00B63E24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  <w:lang w:val="pt-BR"/>
              </w:rPr>
              <w:t>17 Ngày làm việc</w:t>
            </w:r>
          </w:p>
        </w:tc>
        <w:tc>
          <w:tcPr>
            <w:tcW w:w="1520" w:type="dxa"/>
            <w:vAlign w:val="center"/>
          </w:tcPr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Địa điểm tiếp nhận hồ sơ: Trung tâm Hành chính Công tỉnh Tây Ninh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 xml:space="preserve">- Cơ quan thực hiện TTHC: </w:t>
            </w:r>
            <w:r w:rsidRPr="005C49D5">
              <w:rPr>
                <w:sz w:val="22"/>
                <w:szCs w:val="22"/>
                <w:shd w:val="clear" w:color="auto" w:fill="FFFFFF"/>
              </w:rPr>
              <w:t>Sở Tài nguyên và Môi trường</w:t>
            </w:r>
          </w:p>
          <w:p w:rsidR="0041527B" w:rsidRPr="005C49D5" w:rsidRDefault="0041527B" w:rsidP="0041527B">
            <w:pPr>
              <w:spacing w:before="120" w:after="120"/>
              <w:jc w:val="both"/>
              <w:rPr>
                <w:bCs/>
                <w:color w:val="000000"/>
                <w:sz w:val="22"/>
                <w:szCs w:val="22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- Cơ quan có thẩm quyền: UBND tỉnh Tây Ninh</w:t>
            </w:r>
          </w:p>
          <w:p w:rsidR="0041527B" w:rsidRPr="005C49D5" w:rsidRDefault="0041527B" w:rsidP="00B63E24">
            <w:pPr>
              <w:spacing w:before="120" w:after="120"/>
              <w:rPr>
                <w:bC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2973" w:type="dxa"/>
            <w:vAlign w:val="center"/>
          </w:tcPr>
          <w:p w:rsidR="0041527B" w:rsidRPr="005C49D5" w:rsidRDefault="0041527B" w:rsidP="00B15D0A">
            <w:pPr>
              <w:spacing w:before="120" w:after="120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5C49D5">
              <w:rPr>
                <w:bCs/>
                <w:color w:val="000000"/>
                <w:sz w:val="22"/>
                <w:szCs w:val="22"/>
              </w:rPr>
              <w:t>Không</w:t>
            </w:r>
          </w:p>
        </w:tc>
        <w:tc>
          <w:tcPr>
            <w:tcW w:w="1096" w:type="dxa"/>
            <w:vAlign w:val="center"/>
          </w:tcPr>
          <w:p w:rsidR="0041527B" w:rsidRPr="005C49D5" w:rsidRDefault="0041527B" w:rsidP="00B63E24">
            <w:pPr>
              <w:jc w:val="center"/>
              <w:rPr>
                <w:sz w:val="22"/>
                <w:szCs w:val="22"/>
              </w:rPr>
            </w:pPr>
            <w:r w:rsidRPr="005C49D5">
              <w:rPr>
                <w:sz w:val="22"/>
                <w:szCs w:val="22"/>
              </w:rPr>
              <w:t>Một phần</w:t>
            </w:r>
          </w:p>
        </w:tc>
        <w:tc>
          <w:tcPr>
            <w:tcW w:w="2775" w:type="dxa"/>
            <w:vAlign w:val="center"/>
          </w:tcPr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- (1) Luật Địa chất và Khoáng sản số 54/2024/QH15 ngày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29 tháng 11 năm 2024.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(2) Nghị định số 158/2016/NĐ-CP ngày 29 tháng 11 năm 2016 của Chính phủ quy định chi tiết thi hành một số điều của Luật khoáng sản.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(3) Nghị định số 08/2022/NĐ-CP ngày 10 tháng 01 năm 2022 của Chính phủ Quy định chi tiết một số điều của Luật Bảo 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 xml:space="preserve">(4) Nghị định số 05/2025/NĐ-CP ngày 06 tháng 01 năm 2025 của Chính phủ sửa đổi, bổ sung một số điều của Nghị định số 08/2022/NĐ- CP ngày 10 tháng 01 năm 2022 của Chính phủ quy định chi tiết một số điều của Luật Bảo </w:t>
            </w:r>
            <w:r w:rsidRPr="005C49D5">
              <w:rPr>
                <w:lang w:val="en-GB"/>
              </w:rPr>
              <w:lastRenderedPageBreak/>
              <w:t>vệ môi trường.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(5) Nghị định số 11/2025/NĐ-CP ngày 15 tháng 01 năm 2025 của Chính Phủ quy định chi tiết một số điều của Luật địa chất khoáng sản về khai thác khoáng săn nhóm IV.</w:t>
            </w:r>
          </w:p>
          <w:p w:rsidR="0041527B" w:rsidRPr="005C49D5" w:rsidRDefault="0041527B" w:rsidP="00720FBD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(6) Thông tư số 01/2025/TTBTNMT ngày 15 tháng 01 năm 2025 của Bộ TNMT quy định chi tiết một số điều của Luật địa chất khoáng sản về khai thác khoáng săn</w:t>
            </w:r>
            <w:r w:rsidR="00720FBD">
              <w:rPr>
                <w:lang w:val="en-GB"/>
              </w:rPr>
              <w:t xml:space="preserve"> </w:t>
            </w:r>
            <w:r w:rsidRPr="005C49D5">
              <w:rPr>
                <w:lang w:val="en-GB"/>
              </w:rPr>
              <w:t>nhóm IV.</w:t>
            </w:r>
          </w:p>
          <w:p w:rsidR="0041527B" w:rsidRPr="005C49D5" w:rsidRDefault="0041527B" w:rsidP="005C49D5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(7) Thông tư số 10/2024/TT-BTC ngày 05 tháng 02 năm 2024 của Bộ trưởng Bộ Tài chính quy định mức thu,chế độ thu, nộp, quản ý và sử dụng phí thẩm định đánh giá</w:t>
            </w:r>
          </w:p>
          <w:p w:rsidR="0041527B" w:rsidRPr="006B2DF1" w:rsidRDefault="0041527B" w:rsidP="006B2DF1">
            <w:pPr>
              <w:pStyle w:val="TableParagraph"/>
              <w:tabs>
                <w:tab w:val="left" w:pos="250"/>
              </w:tabs>
              <w:jc w:val="center"/>
              <w:rPr>
                <w:lang w:val="en-GB"/>
              </w:rPr>
            </w:pPr>
            <w:r w:rsidRPr="005C49D5">
              <w:rPr>
                <w:lang w:val="en-GB"/>
              </w:rPr>
              <w:t>trữ lượng khoáng sản và lệ phí cấp giấy phép hoạt động khoáng sản.</w:t>
            </w:r>
          </w:p>
        </w:tc>
      </w:tr>
    </w:tbl>
    <w:p w:rsidR="009F1828" w:rsidRPr="00D52511" w:rsidRDefault="009F1828" w:rsidP="00E67E55">
      <w:pPr>
        <w:spacing w:after="120"/>
        <w:jc w:val="both"/>
        <w:rPr>
          <w:bCs/>
          <w:i/>
          <w:color w:val="000000"/>
        </w:rPr>
      </w:pPr>
    </w:p>
    <w:sectPr w:rsidR="009F1828" w:rsidRPr="00D52511" w:rsidSect="006F1952">
      <w:headerReference w:type="even" r:id="rId13"/>
      <w:headerReference w:type="default" r:id="rId14"/>
      <w:footerReference w:type="even" r:id="rId15"/>
      <w:footerReference w:type="default" r:id="rId16"/>
      <w:pgSz w:w="16840" w:h="11907" w:orient="landscape" w:code="9"/>
      <w:pgMar w:top="1247" w:right="1021" w:bottom="851" w:left="158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059" w:rsidRDefault="005E2059" w:rsidP="002A1BC8">
      <w:r>
        <w:separator/>
      </w:r>
    </w:p>
  </w:endnote>
  <w:endnote w:type="continuationSeparator" w:id="0">
    <w:p w:rsidR="005E2059" w:rsidRDefault="005E2059" w:rsidP="002A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A4" w:rsidRDefault="00533AA4" w:rsidP="00D442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A4" w:rsidRPr="003576C5" w:rsidRDefault="00533AA4" w:rsidP="00D442AB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059" w:rsidRDefault="005E2059" w:rsidP="002A1BC8">
      <w:r>
        <w:separator/>
      </w:r>
    </w:p>
  </w:footnote>
  <w:footnote w:type="continuationSeparator" w:id="0">
    <w:p w:rsidR="005E2059" w:rsidRDefault="005E2059" w:rsidP="002A1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A4" w:rsidRDefault="002E2EB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3AA4">
      <w:rPr>
        <w:noProof/>
      </w:rPr>
      <w:t>2</w:t>
    </w:r>
    <w:r>
      <w:rPr>
        <w:noProof/>
      </w:rPr>
      <w:fldChar w:fldCharType="end"/>
    </w:r>
  </w:p>
  <w:p w:rsidR="00533AA4" w:rsidRDefault="00533A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8197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1B96" w:rsidRDefault="00DC1B9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95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C1B96" w:rsidRDefault="00DC1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0A6"/>
    <w:multiLevelType w:val="hybridMultilevel"/>
    <w:tmpl w:val="0D64F956"/>
    <w:lvl w:ilvl="0" w:tplc="0B8A01E8">
      <w:numFmt w:val="bullet"/>
      <w:lvlText w:val="-"/>
      <w:lvlJc w:val="left"/>
      <w:pPr>
        <w:ind w:left="55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872EE44">
      <w:numFmt w:val="bullet"/>
      <w:lvlText w:val="•"/>
      <w:lvlJc w:val="left"/>
      <w:pPr>
        <w:ind w:left="287" w:hanging="272"/>
      </w:pPr>
      <w:rPr>
        <w:rFonts w:hint="default"/>
        <w:lang w:val="vi" w:eastAsia="en-US" w:bidi="ar-SA"/>
      </w:rPr>
    </w:lvl>
    <w:lvl w:ilvl="2" w:tplc="3C806A82">
      <w:numFmt w:val="bullet"/>
      <w:lvlText w:val="•"/>
      <w:lvlJc w:val="left"/>
      <w:pPr>
        <w:ind w:left="514" w:hanging="272"/>
      </w:pPr>
      <w:rPr>
        <w:rFonts w:hint="default"/>
        <w:lang w:val="vi" w:eastAsia="en-US" w:bidi="ar-SA"/>
      </w:rPr>
    </w:lvl>
    <w:lvl w:ilvl="3" w:tplc="9A6A7B1C">
      <w:numFmt w:val="bullet"/>
      <w:lvlText w:val="•"/>
      <w:lvlJc w:val="left"/>
      <w:pPr>
        <w:ind w:left="741" w:hanging="272"/>
      </w:pPr>
      <w:rPr>
        <w:rFonts w:hint="default"/>
        <w:lang w:val="vi" w:eastAsia="en-US" w:bidi="ar-SA"/>
      </w:rPr>
    </w:lvl>
    <w:lvl w:ilvl="4" w:tplc="866C4F2A">
      <w:numFmt w:val="bullet"/>
      <w:lvlText w:val="•"/>
      <w:lvlJc w:val="left"/>
      <w:pPr>
        <w:ind w:left="968" w:hanging="272"/>
      </w:pPr>
      <w:rPr>
        <w:rFonts w:hint="default"/>
        <w:lang w:val="vi" w:eastAsia="en-US" w:bidi="ar-SA"/>
      </w:rPr>
    </w:lvl>
    <w:lvl w:ilvl="5" w:tplc="8D16F062">
      <w:numFmt w:val="bullet"/>
      <w:lvlText w:val="•"/>
      <w:lvlJc w:val="left"/>
      <w:pPr>
        <w:ind w:left="1195" w:hanging="272"/>
      </w:pPr>
      <w:rPr>
        <w:rFonts w:hint="default"/>
        <w:lang w:val="vi" w:eastAsia="en-US" w:bidi="ar-SA"/>
      </w:rPr>
    </w:lvl>
    <w:lvl w:ilvl="6" w:tplc="95101B90">
      <w:numFmt w:val="bullet"/>
      <w:lvlText w:val="•"/>
      <w:lvlJc w:val="left"/>
      <w:pPr>
        <w:ind w:left="1422" w:hanging="272"/>
      </w:pPr>
      <w:rPr>
        <w:rFonts w:hint="default"/>
        <w:lang w:val="vi" w:eastAsia="en-US" w:bidi="ar-SA"/>
      </w:rPr>
    </w:lvl>
    <w:lvl w:ilvl="7" w:tplc="BAACFC64">
      <w:numFmt w:val="bullet"/>
      <w:lvlText w:val="•"/>
      <w:lvlJc w:val="left"/>
      <w:pPr>
        <w:ind w:left="1649" w:hanging="272"/>
      </w:pPr>
      <w:rPr>
        <w:rFonts w:hint="default"/>
        <w:lang w:val="vi" w:eastAsia="en-US" w:bidi="ar-SA"/>
      </w:rPr>
    </w:lvl>
    <w:lvl w:ilvl="8" w:tplc="1AEC25E8">
      <w:numFmt w:val="bullet"/>
      <w:lvlText w:val="•"/>
      <w:lvlJc w:val="left"/>
      <w:pPr>
        <w:ind w:left="1876" w:hanging="272"/>
      </w:pPr>
      <w:rPr>
        <w:rFonts w:hint="default"/>
        <w:lang w:val="vi" w:eastAsia="en-US" w:bidi="ar-SA"/>
      </w:rPr>
    </w:lvl>
  </w:abstractNum>
  <w:abstractNum w:abstractNumId="1" w15:restartNumberingAfterBreak="0">
    <w:nsid w:val="4A5B56BF"/>
    <w:multiLevelType w:val="hybridMultilevel"/>
    <w:tmpl w:val="98963232"/>
    <w:lvl w:ilvl="0" w:tplc="E1CAB72C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86813"/>
    <w:multiLevelType w:val="hybridMultilevel"/>
    <w:tmpl w:val="E02455E6"/>
    <w:lvl w:ilvl="0" w:tplc="B286320C">
      <w:numFmt w:val="bullet"/>
      <w:lvlText w:val="-"/>
      <w:lvlJc w:val="left"/>
      <w:pPr>
        <w:ind w:left="20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494DD08">
      <w:numFmt w:val="bullet"/>
      <w:lvlText w:val="•"/>
      <w:lvlJc w:val="left"/>
      <w:pPr>
        <w:ind w:left="540" w:hanging="152"/>
      </w:pPr>
      <w:rPr>
        <w:rFonts w:hint="default"/>
        <w:lang w:val="vi" w:eastAsia="en-US" w:bidi="ar-SA"/>
      </w:rPr>
    </w:lvl>
    <w:lvl w:ilvl="2" w:tplc="27B4A860">
      <w:numFmt w:val="bullet"/>
      <w:lvlText w:val="•"/>
      <w:lvlJc w:val="left"/>
      <w:pPr>
        <w:ind w:left="881" w:hanging="152"/>
      </w:pPr>
      <w:rPr>
        <w:rFonts w:hint="default"/>
        <w:lang w:val="vi" w:eastAsia="en-US" w:bidi="ar-SA"/>
      </w:rPr>
    </w:lvl>
    <w:lvl w:ilvl="3" w:tplc="ED0C77D8">
      <w:numFmt w:val="bullet"/>
      <w:lvlText w:val="•"/>
      <w:lvlJc w:val="left"/>
      <w:pPr>
        <w:ind w:left="1221" w:hanging="152"/>
      </w:pPr>
      <w:rPr>
        <w:rFonts w:hint="default"/>
        <w:lang w:val="vi" w:eastAsia="en-US" w:bidi="ar-SA"/>
      </w:rPr>
    </w:lvl>
    <w:lvl w:ilvl="4" w:tplc="141846C2">
      <w:numFmt w:val="bullet"/>
      <w:lvlText w:val="•"/>
      <w:lvlJc w:val="left"/>
      <w:pPr>
        <w:ind w:left="1562" w:hanging="152"/>
      </w:pPr>
      <w:rPr>
        <w:rFonts w:hint="default"/>
        <w:lang w:val="vi" w:eastAsia="en-US" w:bidi="ar-SA"/>
      </w:rPr>
    </w:lvl>
    <w:lvl w:ilvl="5" w:tplc="EF4E2FF4">
      <w:numFmt w:val="bullet"/>
      <w:lvlText w:val="•"/>
      <w:lvlJc w:val="left"/>
      <w:pPr>
        <w:ind w:left="1902" w:hanging="152"/>
      </w:pPr>
      <w:rPr>
        <w:rFonts w:hint="default"/>
        <w:lang w:val="vi" w:eastAsia="en-US" w:bidi="ar-SA"/>
      </w:rPr>
    </w:lvl>
    <w:lvl w:ilvl="6" w:tplc="EC841762">
      <w:numFmt w:val="bullet"/>
      <w:lvlText w:val="•"/>
      <w:lvlJc w:val="left"/>
      <w:pPr>
        <w:ind w:left="2243" w:hanging="152"/>
      </w:pPr>
      <w:rPr>
        <w:rFonts w:hint="default"/>
        <w:lang w:val="vi" w:eastAsia="en-US" w:bidi="ar-SA"/>
      </w:rPr>
    </w:lvl>
    <w:lvl w:ilvl="7" w:tplc="62F60BA6">
      <w:numFmt w:val="bullet"/>
      <w:lvlText w:val="•"/>
      <w:lvlJc w:val="left"/>
      <w:pPr>
        <w:ind w:left="2583" w:hanging="152"/>
      </w:pPr>
      <w:rPr>
        <w:rFonts w:hint="default"/>
        <w:lang w:val="vi" w:eastAsia="en-US" w:bidi="ar-SA"/>
      </w:rPr>
    </w:lvl>
    <w:lvl w:ilvl="8" w:tplc="627C9582">
      <w:numFmt w:val="bullet"/>
      <w:lvlText w:val="•"/>
      <w:lvlJc w:val="left"/>
      <w:pPr>
        <w:ind w:left="2924" w:hanging="152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8"/>
    <w:rsid w:val="000000C3"/>
    <w:rsid w:val="00001450"/>
    <w:rsid w:val="0000787E"/>
    <w:rsid w:val="00084C78"/>
    <w:rsid w:val="000A2536"/>
    <w:rsid w:val="000A394A"/>
    <w:rsid w:val="000B0404"/>
    <w:rsid w:val="000F3D17"/>
    <w:rsid w:val="001426ED"/>
    <w:rsid w:val="0015368E"/>
    <w:rsid w:val="001A2C38"/>
    <w:rsid w:val="001A5F40"/>
    <w:rsid w:val="001A79AE"/>
    <w:rsid w:val="001D7CD8"/>
    <w:rsid w:val="00231FCF"/>
    <w:rsid w:val="0024424A"/>
    <w:rsid w:val="0024786E"/>
    <w:rsid w:val="002545E4"/>
    <w:rsid w:val="002A1BC8"/>
    <w:rsid w:val="002A4068"/>
    <w:rsid w:val="002A5909"/>
    <w:rsid w:val="002B1868"/>
    <w:rsid w:val="002C1E25"/>
    <w:rsid w:val="002D65BF"/>
    <w:rsid w:val="002E2EBC"/>
    <w:rsid w:val="002F17C1"/>
    <w:rsid w:val="00321F8E"/>
    <w:rsid w:val="003348F1"/>
    <w:rsid w:val="00335FFD"/>
    <w:rsid w:val="00347864"/>
    <w:rsid w:val="00347EFF"/>
    <w:rsid w:val="003579EA"/>
    <w:rsid w:val="0036246F"/>
    <w:rsid w:val="00365EDA"/>
    <w:rsid w:val="00373051"/>
    <w:rsid w:val="00392160"/>
    <w:rsid w:val="003926A3"/>
    <w:rsid w:val="003D7936"/>
    <w:rsid w:val="003E0FDB"/>
    <w:rsid w:val="003F259C"/>
    <w:rsid w:val="00403408"/>
    <w:rsid w:val="0041527B"/>
    <w:rsid w:val="00422A07"/>
    <w:rsid w:val="00435C58"/>
    <w:rsid w:val="00443047"/>
    <w:rsid w:val="00451893"/>
    <w:rsid w:val="00466886"/>
    <w:rsid w:val="00466BEB"/>
    <w:rsid w:val="004F246E"/>
    <w:rsid w:val="004F3E75"/>
    <w:rsid w:val="004F7756"/>
    <w:rsid w:val="00512BC7"/>
    <w:rsid w:val="005200A1"/>
    <w:rsid w:val="00533AA4"/>
    <w:rsid w:val="00566690"/>
    <w:rsid w:val="00580AD7"/>
    <w:rsid w:val="00581476"/>
    <w:rsid w:val="00583542"/>
    <w:rsid w:val="005C49D5"/>
    <w:rsid w:val="005E2059"/>
    <w:rsid w:val="005E4B06"/>
    <w:rsid w:val="005F1795"/>
    <w:rsid w:val="005F2E67"/>
    <w:rsid w:val="006016A1"/>
    <w:rsid w:val="00602E94"/>
    <w:rsid w:val="006103E0"/>
    <w:rsid w:val="006116BA"/>
    <w:rsid w:val="006179F9"/>
    <w:rsid w:val="00640E24"/>
    <w:rsid w:val="00653125"/>
    <w:rsid w:val="0068450F"/>
    <w:rsid w:val="006845A2"/>
    <w:rsid w:val="00691376"/>
    <w:rsid w:val="006B2D5C"/>
    <w:rsid w:val="006B2DF1"/>
    <w:rsid w:val="006B35F7"/>
    <w:rsid w:val="006D2383"/>
    <w:rsid w:val="006D39A2"/>
    <w:rsid w:val="006E2529"/>
    <w:rsid w:val="006E72D7"/>
    <w:rsid w:val="006F1952"/>
    <w:rsid w:val="00720FBD"/>
    <w:rsid w:val="00727C1A"/>
    <w:rsid w:val="00747320"/>
    <w:rsid w:val="00754836"/>
    <w:rsid w:val="0078089D"/>
    <w:rsid w:val="00783685"/>
    <w:rsid w:val="0078640D"/>
    <w:rsid w:val="007A6B2C"/>
    <w:rsid w:val="007B4D9B"/>
    <w:rsid w:val="007C4218"/>
    <w:rsid w:val="007C62C5"/>
    <w:rsid w:val="007D2497"/>
    <w:rsid w:val="007D5F03"/>
    <w:rsid w:val="00821A0E"/>
    <w:rsid w:val="008236DD"/>
    <w:rsid w:val="008237C6"/>
    <w:rsid w:val="008361D4"/>
    <w:rsid w:val="00836A82"/>
    <w:rsid w:val="00850165"/>
    <w:rsid w:val="00861925"/>
    <w:rsid w:val="00865F67"/>
    <w:rsid w:val="008C6E0D"/>
    <w:rsid w:val="008E1DFA"/>
    <w:rsid w:val="008E6EFB"/>
    <w:rsid w:val="008F37AB"/>
    <w:rsid w:val="009011D7"/>
    <w:rsid w:val="009076CC"/>
    <w:rsid w:val="009303A8"/>
    <w:rsid w:val="009419CB"/>
    <w:rsid w:val="00945616"/>
    <w:rsid w:val="0095360A"/>
    <w:rsid w:val="009B685A"/>
    <w:rsid w:val="009C1468"/>
    <w:rsid w:val="009D0449"/>
    <w:rsid w:val="009E231B"/>
    <w:rsid w:val="009F1828"/>
    <w:rsid w:val="009F35CC"/>
    <w:rsid w:val="009F4016"/>
    <w:rsid w:val="00A10BD1"/>
    <w:rsid w:val="00A23CC5"/>
    <w:rsid w:val="00A319C3"/>
    <w:rsid w:val="00A77DB0"/>
    <w:rsid w:val="00A97DDF"/>
    <w:rsid w:val="00A97DE1"/>
    <w:rsid w:val="00AE3A2A"/>
    <w:rsid w:val="00AF1C21"/>
    <w:rsid w:val="00B0385A"/>
    <w:rsid w:val="00B06B40"/>
    <w:rsid w:val="00B15D0A"/>
    <w:rsid w:val="00B307CB"/>
    <w:rsid w:val="00B37FB2"/>
    <w:rsid w:val="00B54AA9"/>
    <w:rsid w:val="00B63E24"/>
    <w:rsid w:val="00B87B23"/>
    <w:rsid w:val="00BA7842"/>
    <w:rsid w:val="00BB1F64"/>
    <w:rsid w:val="00BC352C"/>
    <w:rsid w:val="00BC3BE7"/>
    <w:rsid w:val="00BC3D05"/>
    <w:rsid w:val="00BC66EA"/>
    <w:rsid w:val="00BD34CF"/>
    <w:rsid w:val="00BD676D"/>
    <w:rsid w:val="00C14A2F"/>
    <w:rsid w:val="00C55B21"/>
    <w:rsid w:val="00C7374E"/>
    <w:rsid w:val="00C83A5B"/>
    <w:rsid w:val="00CB5403"/>
    <w:rsid w:val="00CC5D0E"/>
    <w:rsid w:val="00CF23BB"/>
    <w:rsid w:val="00CF5A49"/>
    <w:rsid w:val="00D442AB"/>
    <w:rsid w:val="00D52511"/>
    <w:rsid w:val="00D5622D"/>
    <w:rsid w:val="00D62C92"/>
    <w:rsid w:val="00D956C5"/>
    <w:rsid w:val="00DB70FD"/>
    <w:rsid w:val="00DC1B96"/>
    <w:rsid w:val="00DD24AC"/>
    <w:rsid w:val="00DF253B"/>
    <w:rsid w:val="00DF74B9"/>
    <w:rsid w:val="00DF78F1"/>
    <w:rsid w:val="00E513DE"/>
    <w:rsid w:val="00E63311"/>
    <w:rsid w:val="00E67E55"/>
    <w:rsid w:val="00E74E61"/>
    <w:rsid w:val="00E81C4C"/>
    <w:rsid w:val="00EA58B0"/>
    <w:rsid w:val="00ED0EC7"/>
    <w:rsid w:val="00ED2144"/>
    <w:rsid w:val="00EF0DA1"/>
    <w:rsid w:val="00F15C70"/>
    <w:rsid w:val="00F737CC"/>
    <w:rsid w:val="00F941DC"/>
    <w:rsid w:val="00FA0437"/>
    <w:rsid w:val="00FF7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638E"/>
  <w15:docId w15:val="{4B43D46D-B9F5-4D8D-90FF-6A2EB260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C70"/>
    <w:pPr>
      <w:spacing w:after="0" w:line="240" w:lineRule="auto"/>
    </w:pPr>
    <w:rPr>
      <w:rFonts w:eastAsia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A1B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A1BC8"/>
    <w:rPr>
      <w:rFonts w:eastAsia="Times New Roman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B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BC8"/>
    <w:rPr>
      <w:rFonts w:eastAsia="Times New Roman" w:cs="Times New Roman"/>
      <w:kern w:val="0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A1BC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1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BC8"/>
    <w:rPr>
      <w:rFonts w:eastAsia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BD1"/>
    <w:pPr>
      <w:ind w:left="720"/>
      <w:contextualSpacing/>
    </w:pPr>
  </w:style>
  <w:style w:type="character" w:customStyle="1" w:styleId="text">
    <w:name w:val="text"/>
    <w:basedOn w:val="DefaultParagraphFont"/>
    <w:rsid w:val="004F7756"/>
  </w:style>
  <w:style w:type="paragraph" w:customStyle="1" w:styleId="TableParagraph">
    <w:name w:val="Table Paragraph"/>
    <w:basedOn w:val="Normal"/>
    <w:uiPriority w:val="1"/>
    <w:qFormat/>
    <w:rsid w:val="002545E4"/>
    <w:pPr>
      <w:widowControl w:val="0"/>
      <w:autoSpaceDE w:val="0"/>
      <w:autoSpaceDN w:val="0"/>
      <w:spacing w:before="33"/>
      <w:ind w:left="54"/>
    </w:pPr>
    <w:rPr>
      <w:sz w:val="22"/>
      <w:szCs w:val="22"/>
      <w:lang w:val="vi"/>
    </w:rPr>
  </w:style>
  <w:style w:type="character" w:styleId="Hyperlink">
    <w:name w:val="Hyperlink"/>
    <w:basedOn w:val="DefaultParagraphFont"/>
    <w:uiPriority w:val="99"/>
    <w:semiHidden/>
    <w:unhideWhenUsed/>
    <w:rsid w:val="00D52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dl.dichvucong.gov.vn/web/mtv/thu_tuc_hanh_chinh/chi_tiet_tthc/index?id=370757&amp;qdcbid=98388&amp;r_url=tra_cuu_tthc_b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dl.dichvucong.gov.vn/web/mtv/thu_tuc_hanh_chinh/chi_tiet_tthc/index?id=370755&amp;qdcbid=98388&amp;r_url=tra_cuu_tthc_bg" TargetMode="External"/><Relationship Id="rId12" Type="http://schemas.openxmlformats.org/officeDocument/2006/relationships/hyperlink" Target="https://csdl.dichvucong.gov.vn/web/mtv/thu_tuc_hanh_chinh/chi_tiet_tthc/index?id=370719&amp;qdcbid=98388&amp;r_url=tra_cuu_tthc_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dl.dichvucong.gov.vn/web/mtv/thu_tuc_hanh_chinh/chi_tiet_tthc/index?id=370840&amp;qdcbid=98388&amp;r_url=tra_cuu_tthc_b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sdl.dichvucong.gov.vn/web/mtv/thu_tuc_hanh_chinh/chi_tiet_tthc/index?id=370759&amp;qdcbid=98388&amp;r_url=tra_cuu_tthc_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dl.dichvucong.gov.vn/web/mtv/thu_tuc_hanh_chinh/chi_tiet_tthc/index?id=370758&amp;qdcbid=98388&amp;r_url=tra_cuu_tthc_b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Mộc Nguyễn Khắc</dc:creator>
  <cp:lastModifiedBy>Admin</cp:lastModifiedBy>
  <cp:revision>147</cp:revision>
  <dcterms:created xsi:type="dcterms:W3CDTF">2024-06-18T03:34:00Z</dcterms:created>
  <dcterms:modified xsi:type="dcterms:W3CDTF">2025-02-18T07:39:00Z</dcterms:modified>
</cp:coreProperties>
</file>