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Hình minh họa kiến trúc SmartDoc AI</w:t>
      </w:r>
    </w:p>
    <w:p>
      <w:pPr>
        <w:pStyle w:val="Heading2"/>
      </w:pPr>
      <w:r>
        <w:t>Hình 1. Self-RAG Pipeline (6 bước)</w:t>
      </w:r>
    </w:p>
    <w:p>
      <w:pPr>
        <w:jc w:val="center"/>
        <w:spacing w:before="120" w:after="80"/>
      </w:pPr>
      <w:r>
        <w:drawing>
          <wp:inline xmlns:a="http://schemas.openxmlformats.org/drawingml/2006/main" xmlns:pic="http://schemas.openxmlformats.org/drawingml/2006/picture">
            <wp:extent cx="5040000" cy="2293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9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240"/>
      </w:pPr>
      <w:r>
        <w:rPr>
          <w:i/>
          <w:color w:val="444444"/>
          <w:sz w:val="20"/>
        </w:rPr>
        <w:t>Hình 1. Self-RAG Pipeline — Query Rewriting → Retrieve → Relevance Filter → Multi-hop → Generate → Answer Grading</w:t>
      </w:r>
    </w:p>
    <w:p>
      <w:r>
        <w:br w:type="page"/>
      </w:r>
    </w:p>
    <w:p>
      <w:pPr>
        <w:pStyle w:val="Heading2"/>
      </w:pPr>
      <w:r>
        <w:t>Hình 2. Pipeline tổng thể SmartDoc AI</w:t>
      </w:r>
    </w:p>
    <w:p>
      <w:pPr>
        <w:jc w:val="center"/>
        <w:spacing w:before="120" w:after="80"/>
      </w:pPr>
      <w:r>
        <w:drawing>
          <wp:inline xmlns:a="http://schemas.openxmlformats.org/drawingml/2006/main" xmlns:pic="http://schemas.openxmlformats.org/drawingml/2006/picture">
            <wp:extent cx="5040000" cy="10120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12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240"/>
      </w:pPr>
      <w:r>
        <w:rPr>
          <w:i/>
          <w:color w:val="444444"/>
          <w:sz w:val="20"/>
        </w:rPr>
        <w:t>Hình 2. Pipeline tổng thể — Co-RAG (3 agents) → Hybrid RRF → CrossEncoder → Self-RAG → Citation Tracking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