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3" w:name="X549bba292340794e603825748bcbb223e037b43"/>
    <w:p>
      <w:pPr>
        <w:pStyle w:val="Heading1"/>
      </w:pPr>
      <w:r>
        <w:t xml:space="preserve">Screen Spec: SC-12 Readiness dashboard (5 gauges)</w:t>
      </w:r>
    </w:p>
    <w:p>
      <w:pPr>
        <w:pStyle w:val="BlockText"/>
      </w:pPr>
      <w:r>
        <w:t xml:space="preserve">DBIZ3 Session 4 template — one file per screen. The Screen ID is kept from the DBIZ2 Screen List.</w:t>
      </w:r>
      <w:r>
        <w:t xml:space="preserve"> </w:t>
      </w:r>
      <w:r>
        <w:t xml:space="preserve">The mockup image stays an image; everything around it is text.</w:t>
      </w:r>
      <w:r>
        <w:t xml:space="preserve"> </w:t>
      </w:r>
      <w:r>
        <w:rPr>
          <w:bCs/>
          <w:b/>
        </w:rPr>
        <w:t xml:space="preserve">Each orange numbered badge on the mockup is the row with the same number in section 3 (Element inventory).</w:t>
      </w:r>
    </w:p>
    <w:tbl>
      <w:tblPr>
        <w:tblStyle w:val="Table"/>
        <w:tblLook w:firstRow="1" w:lastRow="0" w:firstColumn="0" w:lastColumn="0" w:noHBand="0" w:noVBand="0" w:val="0020"/>
        <w:jc w:val="start"/>
        <w:tblBorders>
          <w:top w:val="single" w:sz="4" w:color="C9CED6"/>
          <w:left w:val="single" w:sz="4" w:color="C9CED6"/>
          <w:bottom w:val="single" w:sz="4" w:color="C9CED6"/>
          <w:right w:val="single" w:sz="4" w:color="C9CED6"/>
          <w:insideH w:val="single" w:sz="4" w:color="C9CED6"/>
          <w:insideV w:val="single" w:sz="4" w:color="C9CED6"/>
        </w:tblBorders>
        <w:tblW w:w="5000" w:type="pct"/>
      </w:tblPr>
      <w:tblGrid>
        <w:gridCol w:w="4930"/>
        <w:gridCol w:w="4930"/>
      </w:tblGrid>
      <w:tr>
        <w:trPr>
          <w:tblHeader w:val="true"/>
        </w:trPr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Field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Value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Screen ID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SC-12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Screen name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Readiness dashboard (5 gauges)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Actor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Member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Priority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Must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Belongs to module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docs/spec/spec-M0.md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Mockup image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img/SC-12.png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Status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Draft</w:t>
            </w:r>
          </w:p>
        </w:tc>
      </w:tr>
    </w:tbl>
    <w:p>
      <w:pPr>
        <w:pStyle w:val="BodyText"/>
      </w:pPr>
      <w:r>
        <w:rPr>
          <w:iCs/>
          <w:i/>
        </w:rPr>
        <w:t xml:space="preserve">Route:</w:t>
      </w:r>
      <w:r>
        <w:t xml:space="preserve"> </w:t>
      </w:r>
      <w:r>
        <w:rPr>
          <w:rStyle w:val="VerbatimChar"/>
        </w:rPr>
        <w:t xml:space="preserve">/projects/[id]</w:t>
      </w:r>
      <w:r>
        <w:t xml:space="preserve"> </w:t>
      </w:r>
      <w:r>
        <w:t xml:space="preserve">·</w:t>
      </w:r>
      <w:r>
        <w:t xml:space="preserve"> </w:t>
      </w:r>
      <w:r>
        <w:rPr>
          <w:iCs/>
          <w:i/>
        </w:rPr>
        <w:t xml:space="preserve">Screen list file:</w:t>
      </w:r>
      <w:r>
        <w:t xml:space="preserve"> </w:t>
      </w:r>
      <w:r>
        <w:t xml:space="preserve">M0, item #5 (Tier 1 — Must) ·</w:t>
      </w:r>
      <w:r>
        <w:t xml:space="preserve"> </w:t>
      </w:r>
      <w:r>
        <w:rPr>
          <w:iCs/>
          <w:i/>
        </w:rPr>
        <w:t xml:space="preserve">Design note from the screen list file:</w:t>
      </w:r>
      <w:r>
        <w:t xml:space="preserve"> </w:t>
      </w:r>
      <w:r>
        <w:t xml:space="preserve">The central screen; every module writes data here.</w:t>
      </w:r>
    </w:p>
    <w:bookmarkStart w:id="20" w:name="Xe656c7b6450ec476f453091ff6f524ec7bd654f"/>
    <w:p>
      <w:pPr>
        <w:pStyle w:val="Heading2"/>
      </w:pPr>
      <w:r>
        <w:t xml:space="preserve">1. Purpose</w:t>
      </w:r>
    </w:p>
    <w:p>
      <w:pPr>
        <w:pStyle w:val="FirstParagraph"/>
      </w:pPr>
      <w:r>
        <w:rPr>
          <w:bCs/>
          <w:b/>
        </w:rPr>
        <w:t xml:space="preserve">Shown when:</w:t>
      </w:r>
      <w:r>
        <w:t xml:space="preserve"> </w:t>
      </w:r>
      <w:r>
        <w:t xml:space="preserve">A member opens a project from</w:t>
      </w:r>
      <w:r>
        <w:t xml:space="preserve"> </w:t>
      </w:r>
      <w:r>
        <w:rPr>
          <w:rStyle w:val="VerbatimChar"/>
        </w:rPr>
        <w:t xml:space="preserve">SC-10</w:t>
      </w:r>
      <w:r>
        <w:t xml:space="preserve">, has just created a project, or returns from any screen within the project.</w:t>
      </w:r>
    </w:p>
    <w:p>
      <w:pPr>
        <w:pStyle w:val="BodyText"/>
      </w:pPr>
      <w:r>
        <w:rPr>
          <w:bCs/>
          <w:b/>
        </w:rPr>
        <w:t xml:space="preserve">The user leaves this screen when:</w:t>
      </w:r>
      <w:r>
        <w:t xml:space="preserve"> </w:t>
      </w:r>
      <w:r>
        <w:t xml:space="preserve">The member clicks a gauge button, the deadline strip, an activity item, or an item in the project sidebar.</w:t>
      </w:r>
    </w:p>
    <w:bookmarkEnd w:id="20"/>
    <w:bookmarkStart w:id="24" w:name="Xab1c1ee4d29bb7bad69e07c27644b5072f51ec7"/>
    <w:p>
      <w:pPr>
        <w:pStyle w:val="Heading2"/>
      </w:pPr>
      <w:r>
        <w:t xml:space="preserve">2. Mockup</w:t>
      </w:r>
    </w:p>
    <w:p>
      <w:pPr>
        <w:pStyle w:val="FirstParagraph"/>
      </w:pPr>
      <w:r>
        <w:drawing>
          <wp:inline>
            <wp:extent cx="5334000" cy="3531900"/>
            <wp:effectExtent b="0" l="0" r="0" t="0"/>
            <wp:docPr descr="SC-12" title="" id="22" name="Picture"/>
            <a:graphic>
              <a:graphicData uri="http://schemas.openxmlformats.org/drawingml/2006/picture">
                <pic:pic>
                  <pic:nvPicPr>
                    <pic:cNvPr descr="img/SC-12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319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lockText"/>
      </w:pPr>
      <w:r>
        <w:t xml:space="preserve">The image is the visual contract (layout, grouping, hierarchy); the tables below are the behavioural contract.</w:t>
      </w:r>
      <w:r>
        <w:t xml:space="preserve"> </w:t>
      </w:r>
      <w:r>
        <w:t xml:space="preserve">All data in the mockup is sample data for one fictional project (</w:t>
      </w:r>
      <w:r>
        <w:rPr>
          <w:iCs/>
          <w:i/>
        </w:rPr>
        <w:t xml:space="preserve">The Last Ferry</w:t>
      </w:r>
      <w:r>
        <w:t xml:space="preserve">, Harbour Line Films); organisation names, people and phone numbers are examples, not real records.</w:t>
      </w:r>
    </w:p>
    <w:bookmarkEnd w:id="24"/>
    <w:bookmarkStart w:id="25" w:name="Xc1dc304234f3c242dbb73a86df4eae3b664f130"/>
    <w:p>
      <w:pPr>
        <w:pStyle w:val="Heading2"/>
      </w:pPr>
      <w:r>
        <w:t xml:space="preserve">3. Element inventory</w:t>
      </w:r>
    </w:p>
    <w:tbl>
      <w:tblPr>
        <w:tblStyle w:val="Table"/>
        <w:tblLook w:firstRow="1" w:lastRow="0" w:firstColumn="0" w:lastColumn="0" w:noHBand="0" w:noVBand="0" w:val="0020"/>
        <w:jc w:val="start"/>
        <w:tblBorders>
          <w:top w:val="single" w:sz="4" w:color="C9CED6"/>
          <w:left w:val="single" w:sz="4" w:color="C9CED6"/>
          <w:bottom w:val="single" w:sz="4" w:color="C9CED6"/>
          <w:right w:val="single" w:sz="4" w:color="C9CED6"/>
          <w:insideH w:val="single" w:sz="4" w:color="C9CED6"/>
          <w:insideV w:val="single" w:sz="4" w:color="C9CED6"/>
        </w:tblBorders>
        <w:tblW w:w="5000" w:type="pct"/>
      </w:tblPr>
      <w:tblGrid>
        <w:gridCol w:w="1643"/>
        <w:gridCol w:w="1643"/>
        <w:gridCol w:w="1643"/>
        <w:gridCol w:w="1643"/>
        <w:gridCol w:w="1643"/>
        <w:gridCol w:w="1643"/>
      </w:tblGrid>
      <w:tr>
        <w:trPr>
          <w:tblHeader w:val="true"/>
        </w:trPr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#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Element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Type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Content / data source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Required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Validation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Navigation bar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Header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static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Project sidebar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List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static: 10 items;</w:t>
            </w:r>
            <w:r>
              <w:rPr>
                <w:sz w:val="17"/>
              </w:rPr>
              <w:t xml:space="preserve"> </w:t>
            </w:r>
            <w:r>
              <w:rPr>
                <w:iCs/>
                <w:i/>
                <w:sz w:val="17"/>
              </w:rPr>
              <w:t xml:space="preserve">Overview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selected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Project name + segment + organisation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Header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projects.name</w:t>
            </w:r>
            <w:r>
              <w:rPr>
                <w:sz w:val="17"/>
              </w:rPr>
              <w:t xml:space="preserve">,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projects.segment</w:t>
            </w:r>
            <w:r>
              <w:rPr>
                <w:sz w:val="17"/>
              </w:rPr>
              <w:t xml:space="preserve">,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organizations_producer.name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First shooting day + countdown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Text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projects.shooting_start_date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none →</w:t>
            </w:r>
            <w:r>
              <w:rPr>
                <w:sz w:val="17"/>
              </w:rPr>
              <w:t xml:space="preserve"> </w:t>
            </w:r>
            <w:r>
              <w:rPr>
                <w:iCs/>
                <w:i/>
                <w:sz w:val="17"/>
              </w:rPr>
              <w:t xml:space="preserve">not set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and a</w:t>
            </w:r>
            <w:r>
              <w:rPr>
                <w:sz w:val="17"/>
              </w:rPr>
              <w:t xml:space="preserve"> </w:t>
            </w:r>
            <w:r>
              <w:rPr>
                <w:iCs/>
                <w:i/>
                <w:sz w:val="17"/>
              </w:rPr>
              <w:t xml:space="preserve">Set date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button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Overall readiness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Text + bar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v_project_readiness.overall_score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0–100, integer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Gauges (5)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Chart (gauge)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v_project_readiness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— one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*_score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column per gauge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number of gauges shown depends on the segment — see SR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  <w:sz w:val="17"/>
              </w:rPr>
              <w:t xml:space="preserve">Next step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sentence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Text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F-M0-07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— rule-generated, no language model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always present; when done, shows</w:t>
            </w:r>
            <w:r>
              <w:rPr>
                <w:sz w:val="17"/>
              </w:rPr>
              <w:t xml:space="preserve"> </w:t>
            </w:r>
            <w:r>
              <w:rPr>
                <w:iCs/>
                <w:i/>
                <w:sz w:val="17"/>
              </w:rPr>
              <w:t xml:space="preserve">Complete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Gauge action button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Button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static; target per gauge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  <w:sz w:val="17"/>
              </w:rPr>
              <w:t xml:space="preserve">Logistics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gauge (not yet available)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Chart (gauge)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static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shows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—</w:t>
            </w:r>
            <w:r>
              <w:rPr>
                <w:sz w:val="17"/>
              </w:rPr>
              <w:t xml:space="preserve">, not 0%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Safe submission deadline strip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Text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F-M5-08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— safe submission date and days remaining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hidden when there is no first shooting day or for segment 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11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Recent activity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List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project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activity_log</w:t>
            </w:r>
            <w:r>
              <w:rPr>
                <w:sz w:val="17"/>
              </w:rPr>
              <w:t xml:space="preserve">, 3 latest items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12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  <w:sz w:val="17"/>
              </w:rPr>
              <w:t xml:space="preserve">Book a consultation with VFDA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button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Button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static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</w:tr>
    </w:tbl>
    <w:bookmarkEnd w:id="25"/>
    <w:bookmarkStart w:id="26" w:name="Xd9ac1b82c5a54bb51654173ea467e0558fddf3c"/>
    <w:p>
      <w:pPr>
        <w:pStyle w:val="Heading2"/>
      </w:pPr>
      <w:r>
        <w:t xml:space="preserve">4. States</w:t>
      </w:r>
    </w:p>
    <w:tbl>
      <w:tblPr>
        <w:tblStyle w:val="Table"/>
        <w:tblLook w:firstRow="1" w:lastRow="0" w:firstColumn="0" w:lastColumn="0" w:noHBand="0" w:noVBand="0" w:val="0020"/>
        <w:jc w:val="start"/>
        <w:tblBorders>
          <w:top w:val="single" w:sz="4" w:color="C9CED6"/>
          <w:left w:val="single" w:sz="4" w:color="C9CED6"/>
          <w:bottom w:val="single" w:sz="4" w:color="C9CED6"/>
          <w:right w:val="single" w:sz="4" w:color="C9CED6"/>
          <w:insideH w:val="single" w:sz="4" w:color="C9CED6"/>
          <w:insideV w:val="single" w:sz="4" w:color="C9CED6"/>
        </w:tblBorders>
        <w:tblW w:w="5000" w:type="pct"/>
      </w:tblPr>
      <w:tblGrid>
        <w:gridCol w:w="3286"/>
        <w:gridCol w:w="3286"/>
        <w:gridCol w:w="3286"/>
      </w:tblGrid>
      <w:tr>
        <w:trPr>
          <w:tblHeader w:val="true"/>
        </w:trPr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State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What the user sees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Trigger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Default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Project name, countdown, overall bar, 5 gauges with next steps, deadline strip, recent activity.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Open a project with data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Empty (no data)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Newly created project: all gauges at 0%, the first gauge's next step is</w:t>
            </w:r>
            <w:r>
              <w:rPr>
                <w:sz w:val="17"/>
              </w:rPr>
              <w:t xml:space="preserve"> </w:t>
            </w:r>
            <w:r>
              <w:rPr>
                <w:iCs/>
                <w:i/>
                <w:sz w:val="17"/>
              </w:rPr>
              <w:t xml:space="preserve">Start with a content pre-check</w:t>
            </w:r>
            <w:r>
              <w:rPr>
                <w:sz w:val="17"/>
              </w:rPr>
              <w:t xml:space="preserve">; activity shows</w:t>
            </w:r>
            <w:r>
              <w:rPr>
                <w:sz w:val="17"/>
              </w:rPr>
              <w:t xml:space="preserve"> </w:t>
            </w:r>
            <w:r>
              <w:rPr>
                <w:iCs/>
                <w:i/>
                <w:sz w:val="17"/>
              </w:rPr>
              <w:t xml:space="preserve">No activity yet</w:t>
            </w:r>
            <w:r>
              <w:rPr>
                <w:sz w:val="17"/>
              </w:rPr>
              <w:t xml:space="preserve">; the deadline strip is replaced by</w:t>
            </w:r>
            <w:r>
              <w:rPr>
                <w:sz w:val="17"/>
              </w:rPr>
              <w:t xml:space="preserve"> </w:t>
            </w:r>
            <w:r>
              <w:rPr>
                <w:iCs/>
                <w:i/>
                <w:sz w:val="17"/>
              </w:rPr>
              <w:t xml:space="preserve">Set a first shooting day to calculate the deadline</w:t>
            </w:r>
            <w:r>
              <w:rPr>
                <w:sz w:val="17"/>
              </w:rPr>
              <w:t xml:space="preserve">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Project just created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Loading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Project name appears immediately; grey skeletons for the overall bar and the 5 gauges.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Loading the score view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Error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Scores can't be calculated: each gauge shows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—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with the line</w:t>
            </w:r>
            <w:r>
              <w:rPr>
                <w:sz w:val="17"/>
              </w:rPr>
              <w:t xml:space="preserve"> </w:t>
            </w:r>
            <w:r>
              <w:rPr>
                <w:iCs/>
                <w:i/>
                <w:sz w:val="17"/>
              </w:rPr>
              <w:t xml:space="preserve">Couldn't calculate readiness. Your project data is safe.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plus</w:t>
            </w:r>
            <w:r>
              <w:rPr>
                <w:sz w:val="17"/>
              </w:rPr>
              <w:t xml:space="preserve"> </w:t>
            </w:r>
            <w:r>
              <w:rPr>
                <w:iCs/>
                <w:i/>
                <w:sz w:val="17"/>
              </w:rPr>
              <w:t xml:space="preserve">Try again</w:t>
            </w:r>
            <w:r>
              <w:rPr>
                <w:sz w:val="17"/>
              </w:rPr>
              <w:t xml:space="preserve">.</w:t>
            </w:r>
            <w:r>
              <w:rPr>
                <w:sz w:val="17"/>
              </w:rPr>
              <w:t xml:space="preserve"> </w:t>
            </w:r>
            <w:r>
              <w:rPr>
                <w:bCs/>
                <w:b/>
                <w:sz w:val="17"/>
              </w:rPr>
              <w:t xml:space="preserve">Never show a fake 0%.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View error / timeout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Success / confirmation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Returning after completing a task on another screen: the corresponding gauge rises with a short animation, green strip</w:t>
            </w:r>
            <w:r>
              <w:rPr>
                <w:sz w:val="17"/>
              </w:rPr>
              <w:t xml:space="preserve"> </w:t>
            </w:r>
            <w:r>
              <w:rPr>
                <w:iCs/>
                <w:i/>
                <w:sz w:val="17"/>
              </w:rPr>
              <w:t xml:space="preserve">Readiness updated</w:t>
            </w:r>
            <w:r>
              <w:rPr>
                <w:sz w:val="17"/>
              </w:rPr>
              <w:t xml:space="preserve">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Score changes</w:t>
            </w:r>
          </w:p>
        </w:tc>
      </w:tr>
    </w:tbl>
    <w:bookmarkEnd w:id="26"/>
    <w:bookmarkStart w:id="27" w:name="X6daa1efce0c66502e0a0acb4481ff610810f0a6"/>
    <w:p>
      <w:pPr>
        <w:pStyle w:val="Heading2"/>
      </w:pPr>
      <w:r>
        <w:t xml:space="preserve">5. Interactions and navigation</w:t>
      </w:r>
    </w:p>
    <w:tbl>
      <w:tblPr>
        <w:tblStyle w:val="Table"/>
        <w:tblLook w:firstRow="1" w:lastRow="0" w:firstColumn="0" w:lastColumn="0" w:noHBand="0" w:noVBand="0" w:val="0020"/>
        <w:jc w:val="start"/>
        <w:tblBorders>
          <w:top w:val="single" w:sz="4" w:color="C9CED6"/>
          <w:left w:val="single" w:sz="4" w:color="C9CED6"/>
          <w:bottom w:val="single" w:sz="4" w:color="C9CED6"/>
          <w:right w:val="single" w:sz="4" w:color="C9CED6"/>
          <w:insideH w:val="single" w:sz="4" w:color="C9CED6"/>
          <w:insideV w:val="single" w:sz="4" w:color="C9CED6"/>
        </w:tblBorders>
        <w:tblW w:w="5000" w:type="pct"/>
      </w:tblPr>
      <w:tblGrid>
        <w:gridCol w:w="1972"/>
        <w:gridCol w:w="1972"/>
        <w:gridCol w:w="1972"/>
        <w:gridCol w:w="1972"/>
        <w:gridCol w:w="1972"/>
      </w:tblGrid>
      <w:tr>
        <w:trPr>
          <w:tblHeader w:val="true"/>
        </w:trPr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#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Element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User action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System response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Goes to screen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  <w:sz w:val="17"/>
              </w:rPr>
              <w:t xml:space="preserve">Content &amp; compliance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gauge / button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tap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SC-48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  <w:sz w:val="17"/>
              </w:rPr>
              <w:t xml:space="preserve">Locations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gauge / button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tap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SC-17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  <w:sz w:val="17"/>
              </w:rPr>
              <w:t xml:space="preserve">Partners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gauge / button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tap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SC-25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  <w:sz w:val="17"/>
              </w:rPr>
              <w:t xml:space="preserve">Dossier &amp; permits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gauge / button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tap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SC-27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  <w:sz w:val="17"/>
              </w:rPr>
              <w:t xml:space="preserve">Logistics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gauge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tap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Not clickable; caption</w:t>
            </w:r>
            <w:r>
              <w:rPr>
                <w:sz w:val="17"/>
              </w:rPr>
              <w:t xml:space="preserve"> </w:t>
            </w:r>
            <w:r>
              <w:rPr>
                <w:iCs/>
                <w:i/>
                <w:sz w:val="17"/>
              </w:rPr>
              <w:t xml:space="preserve">Phase 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stays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Deadline strip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tap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SC-29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Activity item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tap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Opens the related object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SC-25 / SC-32 / SC-17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  <w:sz w:val="17"/>
              </w:rPr>
              <w:t xml:space="preserve">Book a consultation with VFDA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button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tap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SC-33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Sidebar item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tap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corresponding screen</w:t>
            </w:r>
          </w:p>
        </w:tc>
      </w:tr>
    </w:tbl>
    <w:bookmarkEnd w:id="27"/>
    <w:bookmarkStart w:id="28" w:name="X2b50e8a694f07f84d4f56a725b2023cb14a732c"/>
    <w:p>
      <w:pPr>
        <w:pStyle w:val="Heading2"/>
      </w:pPr>
      <w:r>
        <w:t xml:space="preserve">6. Screen-level rules</w:t>
      </w:r>
    </w:p>
    <w:tbl>
      <w:tblPr>
        <w:tblStyle w:val="Table"/>
        <w:tblLook w:firstRow="1" w:lastRow="0" w:firstColumn="0" w:lastColumn="0" w:noHBand="0" w:noVBand="0" w:val="0020"/>
        <w:jc w:val="start"/>
        <w:tblBorders>
          <w:top w:val="single" w:sz="4" w:color="C9CED6"/>
          <w:left w:val="single" w:sz="4" w:color="C9CED6"/>
          <w:bottom w:val="single" w:sz="4" w:color="C9CED6"/>
          <w:right w:val="single" w:sz="4" w:color="C9CED6"/>
          <w:insideH w:val="single" w:sz="4" w:color="C9CED6"/>
          <w:insideV w:val="single" w:sz="4" w:color="C9CED6"/>
        </w:tblBorders>
        <w:tblW w:w="5000" w:type="pct"/>
      </w:tblPr>
      <w:tblGrid>
        <w:gridCol w:w="3286"/>
        <w:gridCol w:w="3286"/>
        <w:gridCol w:w="3286"/>
      </w:tblGrid>
      <w:tr>
        <w:trPr>
          <w:tblHeader w:val="true"/>
        </w:trPr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Rule ID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Rule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Source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SR-051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  <w:sz w:val="17"/>
              </w:rPr>
              <w:t xml:space="preserve">The</w:t>
            </w:r>
            <w:r>
              <w:rPr>
                <w:bCs/>
                <w:b/>
                <w:sz w:val="17"/>
              </w:rPr>
              <w:t xml:space="preserve"> </w:t>
            </w:r>
            <w:r>
              <w:rPr>
                <w:iCs/>
                <w:i/>
                <w:bCs/>
                <w:b/>
                <w:sz w:val="17"/>
              </w:rPr>
              <w:t xml:space="preserve">Next step</w:t>
            </w:r>
            <w:r>
              <w:rPr>
                <w:bCs/>
                <w:b/>
                <w:sz w:val="17"/>
              </w:rPr>
              <w:t xml:space="preserve"> </w:t>
            </w:r>
            <w:r>
              <w:rPr>
                <w:bCs/>
                <w:b/>
                <w:sz w:val="17"/>
              </w:rPr>
              <w:t xml:space="preserve">sentence is the primary information</w:t>
            </w:r>
            <w:r>
              <w:rPr>
                <w:sz w:val="17"/>
              </w:rPr>
              <w:t xml:space="preserve">; the percentage is secondary. This sentence is never empty.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TL4 §4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SR-052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Scores are computed by the DB view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v_project_readiness</w:t>
            </w:r>
            <w:r>
              <w:rPr>
                <w:sz w:val="17"/>
              </w:rPr>
              <w:t xml:space="preserve">,</w:t>
            </w:r>
            <w:r>
              <w:rPr>
                <w:sz w:val="17"/>
              </w:rPr>
              <w:t xml:space="preserve"> </w:t>
            </w:r>
            <w:r>
              <w:rPr>
                <w:bCs/>
                <w:b/>
                <w:sz w:val="17"/>
              </w:rPr>
              <w:t xml:space="preserve">not in the browser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— every place shows the same number.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TL5 §M0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SR-053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Number of gauges by segment: segment C has</w:t>
            </w:r>
            <w:r>
              <w:rPr>
                <w:sz w:val="17"/>
              </w:rPr>
              <w:t xml:space="preserve"> </w:t>
            </w:r>
            <w:r>
              <w:rPr>
                <w:bCs/>
                <w:b/>
                <w:sz w:val="17"/>
              </w:rPr>
              <w:t xml:space="preserve">no</w:t>
            </w:r>
            <w:r>
              <w:rPr>
                <w:sz w:val="17"/>
              </w:rPr>
              <w:t xml:space="preserve"> </w:t>
            </w:r>
            <w:r>
              <w:rPr>
                <w:iCs/>
                <w:i/>
                <w:sz w:val="17"/>
              </w:rPr>
              <w:t xml:space="preserve">Dossier &amp; permits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gauge; weights are read from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segment_requirements</w:t>
            </w:r>
            <w:r>
              <w:rPr>
                <w:sz w:val="17"/>
              </w:rPr>
              <w:t xml:space="preserve">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TL4 §2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SR-054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A gauge that doesn't apply shows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—</w:t>
            </w:r>
            <w:r>
              <w:rPr>
                <w:sz w:val="17"/>
              </w:rPr>
              <w:t xml:space="preserve">, not 0% — these are two different things.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No-guessing principle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SR-055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Every module writes to the dashboard via the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readiness_changed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event; the dashboard never reads other modules' tables directly.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Screen list file — note #5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SR-056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The deadline strip uses</w:t>
            </w:r>
            <w:r>
              <w:rPr>
                <w:sz w:val="17"/>
              </w:rPr>
              <w:t xml:space="preserve"> </w:t>
            </w:r>
            <w:r>
              <w:rPr>
                <w:bCs/>
                <w:b/>
                <w:sz w:val="17"/>
              </w:rPr>
              <w:t xml:space="preserve">the same calculation function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as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SC-29</w:t>
            </w:r>
            <w:r>
              <w:rPr>
                <w:sz w:val="17"/>
              </w:rPr>
              <w:t xml:space="preserve">; the two screens must never show different dates.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Consistency principle</w:t>
            </w:r>
          </w:p>
        </w:tc>
      </w:tr>
    </w:tbl>
    <w:bookmarkEnd w:id="28"/>
    <w:bookmarkStart w:id="29" w:name="X8e718e52f8674338f0122bc3a8ac4acb3f1bfa9"/>
    <w:p>
      <w:pPr>
        <w:pStyle w:val="Heading2"/>
      </w:pPr>
      <w:r>
        <w:t xml:space="preserve">7. Linked requirements</w:t>
      </w:r>
    </w:p>
    <w:tbl>
      <w:tblPr>
        <w:tblStyle w:val="Table"/>
        <w:tblLook w:firstRow="1" w:lastRow="0" w:firstColumn="0" w:lastColumn="0" w:noHBand="0" w:noVBand="0" w:val="0020"/>
        <w:jc w:val="start"/>
        <w:tblBorders>
          <w:top w:val="single" w:sz="4" w:color="C9CED6"/>
          <w:left w:val="single" w:sz="4" w:color="C9CED6"/>
          <w:bottom w:val="single" w:sz="4" w:color="C9CED6"/>
          <w:right w:val="single" w:sz="4" w:color="C9CED6"/>
          <w:insideH w:val="single" w:sz="4" w:color="C9CED6"/>
          <w:insideV w:val="single" w:sz="4" w:color="C9CED6"/>
        </w:tblBorders>
        <w:tblW w:w="5000" w:type="pct"/>
      </w:tblPr>
      <w:tblGrid>
        <w:gridCol w:w="4930"/>
        <w:gridCol w:w="4930"/>
      </w:tblGrid>
      <w:tr>
        <w:trPr>
          <w:tblHeader w:val="true"/>
        </w:trPr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FR ID (from the module spec)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What this screen does for 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FR-005 · spec-M0.md (F-M0-05)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Calculate the five gauge scores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FR-006 · spec-M0.md (F-M0-06)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Display the dashboard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FR-007 · spec-M0.md (F-M0-07)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Suggest the next step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FR-008 · spec-M0.md (F-M0-08)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Periodic readiness snapshots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FR-008 · spec-M5.md (F-M5-08)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Deadline from the countdown</w:t>
            </w:r>
          </w:p>
        </w:tc>
      </w:tr>
    </w:tbl>
    <w:bookmarkEnd w:id="29"/>
    <w:bookmarkStart w:id="30" w:name="X9d5077cc76b120d31ab1f686e49688bcc265d82"/>
    <w:p>
      <w:pPr>
        <w:pStyle w:val="Heading2"/>
      </w:pPr>
      <w:r>
        <w:t xml:space="preserve">8. Responsive and accessibility notes</w:t>
      </w:r>
    </w:p>
    <w:p>
      <w:pPr>
        <w:numPr>
          <w:ilvl w:val="0"/>
          <w:numId w:val="1001"/>
        </w:numPr>
        <w:pStyle w:val="Compact"/>
      </w:pPr>
      <w:r>
        <w:t xml:space="preserve">Minimum supported width:</w:t>
      </w:r>
      <w:r>
        <w:t xml:space="preserve"> </w:t>
      </w:r>
      <w:r>
        <w:rPr>
          <w:bCs/>
          <w:b/>
        </w:rPr>
        <w:t xml:space="preserve">360px</w:t>
      </w:r>
      <w:r>
        <w:t xml:space="preserve">.</w:t>
      </w:r>
    </w:p>
    <w:p>
      <w:pPr>
        <w:numPr>
          <w:ilvl w:val="0"/>
          <w:numId w:val="1001"/>
        </w:numPr>
        <w:pStyle w:val="Compact"/>
      </w:pPr>
      <w:r>
        <w:t xml:space="preserve">Narrow screens: the sidebar becomes a dropdown menu at the top of the page; the 5 gauges become a vertical list, one per row (small gauge on the left, next step on the right).</w:t>
      </w:r>
    </w:p>
    <w:p>
      <w:pPr>
        <w:numPr>
          <w:ilvl w:val="0"/>
          <w:numId w:val="1001"/>
        </w:numPr>
        <w:pStyle w:val="Compact"/>
      </w:pPr>
      <w:r>
        <w:t xml:space="preserve">The</w:t>
      </w:r>
      <w:r>
        <w:t xml:space="preserve"> </w:t>
      </w:r>
      <w:r>
        <w:rPr>
          <w:iCs/>
          <w:i/>
        </w:rPr>
        <w:t xml:space="preserve">Next step</w:t>
      </w:r>
      <w:r>
        <w:t xml:space="preserve"> </w:t>
      </w:r>
      <w:r>
        <w:t xml:space="preserve">sentence must never be truncated with an ellipsis.</w:t>
      </w:r>
    </w:p>
    <w:p>
      <w:pPr>
        <w:numPr>
          <w:ilvl w:val="0"/>
          <w:numId w:val="1001"/>
        </w:numPr>
        <w:pStyle w:val="Compact"/>
      </w:pPr>
      <w:r>
        <w:t xml:space="preserve">Each gauge has</w:t>
      </w:r>
      <w:r>
        <w:t xml:space="preserve"> </w:t>
      </w:r>
      <w:r>
        <w:rPr>
          <w:rStyle w:val="VerbatimChar"/>
        </w:rPr>
        <w:t xml:space="preserve">role="meter"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aria-valuenow</w:t>
      </w:r>
      <w:r>
        <w:t xml:space="preserve"> </w:t>
      </w:r>
      <w:r>
        <w:t xml:space="preserve">and a full text label.</w:t>
      </w:r>
    </w:p>
    <w:bookmarkEnd w:id="30"/>
    <w:bookmarkStart w:id="31" w:name="X1eac4ebe82c6da8aa74d16d08bf85a2f3190a4f"/>
    <w:p>
      <w:pPr>
        <w:pStyle w:val="Heading2"/>
      </w:pPr>
      <w:r>
        <w:t xml:space="preserve">9. Open questions</w:t>
      </w:r>
    </w:p>
    <w:tbl>
      <w:tblPr>
        <w:tblStyle w:val="Table"/>
        <w:tblLook w:firstRow="1" w:lastRow="0" w:firstColumn="0" w:lastColumn="0" w:noHBand="0" w:noVBand="0" w:val="0020"/>
        <w:jc w:val="start"/>
        <w:tblBorders>
          <w:top w:val="single" w:sz="4" w:color="C9CED6"/>
          <w:left w:val="single" w:sz="4" w:color="C9CED6"/>
          <w:bottom w:val="single" w:sz="4" w:color="C9CED6"/>
          <w:right w:val="single" w:sz="4" w:color="C9CED6"/>
          <w:insideH w:val="single" w:sz="4" w:color="C9CED6"/>
          <w:insideV w:val="single" w:sz="4" w:color="C9CED6"/>
        </w:tblBorders>
        <w:tblW w:w="5000" w:type="pct"/>
      </w:tblPr>
      <w:tblGrid>
        <w:gridCol w:w="2465"/>
        <w:gridCol w:w="2465"/>
        <w:gridCol w:w="2465"/>
        <w:gridCol w:w="2465"/>
      </w:tblGrid>
      <w:tr>
        <w:trPr>
          <w:tblHeader w:val="true"/>
        </w:trPr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#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Question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Blocking?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Status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[NEEDS CLARIFICATION: weights of the five gauges in the overall score per segment — VFDA to approve before they are written to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segment_requirements</w:t>
            </w:r>
            <w:r>
              <w:rPr>
                <w:sz w:val="17"/>
              </w:rPr>
              <w:t xml:space="preserve">]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Open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[NEEDS CLARIFICATION: the 7-day buffer before the first shooting day is a proposed figure — can users change it themselves]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Open</w:t>
            </w:r>
          </w:p>
        </w:tc>
      </w:tr>
    </w:tbl>
    <w:bookmarkEnd w:id="31"/>
    <w:bookmarkStart w:id="32" w:name="completion-checklist"/>
    <w:p>
      <w:pPr>
        <w:pStyle w:val="Heading2"/>
      </w:pPr>
      <w:r>
        <w:t xml:space="preserve">Completion checklist</w:t>
      </w:r>
    </w:p>
    <w:p>
      <w:pPr>
        <w:numPr>
          <w:ilvl w:val="0"/>
          <w:numId w:val="1002"/>
        </w:numPr>
        <w:pStyle w:val="Compact"/>
      </w:pPr>
      <w:r>
        <w:t xml:space="preserve">☒ The mockup is a separate cropped image file, named with the Screen ID (</w:t>
      </w:r>
      <w:r>
        <w:rPr>
          <w:rStyle w:val="VerbatimChar"/>
        </w:rPr>
        <w:t xml:space="preserve">img/SC-12.png</w:t>
      </w:r>
      <w:r>
        <w:t xml:space="preserve">).</w:t>
      </w:r>
    </w:p>
    <w:p>
      <w:pPr>
        <w:numPr>
          <w:ilvl w:val="0"/>
          <w:numId w:val="1002"/>
        </w:numPr>
        <w:pStyle w:val="Compact"/>
      </w:pPr>
      <w:r>
        <w:t xml:space="preserve">☒ Every visible element in the mockup appears in the element inventory — machine-checked: badge numbers on the image = row numbers in section 3.</w:t>
      </w:r>
    </w:p>
    <w:p>
      <w:pPr>
        <w:numPr>
          <w:ilvl w:val="0"/>
          <w:numId w:val="1002"/>
        </w:numPr>
        <w:pStyle w:val="Compact"/>
      </w:pPr>
      <w:r>
        <w:t xml:space="preserve">☒ Every input element has a validation rule or an explicit "—".</w:t>
      </w:r>
    </w:p>
    <w:p>
      <w:pPr>
        <w:numPr>
          <w:ilvl w:val="0"/>
          <w:numId w:val="1002"/>
        </w:numPr>
        <w:pStyle w:val="Compact"/>
      </w:pPr>
      <w:r>
        <w:t xml:space="preserve">☒ All five states are filled in, or marked "Not applicable" with a reason.</w:t>
      </w:r>
    </w:p>
    <w:p>
      <w:pPr>
        <w:numPr>
          <w:ilvl w:val="0"/>
          <w:numId w:val="1002"/>
        </w:numPr>
        <w:pStyle w:val="Compact"/>
      </w:pPr>
      <w:r>
        <w:t xml:space="preserve">☒ Every navigation target is a Screen ID that exists in</w:t>
      </w:r>
      <w:r>
        <w:t xml:space="preserve"> </w:t>
      </w:r>
      <w:r>
        <w:rPr>
          <w:rStyle w:val="VerbatimChar"/>
        </w:rPr>
        <w:t xml:space="preserve">docs/screen-list.md</w:t>
      </w:r>
      <w:r>
        <w:t xml:space="preserve"> </w:t>
      </w:r>
      <w:r>
        <w:t xml:space="preserve">— machine-checked.</w:t>
      </w:r>
    </w:p>
    <w:p>
      <w:pPr>
        <w:numPr>
          <w:ilvl w:val="0"/>
          <w:numId w:val="1002"/>
        </w:numPr>
        <w:pStyle w:val="Compact"/>
      </w:pPr>
      <w:r>
        <w:t xml:space="preserve">☒ Every element that displays data names the field it displays, matching</w:t>
      </w:r>
      <w:r>
        <w:t xml:space="preserve"> </w:t>
      </w:r>
      <w:r>
        <w:rPr>
          <w:rStyle w:val="VerbatimChar"/>
        </w:rPr>
        <w:t xml:space="preserve">docs/spec/spec-M0.md</w:t>
      </w:r>
      <w:r>
        <w:t xml:space="preserve"> </w:t>
      </w:r>
      <w:r>
        <w:t xml:space="preserve">section 5.1.</w:t>
      </w:r>
    </w:p>
    <w:p>
      <w:pPr>
        <w:numPr>
          <w:ilvl w:val="0"/>
          <w:numId w:val="1002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Checked by a person:</w:t>
      </w:r>
      <w:r>
        <w:t xml:space="preserve"> </w:t>
      </w:r>
      <w:r>
        <w:rPr>
          <w:iCs/>
          <w:i/>
        </w:rPr>
        <w:t xml:space="preserve">(not signed — a Group C member compares the image with the tables and signs here)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Cs/>
          <w:i/>
        </w:rPr>
        <w:t xml:space="preserve">DBIZ3 Session 4 · Group C · CINEMATCH. Built on the DBIZ2 Screen Design (Screen List and Screen Layout).</w:t>
      </w:r>
    </w:p>
    <w:bookmarkEnd w:id="32"/>
    <w:bookmarkEnd w:id="33"/>
    <w:sectPr>
      <w:pgMar w:bottom="1020" w:left="1020" w:right="1020" w:top="10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Calibri" w:eastAsia="Calibri" w:hAnsi="Calibri"/>
      <w:sz w:val="20"/>
    </w:rPr>
  </w:style>
  <w:style w:styleId="BodyText" w:type="paragraph">
    <w:name w:val="Body Text"/>
    <w:basedOn w:val="Normal"/>
    <w:link w:val="BodyTextChar"/>
    <w:pPr>
      <w:spacing w:after="180" w:before="180"/>
    </w:pPr>
    <w:qFormat/>
    <w:rPr>
      <w:rFonts w:ascii="Calibri" w:eastAsia="Calibri" w:hAnsi="Calibri"/>
      <w:sz w:val="20"/>
    </w:rPr>
  </w:style>
  <w:style w:customStyle="1" w:styleId="FirstParagraph" w:type="paragraph">
    <w:name w:val="First Paragraph"/>
    <w:basedOn w:val="BodyText"/>
    <w:next w:val="BodyText"/>
    <w:qFormat/>
    <w:rPr>
      <w:rFonts w:ascii="Calibri" w:eastAsia="Calibri" w:hAnsi="Calibri"/>
      <w:sz w:val="20"/>
    </w:rPr>
  </w:style>
  <w:style w:customStyle="1" w:styleId="Compact" w:type="paragraph">
    <w:name w:val="Compact"/>
    <w:basedOn w:val="BodyText"/>
    <w:qFormat/>
    <w:pPr>
      <w:spacing w:after="36" w:before="36"/>
    </w:pPr>
    <w:rPr>
      <w:rFonts w:ascii="Calibri" w:eastAsia="Calibri" w:hAnsi="Calibri"/>
      <w:sz w:val="20"/>
    </w:r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="Calibri" w:asciiTheme="majorHAnsi" w:cstheme="majorBidi" w:eastAsia="Calibri" w:eastAsiaTheme="majorEastAsia" w:hAnsi="Calibri" w:hAnsiTheme="majorHAnsi"/>
      <w:b/>
      <w:bCs/>
      <w:color w:val="1F2A5C"/>
      <w:sz w:val="40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="Calibri" w:asciiTheme="majorHAnsi" w:cstheme="majorBidi" w:eastAsia="Calibri" w:eastAsiaTheme="majorEastAsia" w:hAnsi="Calibri" w:hAnsiTheme="majorHAnsi"/>
      <w:b/>
      <w:bCs/>
      <w:color w:val="1F2A5C"/>
      <w:sz w:val="30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="Calibri" w:asciiTheme="majorHAnsi" w:cstheme="majorBidi" w:eastAsia="Calibri" w:eastAsiaTheme="majorEastAsia" w:hAnsi="Calibri" w:hAnsiTheme="majorHAnsi"/>
      <w:b/>
      <w:bCs/>
      <w:color w:val="1F2A5C"/>
      <w:sz w:val="25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="Calibri" w:asciiTheme="majorHAnsi" w:cstheme="majorBidi" w:eastAsia="Calibri" w:eastAsiaTheme="majorEastAsia" w:hAnsi="Calibri" w:hAnsiTheme="majorHAnsi"/>
      <w:b/>
      <w:bCs/>
      <w:color w:val="1F5F8B"/>
      <w:sz w:val="22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  <w:rPr>
      <w:rFonts w:ascii="Calibri" w:eastAsia="Calibri" w:hAnsi="Calibri"/>
      <w:i/>
      <w:color w:val="5B626C"/>
      <w:sz w:val="18"/>
    </w:r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eastAsia="Consolas" w:hAnsi="Consolas"/>
      <w:sz w:val="16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21" Type="http://schemas.openxmlformats.org/officeDocument/2006/relationships/image" Target="media/rId2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2026-09-30T04:16:15Z</dcterms:created>
  <dcterms:modified xsi:type="dcterms:W3CDTF">2026-09-30T04:16:15Z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