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42-privacy-policy"/>
    <w:p>
      <w:pPr>
        <w:pStyle w:val="Heading1"/>
      </w:pPr>
      <w:r>
        <w:t xml:space="preserve">Screen Spec: SC-42 Privacy policy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img/SC-42.png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SYS, item #25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Bilingual, consent recorded.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30/09/2026. The policy text in the mockup is a short placeholder, marked as a draft for review by the VFDA Legal Board.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Anyone clicks</w:t>
      </w:r>
      <w:r>
        <w:t xml:space="preserve"> </w:t>
      </w:r>
      <w:r>
        <w:rPr>
          <w:iCs/>
          <w:i/>
        </w:rPr>
        <w:t xml:space="preserve">Privacy policy</w:t>
      </w:r>
      <w:r>
        <w:t xml:space="preserve"> </w:t>
      </w:r>
      <w:r>
        <w:t xml:space="preserve">in the page footer, in the consent line of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, or in</w:t>
      </w:r>
      <w:r>
        <w:t xml:space="preserve"> </w:t>
      </w:r>
      <w:r>
        <w:rPr>
          <w:iCs/>
          <w:i/>
        </w:rPr>
        <w:t xml:space="preserve">Documents you accepted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reader goes back, opens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 </w:t>
      </w:r>
      <w:r>
        <w:t xml:space="preserve">to create an account,</w:t>
      </w:r>
      <w:r>
        <w:t xml:space="preserve"> </w:t>
      </w:r>
      <w:r>
        <w:rPr>
          <w:rStyle w:val="VerbatimChar"/>
        </w:rPr>
        <w:t xml:space="preserve">SC-08</w:t>
      </w:r>
      <w:r>
        <w:t xml:space="preserve"> </w:t>
      </w:r>
      <w:r>
        <w:t xml:space="preserve">to delete an account, or</w:t>
      </w:r>
      <w:r>
        <w:t xml:space="preserve"> </w:t>
      </w:r>
      <w:r>
        <w:rPr>
          <w:rStyle w:val="VerbatimChar"/>
        </w:rPr>
        <w:t xml:space="preserve">SC-43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687207"/>
            <wp:effectExtent b="0" l="0" r="0" t="0"/>
            <wp:docPr descr="SC-42" title="" id="22" name="Picture"/>
            <a:graphic>
              <a:graphicData uri="http://schemas.openxmlformats.org/drawingml/2006/picture">
                <pic:pic>
                  <pic:nvPicPr>
                    <pic:cNvPr descr="img/SC-4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logged out or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draft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banner shown while the version is a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and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version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value; date of the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≤ 20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switch VI /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vi /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section headings of the 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Policy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policy text of the current version, per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languages must exist before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Data stored without personal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text of the 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Deleting your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text of the 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Your consent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 in: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acceptance timestamp; guest: explanation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 version in the user's language, table of contents on the left, draft banner while the Legal Board has not approved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the page is static text; publishing requires both language versions.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the page is rendered on the server with its text; switching language reloads it in place.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Requested earlier version not found: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This version does not exist — showing the current version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?version=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 in: the consent box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 accepted version 2026-09-draft on 18/09/2026 at 10:42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Signed-in user with a consent record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Shows the same version in the other language, keeps the scroll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 of contents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Scrolls to the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Earlier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Lists past versions with dates; opens one read-only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My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 in: opens the account page; guest: log in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an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Footer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Terms of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is stored with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document version and timestamp</w:t>
            </w:r>
            <w:r>
              <w:rPr>
                <w:sz w:val="17"/>
              </w:rPr>
              <w:t xml:space="preserve">; the page always shows which version is current.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Pre-check texts and confirmed scene searches are described 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stored without personal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never used to train a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BR-009; M2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deletion is described exactly as decided: deactivated at once, anonymised within 30 days, records kept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text is shown in Vietnamese and English; a version is published only when both languages exist.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FR-005;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text is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approved by the VFDA Legal Board; the draft banner stays until then.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decision 30/09/2026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spec-SYS.md (F-SYS-01)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Policy accepted at sign-up; version recorded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spec-SYS.md (F-SYS-05)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the policy in Vietnamese or English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table of contents becomes a collapsible</w:t>
      </w:r>
      <w:r>
        <w:t xml:space="preserve"> </w:t>
      </w:r>
      <w:r>
        <w:rPr>
          <w:iCs/>
          <w:i/>
        </w:rPr>
        <w:t xml:space="preserve">On this page</w:t>
      </w:r>
      <w:r>
        <w:t xml:space="preserve"> </w:t>
      </w:r>
      <w:r>
        <w:t xml:space="preserve">menu above the text.</w:t>
      </w:r>
    </w:p>
    <w:p>
      <w:pPr>
        <w:numPr>
          <w:ilvl w:val="0"/>
          <w:numId w:val="1002"/>
        </w:numPr>
        <w:pStyle w:val="Compact"/>
      </w:pPr>
      <w:r>
        <w:t xml:space="preserve">Headings use a proper outline (</w:t>
      </w:r>
      <w:r>
        <w:rPr>
          <w:rStyle w:val="VerbatimChar"/>
        </w:rPr>
        <w:t xml:space="preserve">h1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h3</w:t>
      </w:r>
      <w:r>
        <w:t xml:space="preserve">) so screen readers can jump between sections.</w:t>
      </w:r>
    </w:p>
    <w:p>
      <w:pPr>
        <w:numPr>
          <w:ilvl w:val="0"/>
          <w:numId w:val="1002"/>
        </w:numPr>
        <w:pStyle w:val="Compact"/>
      </w:pPr>
      <w:r>
        <w:t xml:space="preserve">Line length is kept under about 80 characters for readability.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are pre-check texts kept, and may they be used to improve the rule base? (same question as spec-M2.md question 6)]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one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cover both the privacy policy and the terms of use, or does each document need its own version and acceptance record?]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img/SC-42.png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