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pec-index-cinematch"/>
    <w:p>
      <w:pPr>
        <w:pStyle w:val="Heading1"/>
      </w:pPr>
      <w:r>
        <w:t xml:space="preserve">Spec Index: CINEMATCH</w:t>
      </w:r>
    </w:p>
    <w:p>
      <w:pPr>
        <w:pStyle w:val="FirstParagraph"/>
      </w:pPr>
      <w:r>
        <w:t xml:space="preserve">CINEMATCH has one Spec Document</w:t>
      </w:r>
      <w:r>
        <w:t xml:space="preserve"> </w:t>
      </w:r>
      <w:r>
        <w:rPr>
          <w:bCs/>
          <w:b/>
        </w:rPr>
        <w:t xml:space="preserve">per module</w:t>
      </w:r>
      <w:r>
        <w:t xml:space="preserve">, not one single file. This file is the entry point that the Session 6 setup guide 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name as</w:t>
      </w:r>
      <w:r>
        <w:t xml:space="preserve"> </w:t>
      </w:r>
      <w:r>
        <w:rPr>
          <w:rStyle w:val="VerbatimChar"/>
        </w:rPr>
        <w:t xml:space="preserve">docs/spec/spec-document.md</w:t>
      </w:r>
      <w:r>
        <w:t xml:space="preserve">. It lists the nine module files, shows where each section of the Session 4 template lives, and gathers in one place the two things a reader most often needs across modules: the entities (section 5.1) and the business rules (section 6).</w:t>
      </w:r>
    </w:p>
    <w:p>
      <w:pPr>
        <w:pStyle w:val="BodyText"/>
      </w:pPr>
      <w:r>
        <w:t xml:space="preserve">It adds no requirement of its own. If this index and a module file ever disagree,</w:t>
      </w:r>
      <w:r>
        <w:t xml:space="preserve"> </w:t>
      </w:r>
      <w:r>
        <w:rPr>
          <w:bCs/>
          <w:b/>
        </w:rPr>
        <w:t xml:space="preserve">the module file wins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DBIZ3 · Group C · Session 4 Spec Documents, indexed for the Session 7 midterm · 30/09/2026</w:t>
      </w:r>
    </w:p>
    <w:bookmarkStart w:id="29" w:name="Xc4df6595362482d03cb3e994ac318ebf453e774"/>
    <w:p>
      <w:pPr>
        <w:pStyle w:val="Heading2"/>
      </w:pPr>
      <w:r>
        <w:t xml:space="preserve">1. The nine module Spec Documents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Module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Scope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Functional requirements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Business rules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stories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Screens (§7)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Open questions (§10)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spec-SYS.md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Platform foundation — accounts, roles, bilingual UI, notifications,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SC-04, SC-06, SC-07, SC-08, SC-09, SC-42, SC-43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spec-M1.md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SC-01, SC-02, SC-13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spec-M0.md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workspace and readiness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SC-10, SC-12, SC-13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spec-M2.md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pre-check and Article 13 dossier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SC-03, SC-27, SC-29, SC-30, SC-31, SC-37, SC-48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spec-M3.md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SC-14, SC-15, SC-16, SC-17, SC-18, SC-35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spec-M4.md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service 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SC-19, SC-20, SC-21, SC-22, SC-23, SC-25, SC-36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spec-M5.md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Dossier kit, bilingual drafts and countdown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SC-26, SC-28, SC-29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spec-M7.md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support — provincial notices and consultations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SC-32, SC-33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spec-M10.md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back office — moderation, demand index, quarterly report,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SC-34, SC-38, SC-39, SC-40, SC-41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(0 blocking)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41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45 (0 blocking)</w:t>
            </w:r>
          </w:p>
        </w:tc>
      </w:tr>
    </w:tbl>
    <w:p>
      <w:pPr>
        <w:pStyle w:val="BodyText"/>
      </w:pPr>
      <w:r>
        <w:t xml:space="preserve">Modules</w:t>
      </w:r>
      <w:r>
        <w:t xml:space="preserve"> </w:t>
      </w:r>
      <w:r>
        <w:rPr>
          <w:rStyle w:val="VerbatimChar"/>
        </w:rPr>
        <w:t xml:space="preserve">M6</w:t>
      </w:r>
      <w:r>
        <w:t xml:space="preserve">,</w:t>
      </w:r>
      <w:r>
        <w:t xml:space="preserve"> </w:t>
      </w:r>
      <w:r>
        <w:rPr>
          <w:rStyle w:val="VerbatimChar"/>
        </w:rPr>
        <w:t xml:space="preserve">M8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M9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Won't</w:t>
      </w:r>
      <w:r>
        <w:t xml:space="preserve"> </w:t>
      </w:r>
      <w:r>
        <w:t xml:space="preserve">for this release (see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section 4.4) and have no Spec Document.</w:t>
      </w:r>
    </w:p>
    <w:bookmarkEnd w:id="29"/>
    <w:bookmarkStart w:id="30" w:name="X2fcffff5d642e8073d8a78591cc8bc1e63aef74"/>
    <w:p>
      <w:pPr>
        <w:pStyle w:val="Heading2"/>
      </w:pPr>
      <w:r>
        <w:t xml:space="preserve">2. Where each template section lives</w:t>
      </w:r>
    </w:p>
    <w:p>
      <w:pPr>
        <w:pStyle w:val="FirstParagraph"/>
      </w:pPr>
      <w:r>
        <w:t xml:space="preserve">Every module file follows the same Session 4 template, so the same section number means the same thing in every module file. (This index uses its own numbering: its section 5.1 lists entities and its section 6 lists business rules.)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Section in a module 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Purpose and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 scenarios and acceptance criteria (</w:t>
            </w:r>
            <w:r>
              <w:rPr>
                <w:rStyle w:val="VerbatimChar"/>
                <w:sz w:val="17"/>
              </w:rPr>
              <w:t xml:space="preserve">US-n</w:t>
            </w:r>
            <w:r>
              <w:rPr>
                <w:sz w:val="17"/>
              </w:rPr>
              <w:t xml:space="preserve">, Given/When/Then)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Flows: usage flow and sequence diagrams (Mermaid)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Functional requirements (</w:t>
            </w:r>
            <w:r>
              <w:rPr>
                <w:rStyle w:val="VerbatimChar"/>
                <w:sz w:val="17"/>
              </w:rPr>
              <w:t xml:space="preserve">FR-nnn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DBIZ2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F-&lt;MODULE&gt;-nn</w:t>
            </w:r>
            <w:r>
              <w:rPr>
                <w:sz w:val="17"/>
              </w:rPr>
              <w:t xml:space="preserve">); §5.1 Input / Output contract; §5.2 Business rules (</w:t>
            </w:r>
            <w:r>
              <w:rPr>
                <w:rStyle w:val="VerbatimChar"/>
                <w:sz w:val="17"/>
              </w:rPr>
              <w:t xml:space="preserve">BR-nnn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 entities of the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Screens involved (Screen Specs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docs/screens/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criteria (</w:t>
            </w:r>
            <w:r>
              <w:rPr>
                <w:rStyle w:val="VerbatimChar"/>
                <w:sz w:val="17"/>
              </w:rPr>
              <w:t xml:space="preserve">SC-nnn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Assumptions, including the test values used until the Client confirms a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questions 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[NEEDS CLARIFICATION: …]</w:t>
            </w:r>
            <w:r>
              <w:rPr>
                <w:sz w:val="17"/>
              </w:rPr>
              <w:t xml:space="preserve">, each with an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Traceability to DBIZ2, with §11.1 Reconciliation</w:t>
            </w:r>
          </w:p>
        </w:tc>
      </w:tr>
    </w:tbl>
    <w:p>
      <w:pPr>
        <w:pStyle w:val="BodyText"/>
      </w:pPr>
      <w:r>
        <w:t xml:space="preserve">Functional requirement and business rule IDs restart in every file, so always quote them with the module: “</w:t>
      </w:r>
      <w:r>
        <w:rPr>
          <w:rStyle w:val="VerbatimChar"/>
        </w:rPr>
        <w:t xml:space="preserve">FR-008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spec-M3.md</w:t>
      </w:r>
      <w:r>
        <w:t xml:space="preserve">”, “M3 BR-004”.</w:t>
      </w:r>
    </w:p>
    <w:bookmarkEnd w:id="30"/>
    <w:bookmarkStart w:id="31" w:name="X23cb624a365708f98e237b46ab4fa7587ce0824"/>
    <w:p>
      <w:pPr>
        <w:pStyle w:val="Heading2"/>
      </w:pPr>
      <w:r>
        <w:t xml:space="preserve">3. Related documents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Document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 requirements (MVP Scope v3)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docs/prd.md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MVP scope, Session 1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docs/mvp-scope.md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(119 subfunctions, 104 in the MVP)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docs/function-list.md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(48 screens)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docs/screen-list.md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Architecture diagrams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Specs and mockups (41 screens)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model and seed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Word copies of the Spec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docs/word/specs/</w:t>
            </w:r>
          </w:p>
        </w:tc>
      </w:tr>
    </w:tbl>
    <w:bookmarkEnd w:id="31"/>
    <w:bookmarkStart w:id="32" w:name="X8cd2ce5be1f3922d27f189461f7e4342b142f25"/>
    <w:p>
      <w:pPr>
        <w:pStyle w:val="Heading2"/>
      </w:pPr>
      <w:r>
        <w:t xml:space="preserve">4. Reading order</w:t>
      </w:r>
    </w:p>
    <w:p>
      <w:pPr>
        <w:pStyle w:val="FirstParagraph"/>
      </w:pPr>
      <w:r>
        <w:t xml:space="preserve">Start with the module you are working on: its §3 says what the user must be able to do, §5 says what the system must do, §6 and</w:t>
      </w:r>
      <w:r>
        <w:t xml:space="preserve"> </w:t>
      </w:r>
      <w:r>
        <w:rPr>
          <w:rStyle w:val="VerbatimChar"/>
        </w:rPr>
        <w:t xml:space="preserve">data/04-data-model.md</w:t>
      </w:r>
      <w:r>
        <w:t xml:space="preserve"> </w:t>
      </w:r>
      <w:r>
        <w:t xml:space="preserve">say what is stored, §7 names the screens, §10 says what is still open.</w:t>
      </w:r>
    </w:p>
    <w:bookmarkEnd w:id="32"/>
    <w:bookmarkStart w:id="34" w:name="Xd84437a593cc03620c7adcbf68bf71b2cdef976"/>
    <w:p>
      <w:pPr>
        <w:pStyle w:val="Heading2"/>
      </w:pPr>
      <w:r>
        <w:t xml:space="preserve">5. Functional requirements and data</w:t>
      </w:r>
    </w:p>
    <w:p>
      <w:pPr>
        <w:pStyle w:val="FirstParagraph"/>
      </w:pPr>
      <w:r>
        <w:t xml:space="preserve">The 104 functional requirements are in §5 of the module files (table in section 1 above). The data they read and write is summarised here.</w:t>
      </w:r>
    </w:p>
    <w:bookmarkStart w:id="33" w:name="Xf7999d98a6b9ca74da13b0dac0459c52c0479f3"/>
    <w:p>
      <w:pPr>
        <w:pStyle w:val="Heading3"/>
      </w:pPr>
      <w:r>
        <w:t xml:space="preserve">5.1 Entities</w:t>
      </w:r>
    </w:p>
    <w:p>
      <w:pPr>
        <w:pStyle w:val="FirstParagraph"/>
      </w:pPr>
      <w:r>
        <w:t xml:space="preserve">The entities of CINEMATCH, with the canonical names used by the Session 5 data model (</w:t>
      </w:r>
      <w:r>
        <w:rPr>
          <w:rStyle w:val="VerbatimChar"/>
        </w:rPr>
        <w:t xml:space="preserve">data/01-entity-dictionary.md</w:t>
      </w:r>
      <w:r>
        <w:t xml:space="preserve">). 51 entities: 46 are stored as tables (one CSV each in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) and 5 are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— computed on read, never stored.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person's sign-in identity on CINEMATCH, carrying exactly one of six roles.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personal details shown for an account: name, crew role and preferred language.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production company a producer signs up on behalf of.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record that an account accepted a given version of the terms at a given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in-app message addressed to one account about one event.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transactional email handed to the email provider, with its delivery outcome.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row of the VFDA-approved decision table that maps router answers to segment A, B or 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item a segment needs or does not need, used to configure the journey and the gauges.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segment given to a visitor or project from their answers, including any manual override.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film or content production a producer is preparing to shoot in Vietnam.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person's access to one project, with view or edit permission.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province a project plans to shoot 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five gauge scores, overall readiness and next steps of a project, computed on read.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overall readiness of a project as recorded on one night.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content or dossier rule written and signed by the VFDA Legal Board, with its legal citation.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RULE_SET_VERSION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numbered edition of the active rule set, created each time a rule is activated.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200-word content pre-check, kept as a demand data point.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passage of a pre-checked summary that matches an approved rule.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content check of a project against the active rule 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COMPLIANCE_FINDING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finding of a project content check that a member can mark as reviewed.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Article 13 completeness result of a project, computed from its document slots.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LICENSING_TIMELINE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safe and latest submission dates of a project, computed from its first shooting day.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filming location in Vietnam described and published by VFDA staff.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photo of a location with its source and usage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local authority office and person to contact about filming at a location, verified by VFDA.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of the 34 provincial-level units after the 2025 reorganisation.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scene description a user typed and the attributes extracted from it, stored without personal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location a project has kept as its primary or backup choice.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province's readiness index computed from platform data, with sample sizes.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Vietnamese service company listed in the partner directory.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ORGANISATION_MEMBER_LAYER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part of a partner profile visible to signed-in members.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ORGANISATION_PRIVATE_LAYER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part of a partner profile visible only after an accepted request and NDA.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partner's application for the VFDA Verified badge and VFDA's decision on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producer's request to a partner to work on one project, followed to confirmation.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message written inside a collaboration request, including every response note; never edited once 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party's acceptance of a given NDA version for one collaboration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record that one person viewed one shared document at one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kind of dossier document, with its legal basis and template.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place for one document type in one project, with its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uploaded file version in a project's document slot.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generated English–Vietnamese draft of one document of a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aligned source/Vietnamese paragraph pair of a bilingual draft, with its proofreading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project's agreed translation of one term, applied to every later draft of that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public holiday period shown on the licensing timeline, official or expected.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member's statement that a project is interested in a location.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notice VFDA sends a province about a project's interest, and the province's reply.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member's booked consultation slot with a VFDA officer.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partner's published content (profile text or location photo) waiting for, or carrying, VFDA staff's approve-or-hide decision.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permanent record of one administrative action: who did what to which record, and when.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six demand indicators of a reporting period, each with its sample size, computed from platform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quarterly demand report with its bilingual commentary, reread by a staff member before it is exported.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</w:tr>
    </w:tbl>
    <w:p>
      <w:pPr>
        <w:pStyle w:val="BodyText"/>
      </w:pPr>
      <w:r>
        <w:t xml:space="preserve">Columns, keys and relationships:</w:t>
      </w:r>
      <w:r>
        <w:t xml:space="preserve"> </w:t>
      </w:r>
      <w:r>
        <w:rPr>
          <w:rStyle w:val="VerbatimChar"/>
        </w:rPr>
        <w:t xml:space="preserve">data/04-data-model.md</w:t>
      </w:r>
      <w:r>
        <w:t xml:space="preserve">. Diagram: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bookmarkEnd w:id="33"/>
    <w:bookmarkEnd w:id="34"/>
    <w:bookmarkStart w:id="35" w:name="X5ad0a3b2bf2e4a95ece290213d3b3dc688094d9"/>
    <w:p>
      <w:pPr>
        <w:pStyle w:val="Heading2"/>
      </w:pPr>
      <w:r>
        <w:t xml:space="preserve">6. Business rules</w:t>
      </w:r>
    </w:p>
    <w:p>
      <w:pPr>
        <w:pStyle w:val="FirstParagraph"/>
      </w:pPr>
      <w:r>
        <w:t xml:space="preserve">One principle runs through the rules of every module:</w:t>
      </w:r>
      <w:r>
        <w:t xml:space="preserve"> </w:t>
      </w:r>
      <w:r>
        <w:rPr>
          <w:bCs/>
          <w:b/>
        </w:rPr>
        <w:t xml:space="preserve">CINEMATCH prepares and advises, but a person decides.</w:t>
      </w:r>
      <w:r>
        <w:t xml:space="preserve"> </w:t>
      </w:r>
      <w:r>
        <w:t xml:space="preserve">A language model never ranks, approves or submits anything (M2 BR-001, BR-003, BR-004; M3 BR-001; M5 BR-001; M10 BR-004), sensitive data is protected in the database, not in the interface (SYS BR-001, M3 BR-005, M4 BR-001), and nothing is ever hard-deleted (SYS BR-005, M0 BR-005, M2 BR-008, M3 BR-008, M4 BR-008, M10 BR-005).</w:t>
      </w:r>
    </w:p>
    <w:p>
      <w:pPr>
        <w:pStyle w:val="BodyText"/>
      </w:pPr>
      <w:r>
        <w:t xml:space="preserve">All business rules, as written in §5.2 of each module file: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Module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Sensitive data (authority contacts, partner private layer, project documents) is filtered by Row Level Security in the database. Hiding it in the interface does not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new account is always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member</w:t>
            </w:r>
            <w:r>
              <w:rPr>
                <w:sz w:val="17"/>
              </w:rPr>
              <w:t xml:space="preserve">. The roles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granted only by an admin, and every grant is written to the audit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Acceptance of the terms is stored with the document version and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Passwords, password hashing and tokens are handled only by Supabase 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account is never hard-deleted. When its owner deletes it (SC-08), it is deactivated at once, loses all access, and its name, email and phone are replaced by anonymous values within 30 days; projects, uploads, access logs and approvals it created stay and are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segment is decided by a deterministic decision table (</w:t>
            </w:r>
            <w:r>
              <w:rPr>
                <w:rStyle w:val="VerbatimChar"/>
                <w:sz w:val="17"/>
              </w:rPr>
              <w:t xml:space="preserve">segment_rules</w:t>
            </w:r>
            <w:r>
              <w:rPr>
                <w:sz w:val="17"/>
              </w:rPr>
              <w:t xml:space="preserve">) approved by VFDA; the same answers always give the same segment.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 4 never changes the segment; it only pre-selects service groups in M4.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manual override is always allowed and always recorded.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Changing segment never deletes documents or answers; items that no longer apply are hidden, not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Scores are computed only in the database 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v_project_readiness</w:t>
            </w:r>
            <w:r>
              <w:rPr>
                <w:sz w:val="17"/>
              </w:rPr>
              <w:t xml:space="preserve">; the interface never recomputes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Gauges shown depend on segment: segment C has no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Dossier &amp; permits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gauge;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Logistics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is shown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until phase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gauge always has one next step; when a gauge is complete its next step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Done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Weights per segment are read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segment_requirements</w:t>
            </w:r>
            <w:r>
              <w:rPr>
                <w:sz w:val="17"/>
              </w:rPr>
              <w:t xml:space="preserve">, never hard-coded.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 are archived, never deleted. An archived project (</w:t>
            </w:r>
            <w:r>
              <w:rPr>
                <w:rStyle w:val="VerbatimChar"/>
                <w:sz w:val="17"/>
              </w:rPr>
              <w:t xml:space="preserve">stage = archived</w:t>
            </w:r>
            <w:r>
              <w:rPr>
                <w:sz w:val="17"/>
              </w:rPr>
              <w:t xml:space="preserve">) is read-only for its members, leaves the project list, and keeps its documents, requests and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finding shown to a user cites a rule written and signed by the VFDA Legal Board; findings without a valid citation are dropped by code before display.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rule becomes active only when it has a citation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 approver; this is enforced by a database CHECK constraint.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words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accepted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legally compliant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never appear in results, including when nothing is found.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attention level is derived deterministically from the number and severity of verified findings, never from a model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dossier completeness check uses fixed rules, not a language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 deadline = first shooting day − buffer − 20 − 20 working days; latest deadline = first shooting day − buffer − 20 working days. Working days exclude Saturdays, Sundays and dates of type PUBLIC_HOLIDAY (Clarifications Q1).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check stores the rule-set version it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rules are retired, never deleted (</w:t>
            </w:r>
            <w:r>
              <w:rPr>
                <w:rStyle w:val="VerbatimChar"/>
                <w:sz w:val="17"/>
              </w:rPr>
              <w:t xml:space="preserve">status = retired</w:t>
            </w:r>
            <w:r>
              <w:rPr>
                <w:sz w:val="17"/>
              </w:rPr>
              <w:t xml:space="preserve">); a finding keeps showing the text of the rule version it cited.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language model only extracts attributes; ranking is done by a deterministic server-side scoring function. The model never names or ranks a 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result is shown only if its score is 40 or more and it has at least one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why it matches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a match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data yet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different; missing data never counts for or against a 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location cannot be published until its local authority contact is verified; contacts are re-verified every 12 months [NEEDS CLARIFICATION].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Authority contacts are returned only to signed-in users, enforced by Row Level Security.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 use the 34 provincial-level units after the 2025 reorganisation; old names are accepted in search and mapped to the new 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provincial index uses only data generated on the platform and always shows its sample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Locations are unpublished, never deleted (</w:t>
            </w:r>
            <w:r>
              <w:rPr>
                <w:rStyle w:val="VerbatimChar"/>
                <w:sz w:val="17"/>
              </w:rPr>
              <w:t xml:space="preserve">intake_status = unpublished</w:t>
            </w:r>
            <w:r>
              <w:rPr>
                <w:sz w:val="17"/>
              </w:rPr>
              <w:t xml:space="preserve">); shortlists and provincial notices that refer to an unpublished location keep it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confirmed scene search is stored as a location query without any personal data (description, attributes, month, and the project only when a member searches inside a project); it is used for the M10 demand index and never to train a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published location carries an availability set by VFDA staff: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survey_in_progress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(another crew is scouting it)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paused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(not receiving crews for now). A paused location stays published and visible with its label; availability is the sixth scoring criterion; every change is written to the audit log (M10 FR-008).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three visibility layers are three tables with separate Row Level Security policies, not hidden columns.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12 service groups are a fixed enum; organisations cannot invent groups.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Supplier accounts are created only by VFDA invitation in the first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VFDA Verified badge is valid for 12 months and states what was checked and what was not (quality and prices are not).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the producer can confirm a partnership; only the partner can accept or decline. Declined, withdrawn and confirmed are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Confirming a partnership does not by itself mark Article 13 component c as present; the signed service agreement must be uploaded.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access log entries are append-only.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Organisations are deactivated, never deleted (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); open collaboration requests to a deactivated organisation are closed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withdrawn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producer is notified; its document access log is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response note and every reply in a request thread is stored as a message of that request (</w:t>
            </w:r>
            <w:r>
              <w:rPr>
                <w:rStyle w:val="VerbatimChar"/>
                <w:sz w:val="17"/>
              </w:rPr>
              <w:t xml:space="preserve">collab_message</w:t>
            </w:r>
            <w:r>
              <w:rPr>
                <w:sz w:val="17"/>
              </w:rPr>
              <w:t xml:space="preserve">); messages cannot be edited after they are 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generated document is a draft: the PDF carries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— REQUIRES PROOFREADING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every page; CINEMATCH never submits anything.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component b counts as present only when every paragraph of the Vietnamese version has been proofread by a person.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item carries its basis: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Required by law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Commonly requested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Location-specific</w:t>
            </w:r>
            <w:r>
              <w:rPr>
                <w:sz w:val="17"/>
              </w:rPr>
              <w:t xml:space="preserve">; nothing is presented as mandatory without a legal basis.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document list is generated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plus shortlisted locations; it is never hard-coded.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countdown uses the same calculation as M2 (F-M2-17) and the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Glossary terms a project adds (SC-28) are stored with the project (</w:t>
            </w:r>
            <w:r>
              <w:rPr>
                <w:rStyle w:val="VerbatimChar"/>
                <w:sz w:val="17"/>
              </w:rPr>
              <w:t xml:space="preserve">project_glossary</w:t>
            </w:r>
            <w:r>
              <w:rPr>
                <w:sz w:val="17"/>
              </w:rPr>
              <w:t xml:space="preserve">) and applied to every later draft of that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never sends a notice. It drafts the notice; a VFDA staff member reviews it (SC-32); only the approved version can be downloaded, and the producer sends it to the recipient they choose (Clarifications Q1–Q3, 28/10/2026).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notice states that it does not replace the filming licence from the Ministry of Culture, Sports and Tourism.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province's reply is one of three final values; the free-text note is kept as entered.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Reply times feed the provincial readiness index (M3).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 the MVP, SC-33 is a consultation request, not a slot calendar: the member sends topic and preferred times, and VFDA staff reply with a proposed time by email (Clarifications Q5, 28/10/2026). A slot calendar is offered only after VFDA declares its staffed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published by partners (profile text, photos) is shown to the public only after VFDA staff approve it; until then the last approved version stays public.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Hiding content requires a written reason, which is sent to the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indicator shows the number of records it was computed from; below 5 records it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instead of a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quarterly report can be exported only after a named staff member has marked it reread; the draft commentary is never sent as written by the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records are append-only: no role, including admin, can update or delete them, and the admin action and its record are committed together or not at all.</w:t>
            </w:r>
          </w:p>
        </w:tc>
      </w:tr>
    </w:tbl>
    <w:bookmarkEnd w:id="35"/>
    <w:bookmarkEnd w:id="36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hyperlink" Target="spec-M0.md" TargetMode="External"/><Relationship Id="rId21" Type="http://schemas.openxmlformats.org/officeDocument/2006/relationships/hyperlink" Target="spec-M1.md" TargetMode="External"/><Relationship Id="rId28" Type="http://schemas.openxmlformats.org/officeDocument/2006/relationships/hyperlink" Target="spec-M10.md" TargetMode="External"/><Relationship Id="rId23" Type="http://schemas.openxmlformats.org/officeDocument/2006/relationships/hyperlink" Target="spec-M2.md" TargetMode="External"/><Relationship Id="rId24" Type="http://schemas.openxmlformats.org/officeDocument/2006/relationships/hyperlink" Target="spec-M3.md" TargetMode="External"/><Relationship Id="rId25" Type="http://schemas.openxmlformats.org/officeDocument/2006/relationships/hyperlink" Target="spec-M4.md" TargetMode="External"/><Relationship Id="rId26" Type="http://schemas.openxmlformats.org/officeDocument/2006/relationships/hyperlink" Target="spec-M5.md" TargetMode="External"/><Relationship Id="rId27" Type="http://schemas.openxmlformats.org/officeDocument/2006/relationships/hyperlink" Target="spec-M7.md" TargetMode="External"/><Relationship Id="rId20" Type="http://schemas.openxmlformats.org/officeDocument/2006/relationships/hyperlink" Target="spec-SYS.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spec-M0.md" TargetMode="External"/><Relationship Id="rId21" Type="http://schemas.openxmlformats.org/officeDocument/2006/relationships/hyperlink" Target="spec-M1.md" TargetMode="External"/><Relationship Id="rId28" Type="http://schemas.openxmlformats.org/officeDocument/2006/relationships/hyperlink" Target="spec-M10.md" TargetMode="External"/><Relationship Id="rId23" Type="http://schemas.openxmlformats.org/officeDocument/2006/relationships/hyperlink" Target="spec-M2.md" TargetMode="External"/><Relationship Id="rId24" Type="http://schemas.openxmlformats.org/officeDocument/2006/relationships/hyperlink" Target="spec-M3.md" TargetMode="External"/><Relationship Id="rId25" Type="http://schemas.openxmlformats.org/officeDocument/2006/relationships/hyperlink" Target="spec-M4.md" TargetMode="External"/><Relationship Id="rId26" Type="http://schemas.openxmlformats.org/officeDocument/2006/relationships/hyperlink" Target="spec-M5.md" TargetMode="External"/><Relationship Id="rId27" Type="http://schemas.openxmlformats.org/officeDocument/2006/relationships/hyperlink" Target="spec-M7.md" TargetMode="External"/><Relationship Id="rId20" Type="http://schemas.openxmlformats.org/officeDocument/2006/relationships/hyperlink" Target="spec-SY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2026-10-28T21:34:10Z</dcterms:created>
  <dcterms:modified xsi:type="dcterms:W3CDTF">2026-10-28T21:34:10Z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