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1-requirement-detail"/>
    <w:p>
      <w:pPr>
        <w:pStyle w:val="Heading1"/>
      </w:pPr>
      <w:r>
        <w:t xml:space="preserve">Screen Spec: SC-31 Requirement detail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Requirement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/requirements/[slug]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#29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Bilingual description with citation.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Spec added 30/09/2026.</w:t>
      </w:r>
      <w:r>
        <w:t xml:space="preserve"> </w:t>
      </w:r>
      <w:r>
        <w:rPr>
          <w:rStyle w:val="VerbatimChar"/>
        </w:rPr>
        <w:t xml:space="preserve">SC-31</w:t>
      </w:r>
      <w:r>
        <w:t xml:space="preserve"> </w:t>
      </w:r>
      <w:r>
        <w:t xml:space="preserve">was in Screen List v2.0 (Should) but had no mockup.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visitor opens a rule from</w:t>
      </w:r>
      <w:r>
        <w:t xml:space="preserve"> </w:t>
      </w:r>
      <w:r>
        <w:rPr>
          <w:rStyle w:val="VerbatimChar"/>
        </w:rPr>
        <w:t xml:space="preserve">SC-30</w:t>
      </w:r>
      <w:r>
        <w:t xml:space="preserve">, follows a rule code or citation from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, or opens a shared rule link.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visitor goes back to the library (</w:t>
      </w:r>
      <w:r>
        <w:rPr>
          <w:rStyle w:val="VerbatimChar"/>
        </w:rPr>
        <w:t xml:space="preserve">SC-30</w:t>
      </w:r>
      <w:r>
        <w:t xml:space="preserve">), opens a related rule (</w:t>
      </w:r>
      <w:r>
        <w:rPr>
          <w:rStyle w:val="VerbatimChar"/>
        </w:rPr>
        <w:t xml:space="preserve">SC-31</w:t>
      </w:r>
      <w:r>
        <w:t xml:space="preserve">), starts a pre-check (</w:t>
      </w:r>
      <w:r>
        <w:rPr>
          <w:rStyle w:val="VerbatimChar"/>
        </w:rPr>
        <w:t xml:space="preserve">SC-03</w:t>
      </w:r>
      <w:r>
        <w:t xml:space="preserve">) or books a VFDA consultation (</w:t>
      </w:r>
      <w:r>
        <w:rPr>
          <w:rStyle w:val="VerbatimChar"/>
        </w:rPr>
        <w:t xml:space="preserve">SC-33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317683"/>
            <wp:effectExtent b="0" l="0" r="0" t="0"/>
            <wp:docPr descr="SC-31" title="" id="22" name="Picture"/>
            <a:graphic>
              <a:graphicData uri="http://schemas.openxmlformats.org/drawingml/2006/picture">
                <pic:pic>
                  <pic:nvPicPr>
                    <pic:cNvPr descr="img/SC-3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selected; guest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title_vi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interface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code, topic and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severity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(notice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Needs attention</w:t>
            </w:r>
            <w:r>
              <w:rPr>
                <w:sz w:val="17"/>
              </w:rPr>
              <w:t xml:space="preserve">, action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Action required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values shown with readable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version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version in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 — 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 — Vietnamese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Points to consider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English and Vietnamese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guidance_vi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basis (citation)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never empty (M2 BR-002)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my 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Book a VFDA consultation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guests are asked to sign in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Related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other approved rules with the same or a nearby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rules only; max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 description and points to consider side by side, citation, version box and actions.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/requirements/[slug]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 slug, or a rule that is a draft: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This rule does not exist or is not public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link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SC-30</w:t>
            </w:r>
            <w:r>
              <w:rPr>
                <w:sz w:val="17"/>
              </w:rPr>
              <w:t xml:space="preserve">.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retired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rule opened from an old link shows its last text with a grey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Retired on … — no longer checked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no pre-check 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rule_slug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 found / not approved / retired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for the two language columns and the citation box.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the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load this rule — try again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Retry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read-only screen; no user action changes data 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Requirements library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Back to the library, filtered by the topic when the topic is clicked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my 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pre-check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Book a VFDA consultation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 opens booking; guest: sign in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Related rule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EN / 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the interface language; both language columns stay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public page per approved rule, always showing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both languages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citation.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FR-016 (F-M2-16)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rule without a citation cannot be active, so this page never shows a rule without a legal basis.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Retired rules are never deleted; an old link still opens and is clearly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version shown is the one in force; findings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SC-48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keep the version they cited, even after the rule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BR-007, M2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on this page is written by the VFDA Legal Board; the system never generates or rewrites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BR-001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 · spec-M2.md (F-M2-16)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page per rule with bilingual description and citation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English and Vietnamese stack (interface language first); the right-hand cards move below the citation.</w:t>
      </w:r>
    </w:p>
    <w:p>
      <w:pPr>
        <w:numPr>
          <w:ilvl w:val="0"/>
          <w:numId w:val="1002"/>
        </w:numPr>
        <w:pStyle w:val="Compact"/>
      </w:pPr>
      <w:r>
        <w:t xml:space="preserve">Each language block carries a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(</w:t>
      </w:r>
      <w:r>
        <w:rPr>
          <w:rStyle w:val="VerbatimChar"/>
        </w:rPr>
        <w:t xml:space="preserve">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</w:t>
      </w:r>
      <w:r>
        <w:t xml:space="preserve">) for screen readers.</w:t>
      </w:r>
    </w:p>
    <w:p>
      <w:pPr>
        <w:numPr>
          <w:ilvl w:val="0"/>
          <w:numId w:val="1002"/>
        </w:numPr>
        <w:pStyle w:val="Compact"/>
      </w:pPr>
      <w:r>
        <w:t xml:space="preserve">The citation box is a labelled region (</w:t>
      </w:r>
      <w:r>
        <w:rPr>
          <w:iCs/>
          <w:i/>
        </w:rPr>
        <w:t xml:space="preserve">Legal basis</w:t>
      </w:r>
      <w:r>
        <w:t xml:space="preserve">).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specific clause of Article 9 for each rule is to be filled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legal_rule.citation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the VFDA Legal Board; the mockup only goes to Article level]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the public rule page list earlier versions of the rule and what changed between them?]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img/SC-31.png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2026-10-28T21:18:43Z</dcterms:created>
  <dcterms:modified xsi:type="dcterms:W3CDTF">2026-10-28T21:18:43Z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