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452e7ec7b62ff3a25991307391d2e063abc04e"/>
    <w:p>
      <w:pPr>
        <w:pStyle w:val="Heading1"/>
      </w:pPr>
      <w:r>
        <w:t xml:space="preserve">Spec Document: VFDA support — provincial notices and consultations</w:t>
      </w:r>
    </w:p>
    <w:p>
      <w:pPr>
        <w:pStyle w:val="BlockText"/>
      </w:pPr>
      <w:r>
        <w:t xml:space="preserve">DBIZ3 Session 4 template — one file per module. Written for a reader who has never seen the DBIZ2 report.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support — provincial notices and consultations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 (team 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Tran — Group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by (Client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yet — VFDA project lead (and VFDA Legal Board for legal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DBIZ2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89–95 (F-M7-01 .. F-M7-07); Use Case UC-22, UC-23; Screens SC-32, SC-33</w:t>
            </w:r>
          </w:p>
        </w:tc>
      </w:tr>
    </w:tbl>
    <w:bookmarkStart w:id="21" w:name="clarifications"/>
    <w:p>
      <w:pPr>
        <w:pStyle w:val="Heading2"/>
      </w:pPr>
      <w:r>
        <w:t xml:space="preserve">Clarifications</w:t>
      </w:r>
    </w:p>
    <w:bookmarkStart w:id="20" w:name="Xf89618e9cb7f126f51da04256cab1648125083e"/>
    <w:p>
      <w:pPr>
        <w:pStyle w:val="Heading3"/>
      </w:pPr>
      <w:r>
        <w:t xml:space="preserve">Session 2026-10-28 (Group C, provisional — the owner in §10 confirms before launch)</w:t>
      </w:r>
    </w:p>
    <w:p>
      <w:pPr>
        <w:numPr>
          <w:ilvl w:val="0"/>
          <w:numId w:val="1001"/>
        </w:numPr>
        <w:pStyle w:val="Compact"/>
      </w:pPr>
      <w:r>
        <w:t xml:space="preserve">Q1: Does VFDA have the mandate / practice to send notices to Provincial People's Committees, and what is the official template? → A: The system does not send notices on VFDA's behalf. It produces a notice draft that the crew downloads and sends themselves.</w:t>
      </w:r>
    </w:p>
    <w:p>
      <w:pPr>
        <w:numPr>
          <w:ilvl w:val="0"/>
          <w:numId w:val="1001"/>
        </w:numPr>
        <w:pStyle w:val="Compact"/>
      </w:pPr>
      <w:r>
        <w:t xml:space="preserve">Q2: Is the notice addressed to the People's Committee or to the provincial Department of Culture? → A: Follows from question 1: the crew chooses the recipient (People's Committee or provincial Department of Culture) when downloading the draft.</w:t>
      </w:r>
    </w:p>
    <w:p>
      <w:pPr>
        <w:numPr>
          <w:ilvl w:val="0"/>
          <w:numId w:val="1001"/>
        </w:numPr>
        <w:pStyle w:val="Compact"/>
      </w:pPr>
      <w:r>
        <w:t xml:space="preserve">Q3: Automatic sending (DBIZ2 SEQ-11) or VFDA staff review before sending (SC-32)? → A: No automatic sending. A VFDA staff member reviews the draft in SC-32 before the crew can download the final version.</w:t>
      </w:r>
    </w:p>
    <w:p>
      <w:pPr>
        <w:numPr>
          <w:ilvl w:val="0"/>
          <w:numId w:val="1001"/>
        </w:numPr>
        <w:pStyle w:val="Compact"/>
      </w:pPr>
      <w:r>
        <w:t xml:space="preserve">Q5: Which days and hours does VFDA offer for consultations, and how long is one slot? → A: No slot calendar in the MVP. The crew sends a consultation request; VFDA staff reply with a proposed time by email.</w:t>
      </w:r>
    </w:p>
    <w:bookmarkEnd w:id="20"/>
    <w:bookmarkEnd w:id="21"/>
    <w:bookmarkStart w:id="22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module lets a producer tell the provinces where they plan to shoot, through VFDA, and see each province's reply; it also lets them book a consultation with VFDA staff. It turns VFDA's relationships with local governments into something a foreign producer can use.</w:t>
      </w:r>
    </w:p>
    <w:p>
      <w:pPr>
        <w:pStyle w:val="BodyText"/>
      </w:pPr>
      <w:r>
        <w:rPr>
          <w:bCs/>
          <w:b/>
        </w:rP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Registering interest in a location, generating the provincial notice, recording the province's reply, tracking status.</w:t>
      </w:r>
    </w:p>
    <w:p>
      <w:pPr>
        <w:numPr>
          <w:ilvl w:val="0"/>
          <w:numId w:val="1002"/>
        </w:numPr>
        <w:pStyle w:val="Compact"/>
      </w:pPr>
      <w:r>
        <w:t xml:space="preserve">Booking, confirming and reminding VFDA consultations.</w:t>
      </w:r>
    </w:p>
    <w:p>
      <w:pPr>
        <w:pStyle w:val="FirstParagraph"/>
      </w:pPr>
      <w:r>
        <w:rPr>
          <w:bCs/>
          <w:b/>
        </w:rPr>
        <w:t xml:space="preserve">Out of scope</w:t>
      </w:r>
    </w:p>
    <w:p>
      <w:pPr>
        <w:numPr>
          <w:ilvl w:val="0"/>
          <w:numId w:val="1003"/>
        </w:numPr>
        <w:pStyle w:val="Compact"/>
      </w:pPr>
      <w:r>
        <w:t xml:space="preserve">The filming licence itself (issued by the Ministry of Culture, Sports and Tourism).</w:t>
      </w:r>
    </w:p>
    <w:p>
      <w:pPr>
        <w:numPr>
          <w:ilvl w:val="0"/>
          <w:numId w:val="1003"/>
        </w:numPr>
        <w:pStyle w:val="Compact"/>
      </w:pPr>
      <w:r>
        <w:t xml:space="preserve">Negotiating with a province on the producer's behalf beyond the notice.</w:t>
      </w:r>
    </w:p>
    <w:p>
      <w:pPr>
        <w:pStyle w:val="FirstParagraph"/>
      </w:pPr>
      <w:r>
        <w:rPr>
          <w:bCs/>
          <w:b/>
        </w:rPr>
        <w:t xml:space="preserve">Depends on</w:t>
      </w:r>
    </w:p>
    <w:p>
      <w:pPr>
        <w:numPr>
          <w:ilvl w:val="0"/>
          <w:numId w:val="1004"/>
        </w:numPr>
        <w:pStyle w:val="Compact"/>
      </w:pPr>
      <w:r>
        <w:t xml:space="preserve">M3 (location, authority contact)</w:t>
      </w:r>
    </w:p>
    <w:p>
      <w:pPr>
        <w:numPr>
          <w:ilvl w:val="0"/>
          <w:numId w:val="1004"/>
        </w:numPr>
        <w:pStyle w:val="Compact"/>
      </w:pPr>
      <w:r>
        <w:t xml:space="preserve">M0 (project data)</w:t>
      </w:r>
    </w:p>
    <w:p>
      <w:pPr>
        <w:numPr>
          <w:ilvl w:val="0"/>
          <w:numId w:val="1004"/>
        </w:numPr>
        <w:pStyle w:val="Compact"/>
      </w:pPr>
      <w:r>
        <w:t xml:space="preserve">M4 (confirmed partner shown in the notice)</w:t>
      </w:r>
    </w:p>
    <w:p>
      <w:pPr>
        <w:numPr>
          <w:ilvl w:val="0"/>
          <w:numId w:val="1004"/>
        </w:numPr>
        <w:pStyle w:val="Compact"/>
      </w:pPr>
      <w:r>
        <w:t xml:space="preserve">SYS (email, notifications)</w:t>
      </w:r>
    </w:p>
    <w:bookmarkEnd w:id="22"/>
    <w:bookmarkStart w:id="23" w:name="X572f76d4414d525199501e7085f189788c65188"/>
    <w:p>
      <w:pPr>
        <w:pStyle w:val="Heading2"/>
      </w:pPr>
      <w:r>
        <w:t xml:space="preserve">2. Actors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Role in this 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registers interest, follows replies, books consultations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(F-M7-01, 04, 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People's Committee / Department of Culture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Secondary — replies to the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(F-M7-03)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Secondary — reviews and sends notices, confirms consultations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(F-M7-06)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Generates notices and 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(F-M7-02, 07)</w:t>
            </w:r>
          </w:p>
        </w:tc>
      </w:tr>
    </w:tbl>
    <w:bookmarkEnd w:id="23"/>
    <w:bookmarkStart w:id="28" w:name="X6e9f8def7ab98f65fc162bbf7fd6dd9285f3897"/>
    <w:p>
      <w:pPr>
        <w:pStyle w:val="Heading2"/>
      </w:pPr>
      <w:r>
        <w:t xml:space="preserve">3. User scenarios and acceptance criteria</w:t>
      </w:r>
    </w:p>
    <w:bookmarkStart w:id="24" w:name="X5c8b11bf14003780378183dbdf5fcaeef7ccfcd"/>
    <w:p>
      <w:pPr>
        <w:pStyle w:val="Heading3"/>
      </w:pPr>
      <w:r>
        <w:t xml:space="preserve">US-1 (P2): Let the province know we are coming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producer, I want the province to be told about my shoot through VFDA, so that local officials are prepared and I am not a surprise.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member clicks</w:t>
      </w:r>
      <w:r>
        <w:t xml:space="preserve"> </w:t>
      </w:r>
      <w:r>
        <w:rPr>
          <w:iCs/>
          <w:i/>
        </w:rPr>
        <w:t xml:space="preserve">I'm interested</w:t>
      </w:r>
      <w:r>
        <w:t xml:space="preserve"> </w:t>
      </w:r>
      <w:r>
        <w:t xml:space="preserve">on Tràng An for project The Last Ferry,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it is saved,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 notice for Ninh Bình is drafted from the project data and appears on the Provinces page at step 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notice missing the first shooting day,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member tries to send it,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sending is disabled with</w:t>
      </w:r>
      <w:r>
        <w:t xml:space="preserve"> </w:t>
      </w:r>
      <w:r>
        <w:rPr>
          <w:iCs/>
          <w:i/>
        </w:rPr>
        <w:t xml:space="preserve">A first shooting day is needed before notifying</w:t>
      </w:r>
      <w:r>
        <w:t xml:space="preserve">.</w:t>
      </w:r>
    </w:p>
    <w:bookmarkEnd w:id="24"/>
    <w:bookmarkStart w:id="25" w:name="us-2-p2-see-the-provinces-reply"/>
    <w:p>
      <w:pPr>
        <w:pStyle w:val="Heading3"/>
      </w:pPr>
      <w:r>
        <w:t xml:space="preserve">US-2 (P2): See the province's reply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producer, I want to see each province's reply and what to do next, so that I can plan meetings with the right local office.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province replies</w:t>
      </w:r>
      <w:r>
        <w:t xml:space="preserve"> </w:t>
      </w:r>
      <w:r>
        <w:rPr>
          <w:iCs/>
          <w:i/>
        </w:rPr>
        <w:t xml:space="preserve">More info needed</w:t>
      </w:r>
      <w:r>
        <w:t xml:space="preserve"> </w:t>
      </w:r>
      <w:r>
        <w:t xml:space="preserve">with a note,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VFDA records it,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producer gets a notification and the card shows the status, the date and the note.</w:t>
      </w:r>
    </w:p>
    <w:bookmarkEnd w:id="25"/>
    <w:bookmarkStart w:id="26" w:name="us-3-p3-book-time-with-vfda"/>
    <w:p>
      <w:pPr>
        <w:pStyle w:val="Heading3"/>
      </w:pPr>
      <w:r>
        <w:t xml:space="preserve">US-3 (P3): Book time with VFDA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producer abroad, I want to book a call with VFDA in my own time zone, so that a real person can answer what the tools cannot.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producer in Seoul picks a slot,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VFDA confirms,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both receive the time in their own time zone and a reminder 24 hours before.</w:t>
      </w:r>
    </w:p>
    <w:bookmarkEnd w:id="26"/>
    <w:bookmarkStart w:id="27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08"/>
        </w:numPr>
        <w:pStyle w:val="Compact"/>
      </w:pPr>
      <w:r>
        <w:t xml:space="preserve">The authority email bounces: the notice is marked</w:t>
      </w:r>
      <w:r>
        <w:t xml:space="preserve"> </w:t>
      </w:r>
      <w:r>
        <w:rPr>
          <w:iCs/>
          <w:i/>
        </w:rPr>
        <w:t xml:space="preserve">Not delivered</w:t>
      </w:r>
      <w:r>
        <w:t xml:space="preserve"> </w:t>
      </w:r>
      <w:r>
        <w:t xml:space="preserve">and VFDA staff are alerted to find another channel.</w:t>
      </w:r>
    </w:p>
    <w:p>
      <w:pPr>
        <w:numPr>
          <w:ilvl w:val="0"/>
          <w:numId w:val="1008"/>
        </w:numPr>
        <w:pStyle w:val="Compact"/>
      </w:pPr>
      <w:r>
        <w:t xml:space="preserve">The province never replies: after [NEEDS CLARIFICATION: N] working days VFDA staff are reminded to follow up.</w:t>
      </w:r>
    </w:p>
    <w:p>
      <w:pPr>
        <w:numPr>
          <w:ilvl w:val="0"/>
          <w:numId w:val="1008"/>
        </w:numPr>
        <w:pStyle w:val="Compact"/>
      </w:pPr>
      <w:r>
        <w:t xml:space="preserve">The producer removes the location from the shortlist after the notice was sent: the notice stays; VFDA may send a withdrawal.</w:t>
      </w:r>
    </w:p>
    <w:bookmarkEnd w:id="27"/>
    <w:bookmarkEnd w:id="28"/>
    <w:bookmarkStart w:id="31" w:name="X642f26008f14b2e5af562a7ed56d7333412cc34"/>
    <w:p>
      <w:pPr>
        <w:pStyle w:val="Heading2"/>
      </w:pPr>
      <w:r>
        <w:t xml:space="preserve">4. Flows</w:t>
      </w:r>
    </w:p>
    <w:bookmarkStart w:id="29" w:name="X42ad61faad3c9be26cc871297adda37c1e3e565"/>
    <w:p>
      <w:pPr>
        <w:pStyle w:val="Heading3"/>
      </w:pPr>
      <w:r>
        <w:t xml:space="preserve">4.1 Usage flow — Provincial People's Committee / Department of Culture</w:t>
      </w:r>
    </w:p>
    <w:p>
      <w:pPr>
        <w:pStyle w:val="BlockText"/>
      </w:pPr>
      <w:r>
        <w:t xml:space="preserve">Textualised from</w:t>
      </w:r>
      <w:r>
        <w:t xml:space="preserve"> </w:t>
      </w:r>
      <w:r>
        <w:rPr>
          <w:rStyle w:val="VerbatimChar"/>
        </w:rPr>
        <w:t xml:space="preserve">docs/architecture/usage-flow.md</w:t>
      </w:r>
      <w:r>
        <w:t xml:space="preserve"> </w:t>
      </w:r>
      <w:r>
        <w:t xml:space="preserve">flow 6, translated. Diamond Q added in Step 3 from F-M7-03 — confirmed by the Client.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S([Receive a notice email: a film crew is interested in a local location]) --&gt; OPEN[Open the reply link]</w:t>
      </w:r>
      <w:r>
        <w:br/>
      </w:r>
      <w:r>
        <w:rPr>
          <w:rStyle w:val="VerbatimChar"/>
        </w:rPr>
        <w:t xml:space="preserve">    OPEN --&gt; Q{How does the province reply?}</w:t>
      </w:r>
      <w:r>
        <w:br/>
      </w:r>
      <w:r>
        <w:rPr>
          <w:rStyle w:val="VerbatimChar"/>
        </w:rPr>
        <w:t xml:space="preserve">    Q -- Received --&gt; R1[Status: received]</w:t>
      </w:r>
      <w:r>
        <w:br/>
      </w:r>
      <w:r>
        <w:rPr>
          <w:rStyle w:val="VerbatimChar"/>
        </w:rPr>
        <w:t xml:space="preserve">    Q -- More information needed --&gt; R2[Status: info_needed]</w:t>
      </w:r>
      <w:r>
        <w:br/>
      </w:r>
      <w:r>
        <w:rPr>
          <w:rStyle w:val="VerbatimChar"/>
        </w:rPr>
        <w:t xml:space="preserve">    Q -- Cannot support at this time --&gt; R3[Status: cannot_support]</w:t>
      </w:r>
      <w:r>
        <w:br/>
      </w:r>
      <w:r>
        <w:rPr>
          <w:rStyle w:val="VerbatimChar"/>
        </w:rPr>
        <w:t xml:space="preserve">    R1 --&gt; E([The producer sees the status on the tracking page])</w:t>
      </w:r>
      <w:r>
        <w:br/>
      </w:r>
      <w:r>
        <w:rPr>
          <w:rStyle w:val="VerbatimChar"/>
        </w:rPr>
        <w:t xml:space="preserve">    R2 --&gt; E</w:t>
      </w:r>
      <w:r>
        <w:br/>
      </w:r>
      <w:r>
        <w:rPr>
          <w:rStyle w:val="VerbatimChar"/>
        </w:rPr>
        <w:t xml:space="preserve">    R3 --&gt; E</w:t>
      </w:r>
    </w:p>
    <w:bookmarkEnd w:id="29"/>
    <w:bookmarkStart w:id="30" w:name="X3ba678f2aa46d37dc0df1b8ae8f18a329c87874"/>
    <w:p>
      <w:pPr>
        <w:pStyle w:val="Heading3"/>
      </w:pPr>
      <w:r>
        <w:t xml:space="preserve">4.2 Sequence — provincial notice (SEQ-11)</w:t>
      </w:r>
    </w:p>
    <w:p>
      <w:pPr>
        <w:pStyle w:val="BlockText"/>
      </w:pPr>
      <w:r>
        <w:t xml:space="preserve">Textualised from SEQ-11 (Figure 14), translated. 5 participants, 11 messages. SC-32 inserts a VFDA review before the email is sent — see §11.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 as Producer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DB as Supabase PostgreSQL + RLS</w:t>
      </w:r>
      <w:r>
        <w:br/>
      </w:r>
      <w:r>
        <w:rPr>
          <w:rStyle w:val="VerbatimChar"/>
        </w:rPr>
        <w:t xml:space="preserve">    participant MAIL as Resend</w:t>
      </w:r>
      <w:r>
        <w:br/>
      </w:r>
      <w:r>
        <w:rPr>
          <w:rStyle w:val="VerbatimChar"/>
        </w:rPr>
        <w:t xml:space="preserve">    actor PV as Provincial People's Committee</w:t>
      </w:r>
      <w:r>
        <w:br/>
      </w:r>
      <w:r>
        <w:br/>
      </w:r>
      <w:r>
        <w:rPr>
          <w:rStyle w:val="VerbatimChar"/>
        </w:rPr>
        <w:t xml:space="preserve">    U-&gt;&gt;FE: Click I'm interested in this location</w:t>
      </w:r>
      <w:r>
        <w:br/>
      </w:r>
      <w:r>
        <w:rPr>
          <w:rStyle w:val="VerbatimChar"/>
        </w:rPr>
        <w:t xml:space="preserve">    FE-&gt;&gt;DB: INSERT location_interest (project_id, location_id)</w:t>
      </w:r>
      <w:r>
        <w:br/>
      </w:r>
      <w:r>
        <w:rPr>
          <w:rStyle w:val="VerbatimChar"/>
        </w:rPr>
        <w:t xml:space="preserve">    DB-&gt;&gt;DB: Database webhook fires</w:t>
      </w:r>
      <w:r>
        <w:br/>
      </w:r>
      <w:r>
        <w:rPr>
          <w:rStyle w:val="VerbatimChar"/>
        </w:rPr>
        <w:t xml:space="preserve">    DB-&gt;&gt;MAIL: Compose the letter with the project summary</w:t>
      </w:r>
      <w:r>
        <w:br/>
      </w:r>
      <w:r>
        <w:rPr>
          <w:rStyle w:val="VerbatimChar"/>
        </w:rPr>
        <w:t xml:space="preserve">    MAIL-&gt;&gt;PV: A film crew is interested in a location in your province</w:t>
      </w:r>
      <w:r>
        <w:br/>
      </w:r>
      <w:r>
        <w:rPr>
          <w:rStyle w:val="VerbatimChar"/>
        </w:rPr>
        <w:t xml:space="preserve">    PV-&gt;&gt;FE: Open the reply link</w:t>
      </w:r>
      <w:r>
        <w:br/>
      </w:r>
      <w:r>
        <w:rPr>
          <w:rStyle w:val="VerbatimChar"/>
        </w:rPr>
        <w:t xml:space="preserve">    PV-&gt;&gt;FE: Received / More information needed / Cannot support</w:t>
      </w:r>
      <w:r>
        <w:br/>
      </w:r>
      <w:r>
        <w:rPr>
          <w:rStyle w:val="VerbatimChar"/>
        </w:rPr>
        <w:t xml:space="preserve">    FE-&gt;&gt;DB: UPDATE reply status</w:t>
      </w:r>
      <w:r>
        <w:br/>
      </w:r>
      <w:r>
        <w:rPr>
          <w:rStyle w:val="VerbatimChar"/>
        </w:rPr>
        <w:t xml:space="preserve">    DB-&gt;&gt;MAIL: Notify the producer</w:t>
      </w:r>
      <w:r>
        <w:br/>
      </w:r>
      <w:r>
        <w:rPr>
          <w:rStyle w:val="VerbatimChar"/>
        </w:rPr>
        <w:t xml:space="preserve">    MAIL-&gt;&gt;U: The province has replied</w:t>
      </w:r>
      <w:r>
        <w:br/>
      </w:r>
      <w:r>
        <w:rPr>
          <w:rStyle w:val="VerbatimChar"/>
        </w:rPr>
        <w:t xml:space="preserve">    U-&gt;&gt;FE: View the provincial coordination page</w:t>
      </w:r>
      <w:r>
        <w:br/>
      </w:r>
      <w:r>
        <w:rPr>
          <w:rStyle w:val="VerbatimChar"/>
        </w:rPr>
        <w:t xml:space="preserve">    Note over DB: This came from the BA Report executive summary and was missed in MVP v1</w:t>
      </w:r>
    </w:p>
    <w:bookmarkEnd w:id="30"/>
    <w:bookmarkEnd w:id="31"/>
    <w:bookmarkStart w:id="34" w:name="X052d9d50bef594c4dcaeeac6011093e4925597a"/>
    <w:p>
      <w:pPr>
        <w:pStyle w:val="Heading2"/>
      </w:pPr>
      <w:r>
        <w:t xml:space="preserve">5. 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Subfunction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Requirement (system MUST ...)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record a member's interest in a location for a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generate the provincial notice from project data and queue it for VFDA staff to review and send from VFDA's domain.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 / 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record the province's reply as received, info_needed or cannot_support, with an optional note and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/ 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show the producer, per province, the four-step progress and the reply.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let a member book a VFDA consultation by topic and slot, handling time zones.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let VFDA staff confirm or reschedule and assign an officer.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remind both sides before the consultation.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</w:tbl>
    <w:bookmarkStart w:id="32" w:name="X0b60481e9d94c018d9ee6d90566933e257614bf"/>
    <w:p>
      <w:pPr>
        <w:pStyle w:val="Heading3"/>
      </w:pPr>
      <w:r>
        <w:t xml:space="preserve">5.1 Input / Output contract</w:t>
      </w:r>
    </w:p>
    <w:p>
      <w:pPr>
        <w:pStyle w:val="FirstParagraph"/>
      </w:pPr>
      <w:r>
        <w:t xml:space="preserve">Types and required flags come from</w:t>
      </w:r>
      <w:r>
        <w:t xml:space="preserve"> </w:t>
      </w:r>
      <w:r>
        <w:rPr>
          <w:rStyle w:val="VerbatimChar"/>
        </w:rPr>
        <w:t xml:space="preserve">docs/function-list.md</w:t>
      </w:r>
      <w:r>
        <w:t xml:space="preserve"> </w:t>
      </w:r>
      <w:r>
        <w:t xml:space="preserve">(columns</w:t>
      </w:r>
      <w:r>
        <w:t xml:space="preserve"> </w:t>
      </w:r>
      <w:r>
        <w:rPr>
          <w:iCs/>
          <w:i/>
        </w:rPr>
        <w:t xml:space="preserve">Input — type and required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Output — type</w:t>
      </w:r>
      <w:r>
        <w:t xml:space="preserve">). Changes made in Session 4 are stated in</w:t>
      </w:r>
      <w:r>
        <w:t xml:space="preserve"> </w:t>
      </w:r>
      <w:r>
        <w:rPr>
          <w:iCs/>
          <w:i/>
        </w:rPr>
        <w:t xml:space="preserve">Notes</w:t>
      </w:r>
      <w:r>
        <w:t xml:space="preserve"> </w:t>
      </w:r>
      <w:r>
        <w:t xml:space="preserve">and listed in 11.1.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Input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Output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 added (VFDA review step, SC-32); needs first shooting day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ENUM(queued, sent, bounced)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ENUM(received, info_needed, cannot_support)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(location_id UUID, response_status ENUM, responded_at TIMESTAMPTZ)[]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card per province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ENUM(dossier, locations, partners, provincial_notice, general)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IANA time zone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slot_start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ENUM(confirmed, rescheduled)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officer_id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records, 24 h before</w:t>
            </w:r>
          </w:p>
        </w:tc>
      </w:tr>
    </w:tbl>
    <w:bookmarkEnd w:id="32"/>
    <w:bookmarkStart w:id="33" w:name="Xf08c5fac6d146dfbd969d3549b1b5c53dd98aa2"/>
    <w:p>
      <w:pPr>
        <w:pStyle w:val="Heading3"/>
      </w:pPr>
      <w:r>
        <w:t xml:space="preserve">5.2 Business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Notices are sent in VFDA's name, never directly by the producer.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is the relationship holder with local government.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notice states that it does not replace the filming licence from the Ministry of Culture, Sports and Tourism.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Avoids a province or producer mistaking it for permission.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province's reply is one of three final values; the free-text note is kept as entered.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Consistent tracking and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Reply times feed the provincial readiness index (M3).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Makes responsiveness visible and comparable.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 booking (SC-33) is offered only after VFDA has declared its staffed hours and reply time; until then SC-33 shows VFDA's contact email instead of the booking form.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booking form nobody answers does more harm than no form (TL4 §5.7, TL5 M7·2).</w:t>
            </w:r>
          </w:p>
        </w:tc>
      </w:tr>
    </w:tbl>
    <w:bookmarkEnd w:id="33"/>
    <w:bookmarkEnd w:id="34"/>
    <w:bookmarkStart w:id="36" w:name="Xd4a7e4930d01b3f2af150543fa31b412e6715be"/>
    <w:p>
      <w:pPr>
        <w:pStyle w:val="Heading2"/>
      </w:pPr>
      <w:r>
        <w:t xml:space="preserve">6. Key 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Attributes (from Input/Output fields)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interest_id, project_id, location_id,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Project and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interest_id, province_id, drafted_at, reviewed_by, sent_at, received_at, response, note, responded_at, 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LocationInterest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booking_id, member_id, topic, slot_start, timezone, officer_id, 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UserAccount</w:t>
            </w:r>
          </w:p>
        </w:tc>
      </w:tr>
    </w:tbl>
    <w:bookmarkStart w:id="35" w:name="Xbecd423f5882972d65b0bceed9cc4371cda5552"/>
    <w:p>
      <w:pPr>
        <w:pStyle w:val="Heading3"/>
      </w:pPr>
      <w:r>
        <w:t xml:space="preserve">6.1 Attribute types</w:t>
      </w:r>
    </w:p>
    <w:p>
      <w:pPr>
        <w:pStyle w:val="FirstParagraph"/>
      </w:pPr>
      <w:r>
        <w:t xml:space="preserve">Types and required flags of the attributes above that no field in 5.1 declares (keys, timestamps, stored statuses). Every column of the data model now has a declared type.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 the notice was addressed to, kept as sent even if the location's province later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drafted_at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until VFDA sends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until the province acknowledges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Start w:id="37" w:name="Xd2a645a1673f9c3c0ba35362f9a4e8652055502"/>
    <w:p>
      <w:pPr>
        <w:pStyle w:val="Heading2"/>
      </w:pPr>
      <w:r>
        <w:t xml:space="preserve">7. Screens involved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Spec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People's Committee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docs/screens/screen-spec-SC-32.md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 a VFDA consultation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docs/screens/screen-spec-SC-33.md</w:t>
            </w:r>
          </w:p>
        </w:tc>
      </w:tr>
    </w:tbl>
    <w:bookmarkEnd w:id="37"/>
    <w:bookmarkStart w:id="38" w:name="Xbe7985084ef4dfdbc7e9fba0a235022f75110b0"/>
    <w:p>
      <w:pPr>
        <w:pStyle w:val="Heading2"/>
      </w:pPr>
      <w:r>
        <w:t xml:space="preserve">8. Success criteria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How it is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 knows the reply status of every province on their shortlist without contacting anyone.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Walkthrough with 5 producers.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reply to four in five notices within 7 working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Reply times over the first 30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 abroad books a consultation in their own time zone in under 2 minutes.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test with 3 producers in different time zones.</w:t>
            </w:r>
          </w:p>
        </w:tc>
      </w:tr>
    </w:tbl>
    <w:bookmarkEnd w:id="38"/>
    <w:bookmarkStart w:id="39" w:name="Xf0e84fbc24061432f3671343bf60d40f0e14ddf"/>
    <w:p>
      <w:pPr>
        <w:pStyle w:val="Heading2"/>
      </w:pPr>
      <w:r>
        <w:t xml:space="preserve">9. Assumptions</w:t>
      </w:r>
    </w:p>
    <w:p>
      <w:pPr>
        <w:numPr>
          <w:ilvl w:val="0"/>
          <w:numId w:val="1009"/>
        </w:numPr>
        <w:pStyle w:val="Compact"/>
      </w:pPr>
      <w:r>
        <w:t xml:space="preserve">VFDA staff have capacity to review notices within 2 working days.</w:t>
      </w:r>
    </w:p>
    <w:p>
      <w:pPr>
        <w:numPr>
          <w:ilvl w:val="0"/>
          <w:numId w:val="1009"/>
        </w:numPr>
        <w:pStyle w:val="Compact"/>
      </w:pPr>
      <w:r>
        <w:t xml:space="preserve">One notice per province per project, even when several locations are in the same province.</w:t>
      </w:r>
    </w:p>
    <w:p>
      <w:pPr>
        <w:numPr>
          <w:ilvl w:val="0"/>
          <w:numId w:val="1009"/>
        </w:numPr>
        <w:pStyle w:val="Compact"/>
      </w:pPr>
      <w:r>
        <w:t xml:space="preserve">Test value used until VFDA confirms: VFDA staff are reminded to follow up a notice after 5 working days without reply.</w:t>
      </w:r>
    </w:p>
    <w:bookmarkEnd w:id="39"/>
    <w:bookmarkStart w:id="40" w:name="X55a6565c84ac464289a534278fc4074fe00819d"/>
    <w:p>
      <w:pPr>
        <w:pStyle w:val="Heading2"/>
      </w:pPr>
      <w:r>
        <w:t xml:space="preserve">10.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VFDA have the mandate / practice to send notices to Provincial People's Committees, and what is the official template?]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the notice addressed to the People's Committee or to the provincial Department of Culture?]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Automatic sending (DBIZ2 SEQ-11) or VFDA staff review before sending (SC-32)?]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working days without reply should VFDA follow up?]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days and hours does VFDA offer for consultations, and how long is one slot?]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is the consultation held (video call, phone, at the VFDA office) and who sends the joining details?]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0"/>
    <w:bookmarkStart w:id="42" w:name="Xfe89178ba2c1baf2da96240bc9850b678501375"/>
    <w:p>
      <w:pPr>
        <w:pStyle w:val="Heading2"/>
      </w:pPr>
      <w:r>
        <w:t xml:space="preserve">11. Traceability to DBIZ2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section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 Design v2.0 — 1. Schematic, §1.2 (M7); BA Report 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docs/architecture/context.md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4.1 Usage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FLOW-01 flow 6 (Figure 3) + Step 3 addition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docs/architecture/usage-flow.md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4.2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SEQ-11 (Figure 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docs/architecture/sequence-diagrams.md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SEQ-11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89–95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docs/function-list.md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89–95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SC-32, SC-33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</w:t>
            </w:r>
          </w:p>
        </w:tc>
      </w:tr>
    </w:tbl>
    <w:bookmarkStart w:id="41" w:name="X0ebe4ea0055657d0fde6dddb3c03c11905d0ce8"/>
    <w:p>
      <w:pPr>
        <w:pStyle w:val="Heading3"/>
      </w:pPr>
      <w:r>
        <w:t xml:space="preserve">11.1 Reconciliation with DBIZ2 (System Design v2.0)</w:t>
      </w:r>
    </w:p>
    <w:p>
      <w:pPr>
        <w:pStyle w:val="FirstParagraph"/>
      </w:pPr>
      <w:r>
        <w:t xml:space="preserve">Where the 20-screen design or this spec differs from the DBIZ2 Function List, the difference is written here instead of being silently changed.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Topic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/ System Design v2.0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This spec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 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Sent automatically by a database webhook (SEQ-11)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Drafted automatically, reviewed and sent by VFDA staff (SC-32)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— see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 — Tier 2 of the screen list file (#20)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Booking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Booking always open (F-M7-05)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Offered only once VFDA declares staffed hours (BR-005)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Added — Group C decision 01/10/2026</w:t>
            </w:r>
          </w:p>
        </w:tc>
      </w:tr>
    </w:tbl>
    <w:bookmarkEnd w:id="41"/>
    <w:bookmarkEnd w:id="42"/>
    <w:bookmarkStart w:id="43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10"/>
        </w:numPr>
        <w:pStyle w:val="Compact"/>
      </w:pPr>
      <w:r>
        <w:t xml:space="preserve">☒ Every subfunction of this module in the DBIZ2 Function List appears as an FR row (7 of 7, rows 89–95) — machine-checked.</w:t>
      </w:r>
    </w:p>
    <w:p>
      <w:pPr>
        <w:numPr>
          <w:ilvl w:val="0"/>
          <w:numId w:val="1010"/>
        </w:numPr>
        <w:pStyle w:val="Compact"/>
      </w:pPr>
      <w:r>
        <w:t xml:space="preserve">☒ Every Input and Output field has a type and a required flag — machine-checked.</w:t>
      </w:r>
    </w:p>
    <w:p>
      <w:pPr>
        <w:numPr>
          <w:ilvl w:val="0"/>
          <w:numId w:val="1010"/>
        </w:numPr>
        <w:pStyle w:val="Compact"/>
      </w:pPr>
      <w:r>
        <w:t xml:space="preserve">☒ Every Mermaid block renders without an error — rendered with mermaid-cli 11.14 on 22/09/2026.</w:t>
      </w:r>
    </w:p>
    <w:p>
      <w:pPr>
        <w:numPr>
          <w:ilvl w:val="0"/>
          <w:numId w:val="1010"/>
        </w:numPr>
        <w:pStyle w:val="Compact"/>
      </w:pPr>
      <w:r>
        <w:t xml:space="preserve">☒ Every node and arrow in the Mermaid flow exists in the original DBIZ2 diagram, and nothing was invented. Diagrams marked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and decision diamonds added in Step 3 are labelled above and were confirmed by the Client.</w:t>
      </w:r>
    </w:p>
    <w:p>
      <w:pPr>
        <w:numPr>
          <w:ilvl w:val="0"/>
          <w:numId w:val="1010"/>
        </w:numPr>
        <w:pStyle w:val="Compact"/>
      </w:pPr>
      <w:r>
        <w:t xml:space="preserve">☒ At least one business rule is written that is not visible in any diagram (see 5.2).</w:t>
      </w:r>
    </w:p>
    <w:p>
      <w:pPr>
        <w:numPr>
          <w:ilvl w:val="0"/>
          <w:numId w:val="1010"/>
        </w:numPr>
        <w:pStyle w:val="Compact"/>
      </w:pPr>
      <w:r>
        <w:t xml:space="preserve">☒ Every screen this module touches is listed with an existing Screen Spec file.</w:t>
      </w:r>
    </w:p>
    <w:p>
      <w:pPr>
        <w:numPr>
          <w:ilvl w:val="0"/>
          <w:numId w:val="1010"/>
        </w:numPr>
        <w:pStyle w:val="Compact"/>
      </w:pPr>
      <w:r>
        <w:t xml:space="preserve">☒ Success criteria contain no technology words — machine-checked against a word list.</w:t>
      </w:r>
    </w:p>
    <w:p>
      <w:pPr>
        <w:numPr>
          <w:ilvl w:val="0"/>
          <w:numId w:val="1010"/>
        </w:numPr>
        <w:pStyle w:val="Compact"/>
      </w:pPr>
      <w:r>
        <w:t xml:space="preserve">☒ Open questions carry the unresolved items from the Session 3 scope review (recorded in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section 5) and every point found while writing this spec; each has an owner.</w:t>
      </w:r>
    </w:p>
    <w:p>
      <w:pPr>
        <w:numPr>
          <w:ilvl w:val="0"/>
          <w:numId w:val="1010"/>
        </w:numPr>
        <w:pStyle w:val="Compact"/>
      </w:pPr>
      <w:r>
        <w:t xml:space="preserve">☒ The traceability table points to real files and figures, not "see the report".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source: adapted from GitHub Spec Kit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templates/spec-template.md</w:t>
      </w:r>
      <w:r>
        <w:rPr>
          <w:iCs/>
          <w:i/>
        </w:rPr>
        <w:t xml:space="preserve">, mapped onto the DBIZ2 Product Design Package. DBIZ3, VJCBI College — FTU. Group C · CINEMATCH.</w:t>
      </w:r>
    </w:p>
    <w:bookmarkEnd w:id="43"/>
    <w:bookmarkEnd w:id="44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2026-10-28T21:18:38Z</dcterms:created>
  <dcterms:modified xsi:type="dcterms:W3CDTF">2026-10-28T21:18:38Z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