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20-partner-profile"/>
    <w:p>
      <w:pPr>
        <w:pStyle w:val="Heading1"/>
      </w:pPr>
      <w:r>
        <w:t xml:space="preserve">Screen Spec: SC-20 Partner profile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#13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Organisation profile with three permission-based visibility layers.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old mockup set, the organisation profile was drawn inside the</w:t>
      </w:r>
      <w:r>
        <w:t xml:space="preserve"> </w:t>
      </w:r>
      <w:r>
        <w:rPr>
          <w:rStyle w:val="VerbatimChar"/>
        </w:rPr>
        <w:t xml:space="preserve">SC-19</w:t>
      </w:r>
      <w:r>
        <w:t xml:space="preserve"> </w:t>
      </w:r>
      <w:r>
        <w:t xml:space="preserve">image.</w:t>
      </w:r>
      <w:r>
        <w:t xml:space="preserve"> </w:t>
      </w:r>
      <w:r>
        <w:rPr>
          <w:rStyle w:val="VerbatimChar"/>
        </w:rPr>
        <w:t xml:space="preserve">SC-20</w:t>
      </w:r>
      <w:r>
        <w:t xml:space="preserve"> </w:t>
      </w:r>
      <w:r>
        <w:t xml:space="preserve">now has its own mockup.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 an organisation card on</w:t>
      </w:r>
      <w:r>
        <w:t xml:space="preserve"> </w:t>
      </w:r>
      <w:r>
        <w:rPr>
          <w:rStyle w:val="VerbatimChar"/>
        </w:rPr>
        <w:t xml:space="preserve">SC-19</w:t>
      </w:r>
      <w:r>
        <w:t xml:space="preserve">, or the partner name in a request on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Send collaboration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SC-23</w:t>
      </w:r>
      <w:r>
        <w:t xml:space="preserve">) or returns to the directory.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725416"/>
            <wp:effectExtent b="0" l="0" r="0" t="0"/>
            <wp:docPr descr="SC-20" title="" id="22" name="Picture"/>
            <a:graphic>
              <a:graphicData uri="http://schemas.openxmlformats.org/drawingml/2006/picture">
                <pic:pic>
                  <pic:nvPicPr>
                    <pic:cNvPr descr="img/SC-2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5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› service group › organisation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Logo + organisation name + legal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organisation.org_name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legal_form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founded_year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Verified badge + validity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organisation.verified_at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once 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Provinces, services,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organization_services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Eligible to sign service agreements (Article 13)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organisation.art13_eligible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confirmed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VFDA can switch it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Capabilities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organisation_member_layer.capability_desc_en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Past projects (portfolio)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+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organization_portfolio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type, country, year, days, filming 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  <w:r>
              <w:rPr>
                <w:sz w:val="17"/>
              </w:rPr>
              <w:t xml:space="preserve">; no project titles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International project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organisation_member_layer.intl_project_count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VFDA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verification_checks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the latest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also states what was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Locked layer 3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organization_profiles_accepted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rates, past clients,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RLS: only unlocked with an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 and an agreed 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Three-layer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from the viewer's 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reflects actual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a request is already open —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 request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member 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(layers 1 and 2 open, layer 3 locked). For guests: blocks 7, 8, 9 are replaced by a box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 to see capabilities and past projects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an organisation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has no portfolio: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organisation hasn't added reference projects yet.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Empty capabilities block: hide the block, no empty box.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layer 2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capabilities and portfolio blocks; the public layer is pre-rendered.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hidden or not found → dedicated 404 with a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SC-19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Once the request is accepted and the NDA agreed: block 11 reveals rates, past clients and contacts; the layer 3 indicator switches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✓ visible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NDA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compose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Portfolio photo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 large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 in 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Locked layer 3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Explains how to unlock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information layers are enforced by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RLS on three tables</w:t>
            </w:r>
            <w:r>
              <w:rPr>
                <w:sz w:val="17"/>
              </w:rPr>
              <w:t xml:space="preserve">, not by hiding columns in the UI.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portfolio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does not name 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the member layer — many production contracts contain confidentiality clauses.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service agreements (Article 13)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 can only be switched on by VFDA, and is decisive for segment A productions.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VFDA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also states what was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checked (quality, pricing) to avoid it being read as a guarantee.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Two-way reviews belong to phase 2 (M8) —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this screen in the MVP.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MVP scope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spec-M4.md (F-M4-02)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spec-M4.md (F-M4-03)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spec-M4.md (F-M4-04)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Accepted-level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spec-M4.md (F-M4-12)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 request entry point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introduction; the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button sticks to the bottom of the screen.</w:t>
      </w:r>
    </w:p>
    <w:p>
      <w:pPr>
        <w:numPr>
          <w:ilvl w:val="0"/>
          <w:numId w:val="1002"/>
        </w:numPr>
        <w:pStyle w:val="Compact"/>
      </w:pPr>
      <w:r>
        <w:t xml:space="preserve">The lock icon is accompanied by explanatory text.</w:t>
      </w:r>
    </w:p>
    <w:p>
      <w:pPr>
        <w:numPr>
          <w:ilvl w:val="0"/>
          <w:numId w:val="1002"/>
        </w:numPr>
        <w:pStyle w:val="Compact"/>
      </w:pPr>
      <w:r>
        <w:t xml:space="preserve">The three-layer indicator is a list with text statuses,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criteria for VFDA to grant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service agreements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 — which registered business lines qualify]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choose to hide its international project count]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2026-10-01T07:18:58Z</dcterms:created>
  <dcterms:modified xsi:type="dcterms:W3CDTF">2026-10-01T07:18:58Z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