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96714ebdcfd51833325079746121761bc8bcd66"/>
    <w:p>
      <w:pPr>
        <w:pStyle w:val="Heading1"/>
      </w:pPr>
      <w:r>
        <w:t xml:space="preserve">Screen Spec: SC-26 Document kit by segment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/projects/[id]/dossier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#15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Checklist changes by A/B/C.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Document kit</w:t>
      </w:r>
      <w:r>
        <w:t xml:space="preserve"> </w:t>
      </w:r>
      <w:r>
        <w:t xml:space="preserve">in the sidebar,</w:t>
      </w:r>
      <w:r>
        <w:t xml:space="preserve"> </w:t>
      </w:r>
      <w:r>
        <w:rPr>
          <w:iCs/>
          <w:i/>
        </w:rPr>
        <w:t xml:space="preserve">Upload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, or</w:t>
      </w:r>
      <w:r>
        <w:t xml:space="preserve"> </w:t>
      </w:r>
      <w:r>
        <w:rPr>
          <w:iCs/>
          <w:i/>
        </w:rPr>
        <w:t xml:space="preserve">Continue your dossier</w:t>
      </w:r>
      <w:r>
        <w:t xml:space="preserve"> </w:t>
      </w:r>
      <w:r>
        <w:t xml:space="preserve">on the dashboard.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uploads documents, opens the bilingual editor (</w:t>
      </w:r>
      <w:r>
        <w:rPr>
          <w:rStyle w:val="VerbatimChar"/>
        </w:rPr>
        <w:t xml:space="preserve">SC-28</w:t>
      </w:r>
      <w:r>
        <w:t xml:space="preserve">), or views the partnership request (</w:t>
      </w:r>
      <w:r>
        <w:rPr>
          <w:rStyle w:val="VerbatimChar"/>
        </w:rPr>
        <w:t xml:space="preserve">SC-25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788960"/>
            <wp:effectExtent b="0" l="0" r="0" t="0"/>
            <wp:docPr descr="SC-26" title="" id="22" name="Picture"/>
            <a:graphic>
              <a:graphicData uri="http://schemas.openxmlformats.org/drawingml/2006/picture">
                <pic:pic>
                  <pic:nvPicPr>
                    <pic:cNvPr descr="img/SC-2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Document kit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project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checklist view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selected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only; does not change the project's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document_types.group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confirmed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Basis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document_types.basis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Required by law / Commonly requested / Location-specific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3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document_templates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provided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no template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Present / Needs fixing / Pending / 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status set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/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/ Upload / Draft bilingual / 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Differences by 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segment_requirements.summary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/ total 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Drag-and-drop upload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Supabase Storage, private bucket per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/ DOCX, ≤ 25 MB; suggests item, user confirms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document groups with basis, template, status and action; segment differences block; upload area.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project: every row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Missing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not shown yet because no location is confirmed — a note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Added once you confirm a location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documents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table; an upload shows a progress bar on its own row.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/ uploading a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Wrong file type or over 25 MB: error right at the upload area, stating the limit. Upload fails midway: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 incomplete — try again</w:t>
            </w:r>
            <w:r>
              <w:rPr>
                <w:sz w:val="17"/>
              </w:rPr>
              <w:t xml:space="preserve">, no empty row is created.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 check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done: row status changes,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Added to document kit — rechecking against Article 13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re-run.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Chip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another segment's checklist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 bilingual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bilingual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drag-and-drop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/ 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Upload, suggest item, user confirms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checklist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generated from 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segment_requirements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segment, plus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documents for confirmed locations — nothing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note #15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document carries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basis label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. Never present everything as mandatory.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set shared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; the 4 Article 13 rows always match across both screens.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 are stored in a private bucket; only project members can read them; every download is logged.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suggested item for a file is only a suggestion —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user confirms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before it is assigned.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Human-decides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spec-M5.md (F-M5-01)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checklist by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spec-M5.md (F-M5-02)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and replace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spec-M5.md (F-M5-03)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Per-item status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table becomes a list of cards; the segment differences block collapses into an expandable section.</w:t>
      </w:r>
    </w:p>
    <w:p>
      <w:pPr>
        <w:numPr>
          <w:ilvl w:val="0"/>
          <w:numId w:val="1001"/>
        </w:numPr>
        <w:pStyle w:val="Compact"/>
      </w:pPr>
      <w:r>
        <w:t xml:space="preserve">The drag-and-drop area has a</w:t>
      </w:r>
      <w:r>
        <w:t xml:space="preserve"> </w:t>
      </w:r>
      <w:r>
        <w:rPr>
          <w:iCs/>
          <w:i/>
        </w:rPr>
        <w:t xml:space="preserve">Choose file</w:t>
      </w:r>
      <w:r>
        <w:t xml:space="preserve"> </w:t>
      </w:r>
      <w:r>
        <w:t xml:space="preserve">button for users who don't use a mouse.</w:t>
      </w:r>
    </w:p>
    <w:p>
      <w:pPr>
        <w:numPr>
          <w:ilvl w:val="0"/>
          <w:numId w:val="1001"/>
        </w:numPr>
        <w:pStyle w:val="Compact"/>
      </w:pPr>
      <w:r>
        <w:t xml:space="preserve">Basis and status labels always include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document checklist for segment C — needs confirmation from the VFDA Legal Board]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"Foreign crew list" and "Provincial People's Committee notice" mandatory anywhere, or just common practice]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img/SC-26.png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2026-09-30T04:16:17Z</dcterms:created>
  <dcterms:modified xsi:type="dcterms:W3CDTF">2026-09-30T04:16:17Z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