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9-admin--demand-index"/>
    <w:p>
      <w:pPr>
        <w:pStyle w:val="Heading1"/>
      </w:pPr>
      <w:r>
        <w:t xml:space="preserve">Screen Spec: SC-39 Admin — Demand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Demand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/admin/demand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#39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Six indicators and charts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Indicators 4 and 6 are shown as</w:t>
      </w:r>
      <w:r>
        <w:t xml:space="preserve"> </w:t>
      </w:r>
      <w:r>
        <w:rPr>
          <w:iCs/>
          <w:i/>
        </w:rPr>
        <w:t xml:space="preserve">no data source yet</w:t>
      </w:r>
      <w:r>
        <w:t xml:space="preserve"> </w:t>
      </w:r>
      <w:r>
        <w:t xml:space="preserve">until open question 1 of the M10 Spec Document is decided.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 the</w:t>
      </w:r>
      <w:r>
        <w:t xml:space="preserve"> </w:t>
      </w:r>
      <w:r>
        <w:rPr>
          <w:iCs/>
          <w:i/>
        </w:rPr>
        <w:t xml:space="preserve">Demand index</w:t>
      </w:r>
      <w:r>
        <w:t xml:space="preserve"> </w:t>
      </w:r>
      <w:r>
        <w:t xml:space="preserve">summary 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the menu item, or</w:t>
      </w:r>
      <w:r>
        <w:t xml:space="preserve"> </w:t>
      </w:r>
      <w:r>
        <w:rPr>
          <w:iCs/>
          <w:i/>
        </w:rPr>
        <w:t xml:space="preserve">Open in demand 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Prepare quarterly report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SC-40</w:t>
      </w:r>
      <w:r>
        <w:t xml:space="preserve">) or leave through the admin menu.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29954"/>
            <wp:effectExtent b="0" l="0" r="0" t="0"/>
            <wp:docPr descr="SC-39" title="" id="22" name="Picture"/>
            <a:graphic>
              <a:graphicData uri="http://schemas.openxmlformats.org/drawingml/2006/picture">
                <pic:pic>
                  <pic:nvPicPr>
                    <pic:cNvPr descr="img/SC-3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9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Demand 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and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selected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granularity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Month / Quarter /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quarter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derived from the choice (e.g. Q3 2026 = 01/07/2026–30/09/2026)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; not after the current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/ Data table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dashboard_view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same figures as charts or as a table (indicator, value, sample size, source)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1 — projects by segment and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created in the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below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2 — origin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(ISO code shown as country name)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3 — top 10 provinces and 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project_province.province_id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(34-province list)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location_query.attributes.scene_types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(readable labels)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4 — budget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field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 field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5 — conversion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projects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collab_request.status = 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percentages only when the base has ≥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 6 — most reported bottleneck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field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row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each indicator was computed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 every indicator 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when the Quarter view is selected; disabled when the period has no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Data-source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time of the last 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Q3 2026 selected, six indicator cards in charts view, each with its sample size; indicators 4 and 6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 (current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period with no records: every indicator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, sample sizes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 = 0</w:t>
            </w:r>
            <w:r>
              <w:rPr>
                <w:sz w:val="17"/>
              </w:rPr>
              <w:t xml:space="preserve">,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Prepare quarterly 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disabled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figures for this period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without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cards with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Computing indicators for September 2026…</w:t>
            </w:r>
            <w:r>
              <w:rPr>
                <w:sz w:val="17"/>
              </w:rPr>
              <w:t xml:space="preserve">; the period controls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changed / 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The indicators could not be computed — try again.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partial figures are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Aggregation query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screen only reads; changing the period recomputes every indicator for that period (e.g. September 2026: indicators with fewer than 5 records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Month / Quarter /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Changes the granularity; the picker offers matching periods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Recomputes all six indicators for the chosen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/ Data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view; figures stay the 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top 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in indicator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list to ten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Prepare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report for the selected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are built from the platform's own data only; no external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F-M10-03; Spec M10 §1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screen is visible to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4 and 6 are never estimated: until a source field exists they read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— no data source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§10 question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brief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counts as a project with its location queries; location queries carry no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§9; M3 BR-009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spec-M10.md (F-M10-03)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indicators aggregated for the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spec-M10.md (F-M10-04)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Charts and data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spec-M10.md (F-M10-05)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Month / quarter / year filter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indicator cards stack one per row; indicator 3 shows provinces and scene types one under the other.</w:t>
      </w:r>
    </w:p>
    <w:p>
      <w:pPr>
        <w:numPr>
          <w:ilvl w:val="0"/>
          <w:numId w:val="1002"/>
        </w:numPr>
        <w:pStyle w:val="Compact"/>
      </w:pPr>
      <w:r>
        <w:t xml:space="preserve">Every chart has the</w:t>
      </w:r>
      <w:r>
        <w:t xml:space="preserve"> </w:t>
      </w:r>
      <w:r>
        <w:rPr>
          <w:iCs/>
          <w:i/>
        </w:rPr>
        <w:t xml:space="preserve">Data table</w:t>
      </w:r>
      <w:r>
        <w:t xml:space="preserve"> </w:t>
      </w:r>
      <w:r>
        <w:t xml:space="preserve">view as its text alternative; bar values are printed as numbers.</w:t>
      </w:r>
    </w:p>
    <w:p>
      <w:pPr>
        <w:numPr>
          <w:ilvl w:val="0"/>
          <w:numId w:val="1002"/>
        </w:numPr>
        <w:pStyle w:val="Compact"/>
      </w:pPr>
      <w:r>
        <w:t xml:space="preserve">Sample-size labels are read out with each indicator title.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Indicator 4 (budget scale of location needs) and indicator 6 (bottleneck most reported) need fields that no function collects today. Add a budget band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main obstacle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 to project creation, or drop the two indicators?]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indicator 2 (origin market) counted per project or per producer organisation — a company with three projects in the quarter counts once or three times?]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img/SC-39.png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