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0-partner-profile"/>
    <w:p>
      <w:pPr>
        <w:pStyle w:val="Heading1"/>
      </w:pPr>
      <w:r>
        <w:t xml:space="preserve">Screen Spec: SC-20 Partner profile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Organisation profile with three permission-based visibility layers.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old mockup set, the organisation profile was drawn inside the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 </w:t>
      </w:r>
      <w:r>
        <w:t xml:space="preserve">image.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 </w:t>
      </w:r>
      <w:r>
        <w:t xml:space="preserve">now has its own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an organisation card on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, or the partner name in a request 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Send collaboration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 or returns to the directory.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873183"/>
            <wp:effectExtent b="0" l="0" r="0" t="0"/>
            <wp:docPr descr="SC-20" title="" id="22" name="Picture"/>
            <a:graphic>
              <a:graphicData uri="http://schemas.openxmlformats.org/drawingml/2006/picture">
                <pic:pic>
                  <pic:nvPicPr>
                    <pic:cNvPr descr="img/SC-2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› service group › organisation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Logo + organisation name + legal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validity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Provinces, services,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organizations.art13_eligible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confirmed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VFDA can switch it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Capabilities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organization_profiles_member.capability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projects (portfolio)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organization_portfolio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type, country, year, days, filming 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; no project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the latest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organization_profiles_accepted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rates, past clients,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RLS: only unlocked with an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and an agreed 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Three-layer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viewer's 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reflects actual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a request is already open —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request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(layers 1 and 2 open, layer 3 locked). For guests: blocks 7, 8, 9 are replaced by a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 to see capabilities and past projects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 organisation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has no portfolio: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organisation hasn't added reference projects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Empty capabilities block: hide the block, no empty 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layer 2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capabilities and portfolio blocks; the public layer is pre-rendered.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hidden or not found → dedicated 404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Once the request is accepted and the NDA agreed: block 11 reveals rates, past clients and contacts; the layer 3 indicator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✓ visible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NDA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Portfolio photo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large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Locked layer 3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Explains how to unlock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information layers are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tables</w:t>
            </w:r>
            <w:r>
              <w:rPr>
                <w:sz w:val="17"/>
              </w:rPr>
              <w:t xml:space="preserve">, not by hiding columns in the UI.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portfolio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name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the member layer — many production contracts contain confidentiality clauses.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badge can only be switched on by VFDA, and is decisive for segment A productions.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VFDA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also states what was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checked (quality, pricing) to avoid it being read as a guarantee.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Two-way reviews belong to phase 2 (M8)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this screen in the MVP.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spec-M4.md (F-M4-04)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Accepted-level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spec-M4.md (F-M4-12)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request entry point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introduction; the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lock icon is accompanied by explanatory text.</w:t>
      </w:r>
    </w:p>
    <w:p>
      <w:pPr>
        <w:numPr>
          <w:ilvl w:val="0"/>
          <w:numId w:val="1002"/>
        </w:numPr>
        <w:pStyle w:val="Compact"/>
      </w:pPr>
      <w:r>
        <w:t xml:space="preserve">The three-layer indicator is a list with text statuses,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