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96714ebdcfd51833325079746121761bc8bcd66"/>
    <w:p>
      <w:pPr>
        <w:pStyle w:val="Heading1"/>
      </w:pPr>
      <w:r>
        <w:t xml:space="preserve">Screen Spec: SC-26 Document kit by segment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img/SC-26.png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/projects/[id]/dossier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#15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Checklist changes by A/B/C.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</w:t>
      </w:r>
      <w:r>
        <w:t xml:space="preserve"> </w:t>
      </w:r>
      <w:r>
        <w:rPr>
          <w:iCs/>
          <w:i/>
        </w:rPr>
        <w:t xml:space="preserve">Document kit</w:t>
      </w:r>
      <w:r>
        <w:t xml:space="preserve"> </w:t>
      </w:r>
      <w:r>
        <w:t xml:space="preserve">in the sidebar,</w:t>
      </w:r>
      <w:r>
        <w:t xml:space="preserve"> </w:t>
      </w:r>
      <w:r>
        <w:rPr>
          <w:iCs/>
          <w:i/>
        </w:rPr>
        <w:t xml:space="preserve">Upload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, or</w:t>
      </w:r>
      <w:r>
        <w:t xml:space="preserve"> </w:t>
      </w:r>
      <w:r>
        <w:rPr>
          <w:iCs/>
          <w:i/>
        </w:rPr>
        <w:t xml:space="preserve">Continue your dossier</w:t>
      </w:r>
      <w:r>
        <w:t xml:space="preserve"> </w:t>
      </w:r>
      <w:r>
        <w:t xml:space="preserve">on the dashboard.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uploads documents, opens the bilingual editor (</w:t>
      </w:r>
      <w:r>
        <w:rPr>
          <w:rStyle w:val="VerbatimChar"/>
        </w:rPr>
        <w:t xml:space="preserve">SC-28</w:t>
      </w:r>
      <w:r>
        <w:t xml:space="preserve">), or views the partnership request (</w:t>
      </w:r>
      <w:r>
        <w:rPr>
          <w:rStyle w:val="VerbatimChar"/>
        </w:rPr>
        <w:t xml:space="preserve">SC-25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788960"/>
            <wp:effectExtent b="0" l="0" r="0" t="0"/>
            <wp:docPr descr="SC-26" title="" id="22" name="Picture"/>
            <a:graphic>
              <a:graphicData uri="http://schemas.openxmlformats.org/drawingml/2006/picture">
                <pic:pic>
                  <pic:nvPicPr>
                    <pic:cNvPr descr="img/SC-26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Document kit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project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 checklist view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the selected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only; does not change the project's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generated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segment_requirements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confirmed 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Basis label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document_types.basis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Required by law / Commonly requested / Location-specific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enum, 3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document_templates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provided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hidden when no template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document_slots.status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Present / Needs fixing / Pending / Missing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same status set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Row 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 /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/ Upload / Draft bilingual / 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Differences by segment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segment_requirements.summary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count of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Present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/ total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Drag-and-drop upload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Storage, private bucket per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/ DOCX, ≤ 25 MB; suggests item, user confirms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 document groups with basis, template, status and action; segment differences block; upload area.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project: every row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Missing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not shown yet because no location is confirmed — a note reads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once you confirm a location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documents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 for the table; an upload shows a progress bar on its own row.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/ uploading a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file type or over 25 MB: error right at the upload area, stating the limit. Upload fails midway: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Upload incomplete — try again</w:t>
            </w:r>
            <w:r>
              <w:rPr>
                <w:sz w:val="17"/>
              </w:rPr>
              <w:t xml:space="preserve">, no empty row is created.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 check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done: row status changes,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Added to document kit — rechecking against Article 13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re-run.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Chip A / B /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View another segment's checklist 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Download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Download bilingual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Draft bilingual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View 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Upload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drag-and-drop area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Upload, suggest item, user confirms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kit 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SC-27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checklist is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generated from the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rStyle w:val="VerbatimChar"/>
                <w:bCs/>
                <w:b/>
                <w:sz w:val="17"/>
              </w:rPr>
              <w:t xml:space="preserve">segment_requirements</w:t>
            </w:r>
            <w:r>
              <w:rPr>
                <w:bCs/>
                <w:b/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by segment, plus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documents for confirmed locations — nothing hard-coded.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document carries a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basis label</w:t>
            </w:r>
            <w:r>
              <w:rPr>
                <w:sz w:val="17"/>
              </w:rPr>
              <w:t xml:space="preserve">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Required by law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Commonly requested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Location-specific</w:t>
            </w:r>
            <w:r>
              <w:rPr>
                <w:sz w:val="17"/>
              </w:rPr>
              <w:t xml:space="preserve">. Never present everything as mandatory.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set shared 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; the 4 Article 13 rows always match across both screens.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Files are stored in a private bucket; only project members can read them; every download is logged.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suggested item for a file is only a suggestion —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the user confirms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before it is assigned.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Human-decides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spec-M5.md (F-M5-01)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 checklist by segment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spec-M5.md (F-M5-02)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and replace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spec-M5.md (F-M5-03)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Per-item status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table becomes a list of cards; the segment differences block collapses into an expandable section.</w:t>
      </w:r>
    </w:p>
    <w:p>
      <w:pPr>
        <w:numPr>
          <w:ilvl w:val="0"/>
          <w:numId w:val="1001"/>
        </w:numPr>
        <w:pStyle w:val="Compact"/>
      </w:pPr>
      <w:r>
        <w:t xml:space="preserve">The drag-and-drop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users who don't use a mouse.</w:t>
      </w:r>
    </w:p>
    <w:p>
      <w:pPr>
        <w:numPr>
          <w:ilvl w:val="0"/>
          <w:numId w:val="1001"/>
        </w:numPr>
        <w:pStyle w:val="Compact"/>
      </w:pPr>
      <w:r>
        <w:t xml:space="preserve">Basis and status labels always include text.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img/SC-26.png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