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screen-spec-sc-29-20-day-countdown"/>
    <w:p>
      <w:pPr>
        <w:pStyle w:val="Heading1"/>
      </w:pPr>
      <w:r>
        <w:t xml:space="preserve">Screen Spec: SC-29 20-day countdown</w:t>
      </w:r>
    </w:p>
    <w:p>
      <w:pPr>
        <w:pStyle w:val="BlockText"/>
      </w:pPr>
      <w:r>
        <w:t xml:space="preserve">DBIZ3 Session 4 template — one file per screen. The Screen ID is kept from the DBIZ2 Screen List.</w:t>
      </w:r>
      <w:r>
        <w:t xml:space="preserve"> </w:t>
      </w:r>
      <w:r>
        <w:t xml:space="preserve">The mockup image stays an image; everything around it is text.</w:t>
      </w:r>
      <w:r>
        <w:t xml:space="preserve"> </w:t>
      </w:r>
      <w:r>
        <w:rPr>
          <w:bCs/>
          <w:b/>
        </w:rPr>
        <w:t xml:space="preserve">Each orange numbered badge on the mockup is the row with the same number in section 3 (Element inventory).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Field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ID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SC-29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Screen name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20-day countdown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Must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Belongs to module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docs/spec/spec-M5.md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Mockup image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img/SC-29.png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Draft</w:t>
            </w:r>
          </w:p>
        </w:tc>
      </w:tr>
    </w:tbl>
    <w:p>
      <w:pPr>
        <w:pStyle w:val="BodyText"/>
      </w:pPr>
      <w:r>
        <w:rPr>
          <w:iCs/>
          <w:i/>
        </w:rPr>
        <w:t xml:space="preserve">Route:</w:t>
      </w:r>
      <w:r>
        <w:t xml:space="preserve"> </w:t>
      </w:r>
      <w:r>
        <w:rPr>
          <w:rStyle w:val="VerbatimChar"/>
        </w:rPr>
        <w:t xml:space="preserve">/projects/[id]/timeline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Screen list file:</w:t>
      </w:r>
      <w:r>
        <w:t xml:space="preserve"> </w:t>
      </w:r>
      <w:r>
        <w:t xml:space="preserve">M5, item #17 (Tier 1 — Must) ·</w:t>
      </w:r>
      <w:r>
        <w:t xml:space="preserve"> </w:t>
      </w:r>
      <w:r>
        <w:rPr>
          <w:iCs/>
          <w:i/>
        </w:rPr>
        <w:t xml:space="preserve">Design note from the screen list file:</w:t>
      </w:r>
      <w:r>
        <w:t xml:space="preserve"> </w:t>
      </w:r>
      <w:r>
        <w:t xml:space="preserve">Timeline counting back from the shoot, emphasising the submission deadline.</w:t>
      </w:r>
    </w:p>
    <w:bookmarkStart w:id="20" w:name="Xe656c7b6450ec476f453091ff6f524ec7bd654f"/>
    <w:p>
      <w:pPr>
        <w:pStyle w:val="Heading2"/>
      </w:pPr>
      <w:r>
        <w:t xml:space="preserve">1. Purpose</w:t>
      </w:r>
    </w:p>
    <w:p>
      <w:pPr>
        <w:pStyle w:val="FirstParagraph"/>
      </w:pPr>
      <w:r>
        <w:rPr>
          <w:bCs/>
          <w:b/>
        </w:rPr>
        <w:t xml:space="preserve">Shown when:</w:t>
      </w:r>
      <w:r>
        <w:t xml:space="preserve"> </w:t>
      </w:r>
      <w:r>
        <w:t xml:space="preserve">Member clicks the deadline strip on</w:t>
      </w:r>
      <w:r>
        <w:t xml:space="preserve"> </w:t>
      </w:r>
      <w:r>
        <w:rPr>
          <w:rStyle w:val="VerbatimChar"/>
        </w:rPr>
        <w:t xml:space="preserve">SC-12</w:t>
      </w:r>
      <w:r>
        <w:t xml:space="preserve">,</w:t>
      </w:r>
      <w:r>
        <w:t xml:space="preserve"> </w:t>
      </w:r>
      <w:r>
        <w:rPr>
          <w:iCs/>
          <w:i/>
        </w:rPr>
        <w:t xml:space="preserve">Countdown</w:t>
      </w:r>
      <w:r>
        <w:t xml:space="preserve"> </w:t>
      </w:r>
      <w:r>
        <w:t xml:space="preserve">in the sidebar, or the deadline link on</w:t>
      </w:r>
      <w:r>
        <w:t xml:space="preserve"> </w:t>
      </w:r>
      <w:r>
        <w:rPr>
          <w:rStyle w:val="VerbatimChar"/>
        </w:rPr>
        <w:t xml:space="preserve">SC-27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The user leaves this screen when:</w:t>
      </w:r>
      <w:r>
        <w:t xml:space="preserve"> </w:t>
      </w:r>
      <w:r>
        <w:t xml:space="preserve">Member changes the first shooting day / safety buffer, turns on reminders, or moves to the document kit.</w:t>
      </w:r>
    </w:p>
    <w:bookmarkEnd w:id="20"/>
    <w:bookmarkStart w:id="24" w:name="Xab1c1ee4d29bb7bad69e07c27644b5072f51ec7"/>
    <w:p>
      <w:pPr>
        <w:pStyle w:val="Heading2"/>
      </w:pPr>
      <w:r>
        <w:t xml:space="preserve">2. Mockup</w:t>
      </w:r>
    </w:p>
    <w:p>
      <w:pPr>
        <w:pStyle w:val="FirstParagraph"/>
      </w:pPr>
      <w:r>
        <w:drawing>
          <wp:inline>
            <wp:extent cx="5334000" cy="3315006"/>
            <wp:effectExtent b="0" l="0" r="0" t="0"/>
            <wp:docPr descr="SC-29" title="" id="22" name="Picture"/>
            <a:graphic>
              <a:graphicData uri="http://schemas.openxmlformats.org/drawingml/2006/picture">
                <pic:pic>
                  <pic:nvPicPr>
                    <pic:cNvPr descr="img/SC-29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150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t xml:space="preserve">The image is the visual contract (layout, grouping, hierarchy); the tables below are the behavioural contract.</w:t>
      </w:r>
      <w:r>
        <w:t xml:space="preserve"> </w:t>
      </w:r>
      <w:r>
        <w:t xml:space="preserve">All data in the mockup is sample data for one fictional project (</w:t>
      </w:r>
      <w:r>
        <w:rPr>
          <w:iCs/>
          <w:i/>
        </w:rPr>
        <w:t xml:space="preserve">The Last Ferry</w:t>
      </w:r>
      <w:r>
        <w:t xml:space="preserve">, Harbour Line Films); organisation names, people and phone numbers are examples, not real records.</w:t>
      </w:r>
    </w:p>
    <w:bookmarkEnd w:id="24"/>
    <w:bookmarkStart w:id="25" w:name="Xc1dc304234f3c242dbb73a86df4eae3b664f130"/>
    <w:p>
      <w:pPr>
        <w:pStyle w:val="Heading2"/>
      </w:pPr>
      <w:r>
        <w:t xml:space="preserve">3. Element inventory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643"/>
        <w:gridCol w:w="1643"/>
        <w:gridCol w:w="1643"/>
        <w:gridCol w:w="1643"/>
        <w:gridCol w:w="1643"/>
        <w:gridCol w:w="1643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Type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Content / data source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Required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Validation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Navigation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Header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Project sidebar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List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static;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Countdown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selected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(editable)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Input (date)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projects.shooting_start_date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after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Safety 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Toggle (dropdown)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projects.buffer_days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0 / 7 / 14 / 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Safe submission deadline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F-M2-17</w:t>
            </w:r>
            <w:r>
              <w:rPr>
                <w:sz w:val="17"/>
              </w:rPr>
              <w:t xml:space="preserve">: first shooting day − buffer − 20 − 20; days remaining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most prominent element on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Timeline axis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(timeline)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from today to after the first shooting day, monthly ticks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Milestone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marker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timeline_milestones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partner confirmed, Vietnamese version done, safe deadline, latest deadline, first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overdue milestones turn 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Smooth-path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submission date → +20 days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One-resubmission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bar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submission date → +40 days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Today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marker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current date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Holiday band within processing period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Chart band + 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sz w:val="17"/>
              </w:rPr>
              <w:t xml:space="preserve">public_holidays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(Lunar New Year (Tết), 30/4–1/5, 2/9…)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only shown when it falls in the processing window; 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expected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until the official calendar is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Article 13 cl.4 basis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Remind me by email · Add to calendar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Resend +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.ics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</w:tbl>
    <w:bookmarkEnd w:id="25"/>
    <w:bookmarkStart w:id="26" w:name="Xd9ac1b82c5a54bb51654173ea467e0558fddf3c"/>
    <w:p>
      <w:pPr>
        <w:pStyle w:val="Heading2"/>
      </w:pPr>
      <w:r>
        <w:t xml:space="preserve">4. States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State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the user sees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Trigger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Default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Three top cards (first shooting day, buffer, safe submission deadline), timeline with milestones, two path bars, Tết band, two warnings.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Empty (no data)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first shooting day: the axis is replaced by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Enter your first shooting day to calculate the deadline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date field. Segment C: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Segment C projects don't need an Article 13 filming permit — no countdown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 date / segment 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Not applicable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— calculated instantly from the first shooting day; changing the date redraws the axis immediately.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Error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 too close (safe deadline has passed): card 5 changes to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Safe submission deadline passed 12 days ago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+ red warning and a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Book a VFDA consultation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button. Bad news is never hidden.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Safe deadline &lt; today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Success / confirmation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Reminders on → green strip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We'll remind you 30, 14 and 3 days before 27/01/2027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.ics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file downloads.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Reminders turned on</w:t>
            </w:r>
          </w:p>
        </w:tc>
      </w:tr>
    </w:tbl>
    <w:bookmarkEnd w:id="26"/>
    <w:bookmarkStart w:id="27" w:name="X6daa1efce0c66502e0a0acb4481ff610810f0a6"/>
    <w:p>
      <w:pPr>
        <w:pStyle w:val="Heading2"/>
      </w:pPr>
      <w:r>
        <w:t xml:space="preserve">5. Interactions and navigation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1972"/>
        <w:gridCol w:w="1972"/>
        <w:gridCol w:w="1972"/>
        <w:gridCol w:w="1972"/>
        <w:gridCol w:w="1972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#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Element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User action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System response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Goes to screen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First shooting day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Edit date; all milestones recalculated; deadline strip on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SC-12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updated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Safety 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Change buffer days; recalculate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 milestone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Opens the related screen (partner confirmed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SC-25</w:t>
            </w:r>
            <w:r>
              <w:rPr>
                <w:sz w:val="17"/>
              </w:rPr>
              <w:t xml:space="preserve">, Vietnamese version →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SC-28</w:t>
            </w:r>
            <w:r>
              <w:rPr>
                <w:sz w:val="17"/>
              </w:rP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SC-25 / SC-28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  <w:sz w:val="17"/>
              </w:rPr>
              <w:t xml:space="preserve">Remind me by email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button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Creates email reminders, downloads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.ics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stays</w:t>
            </w:r>
          </w:p>
        </w:tc>
      </w:tr>
    </w:tbl>
    <w:bookmarkEnd w:id="27"/>
    <w:bookmarkStart w:id="28" w:name="X2b50e8a694f07f84d4f56a725b2023cb14a732c"/>
    <w:p>
      <w:pPr>
        <w:pStyle w:val="Heading2"/>
      </w:pPr>
      <w:r>
        <w:t xml:space="preserve">6. Screen-level rules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3286"/>
        <w:gridCol w:w="3286"/>
        <w:gridCol w:w="3286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 ID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Rule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sz w:val="17"/>
              </w:rPr>
              <w:t xml:space="preserve">Safe submission deadline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= first shooting day − buffer − 20 − 20 days: room for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one resubmission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under Article 13 cl.4. This is the most emphasised figure.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Function list — note #17; Article 13 cl.4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SR-172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Always show the consequence of submitting late (e.g.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result after the first shooting day</w:t>
            </w:r>
            <w:r>
              <w:rPr>
                <w:sz w:val="17"/>
              </w:rPr>
              <w:t xml:space="preserve">). Never soften bad news.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Honesty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The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same calculation function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is used by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SC-12</w:t>
            </w:r>
            <w:r>
              <w:rPr>
                <w:sz w:val="17"/>
              </w:rPr>
              <w:t xml:space="preserve">,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SC-27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and this screen.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Consistency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SR-174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Public holidays are read from the</w:t>
            </w:r>
            <w:r>
              <w:rPr>
                <w:sz w:val="17"/>
              </w:rPr>
              <w:t xml:space="preserve"> </w:t>
            </w:r>
            <w:r>
              <w:rPr>
                <w:rStyle w:val="VerbatimChar"/>
                <w:sz w:val="17"/>
              </w:rPr>
              <w:t xml:space="preserve">public_holidays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table; dates without an official calendar are clearly marked</w:t>
            </w:r>
            <w:r>
              <w:rPr>
                <w:sz w:val="17"/>
              </w:rPr>
              <w:t xml:space="preserve"> </w:t>
            </w:r>
            <w:r>
              <w:rPr>
                <w:iCs/>
                <w:i/>
                <w:sz w:val="17"/>
              </w:rPr>
              <w:t xml:space="preserve">expected</w:t>
            </w:r>
            <w:r>
              <w:rPr>
                <w:sz w:val="17"/>
              </w:rP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No-guessing principle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SR-175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Calculated in</w:t>
            </w:r>
            <w:r>
              <w:rPr>
                <w:sz w:val="17"/>
              </w:rPr>
              <w:t xml:space="preserve"> </w:t>
            </w:r>
            <w:r>
              <w:rPr>
                <w:bCs/>
                <w:b/>
                <w:sz w:val="17"/>
              </w:rPr>
              <w:t xml:space="preserve">calendar days</w:t>
            </w:r>
            <w:r>
              <w:rPr>
                <w:sz w:val="17"/>
              </w:rPr>
              <w:t xml:space="preserve"> </w:t>
            </w:r>
            <w:r>
              <w:rPr>
                <w:sz w:val="17"/>
              </w:rPr>
              <w:t xml:space="preserve">until the VFDA Legal Board confirms the method.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Interim assumption</w:t>
            </w:r>
          </w:p>
        </w:tc>
      </w:tr>
    </w:tbl>
    <w:bookmarkEnd w:id="28"/>
    <w:bookmarkStart w:id="29" w:name="X8e718e52f8674338f0122bc3a8ac4acb3f1bfa9"/>
    <w:p>
      <w:pPr>
        <w:pStyle w:val="Heading2"/>
      </w:pPr>
      <w:r>
        <w:t xml:space="preserve">7. Linked requirements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color="C9CED6"/>
          <w:left w:val="single" w:sz="4" w:color="C9CED6"/>
          <w:bottom w:val="single" w:sz="4" w:color="C9CED6"/>
          <w:right w:val="single" w:sz="4" w:color="C9CED6"/>
          <w:insideH w:val="single" w:sz="4" w:color="C9CED6"/>
          <w:insideV w:val="single" w:sz="4" w:color="C9CED6"/>
        </w:tblBorders>
        <w:tblW w:w="5000" w:type="pct"/>
      </w:tblPr>
      <w:tblGrid>
        <w:gridCol w:w="4930"/>
        <w:gridCol w:w="4930"/>
      </w:tblGrid>
      <w:tr>
        <w:trPr>
          <w:tblHeader w:val="true"/>
        </w:trPr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FR ID (from the module spec)</w:t>
            </w:r>
          </w:p>
        </w:tc>
        <w:tc>
          <w:tcPr>
            <w:shd w:val="clear" w:color="auto" w:fill="E4ECF7"/>
          </w:tcPr>
          <w:p>
            <w:pPr>
              <w:pStyle w:val="Compact"/>
              <w:jc w:val="left"/>
            </w:pPr>
            <w:r>
              <w:rPr>
                <w:b/>
                <w:color w:val="1F2A5C"/>
                <w:sz w:val="17"/>
              </w:rPr>
              <w:t xml:space="preserve">What this screen does for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FR-017 · spec-M2.md (F-M2-17)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Calculate the 20-day milestone and countdown milestones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FR-018 · spec-M2.md (F-M2-18)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Show both paths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FR-007 · spec-M5.md (F-M5-07)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Enter planned shooting 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spec-M5.md (F-M5-08)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Two-path timeline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FR-008 · spec-SYS.md (F-SYS-08)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z w:val="17"/>
              </w:rPr>
              <w:t xml:space="preserve">Deadline reminder emails</w:t>
            </w:r>
          </w:p>
        </w:tc>
      </w:tr>
    </w:tbl>
    <w:bookmarkEnd w:id="29"/>
    <w:bookmarkStart w:id="30" w:name="X9d5077cc76b120d31ab1f686e49688bcc265d82"/>
    <w:p>
      <w:pPr>
        <w:pStyle w:val="Heading2"/>
      </w:pPr>
      <w:r>
        <w:t xml:space="preserve">8. Responsive and accessibility notes</w:t>
      </w:r>
    </w:p>
    <w:p>
      <w:pPr>
        <w:numPr>
          <w:ilvl w:val="0"/>
          <w:numId w:val="1001"/>
        </w:numPr>
        <w:pStyle w:val="Compact"/>
      </w:pPr>
      <w:r>
        <w:t xml:space="preserve">Minimum supported width:</w:t>
      </w:r>
      <w:r>
        <w:t xml:space="preserve"> </w:t>
      </w:r>
      <w:r>
        <w:rPr>
          <w:bCs/>
          <w:b/>
        </w:rPr>
        <w:t xml:space="preserve">360px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Narrow screens: the horizontal axis becomes a vertical list of milestones; the safe submission deadline card stays on top.</w:t>
      </w:r>
    </w:p>
    <w:p>
      <w:pPr>
        <w:numPr>
          <w:ilvl w:val="0"/>
          <w:numId w:val="1001"/>
        </w:numPr>
        <w:pStyle w:val="Compact"/>
      </w:pPr>
      <w:r>
        <w:t xml:space="preserve">The timeline has a table alternative (milestone – date – days remaining) for screen readers.</w:t>
      </w:r>
    </w:p>
    <w:p>
      <w:pPr>
        <w:numPr>
          <w:ilvl w:val="0"/>
          <w:numId w:val="1001"/>
        </w:numPr>
        <w:pStyle w:val="Compact"/>
      </w:pPr>
      <w:r>
        <w:t xml:space="preserve">The safe deadline stands out through font size and border, not red alone.</w:t>
      </w:r>
    </w:p>
    <w:bookmarkEnd w:id="30"/>
    <w:bookmarkStart w:id="31" w:name="X1eac4ebe82c6da8aa74d16d08bf85a2f3190a4f"/>
    <w:p>
      <w:pPr>
        <w:pStyle w:val="Heading2"/>
      </w:pPr>
      <w:r>
        <w:t xml:space="preserve">9. Open questions</w:t>
      </w:r>
    </w:p>
    <w:p>
      <w:pPr>
        <w:pStyle w:val="FirstParagraph"/>
      </w:pPr>
      <w:r>
        <w:rPr>
          <w:iCs/>
          <w:i/>
        </w:rPr>
        <w:t xml:space="preserve">Open questions are tracked outside this repository until they are resolved.</w:t>
      </w:r>
    </w:p>
    <w:bookmarkEnd w:id="31"/>
    <w:bookmarkStart w:id="32" w:name="completion-checklist"/>
    <w:p>
      <w:pPr>
        <w:pStyle w:val="Heading2"/>
      </w:pPr>
      <w:r>
        <w:t xml:space="preserve">Completion checklist</w:t>
      </w:r>
    </w:p>
    <w:p>
      <w:pPr>
        <w:numPr>
          <w:ilvl w:val="0"/>
          <w:numId w:val="1002"/>
        </w:numPr>
        <w:pStyle w:val="Compact"/>
      </w:pPr>
      <w:r>
        <w:t xml:space="preserve">☒ The mockup is a separate cropped image file, named with the Screen ID (</w:t>
      </w:r>
      <w:r>
        <w:rPr>
          <w:rStyle w:val="VerbatimChar"/>
        </w:rPr>
        <w:t xml:space="preserve">img/SC-29.png</w:t>
      </w:r>
      <w:r>
        <w:t xml:space="preserve">).</w:t>
      </w:r>
    </w:p>
    <w:p>
      <w:pPr>
        <w:numPr>
          <w:ilvl w:val="0"/>
          <w:numId w:val="1002"/>
        </w:numPr>
        <w:pStyle w:val="Compact"/>
      </w:pPr>
      <w:r>
        <w:t xml:space="preserve">☒ Every visible element in the mockup appears in the element inventory — machine-checked: badge numbers on the image = row numbers in section 3.</w:t>
      </w:r>
    </w:p>
    <w:p>
      <w:pPr>
        <w:numPr>
          <w:ilvl w:val="0"/>
          <w:numId w:val="1002"/>
        </w:numPr>
        <w:pStyle w:val="Compact"/>
      </w:pPr>
      <w:r>
        <w:t xml:space="preserve">☒ Every input element has a validation rule or an explicit "—".</w:t>
      </w:r>
    </w:p>
    <w:p>
      <w:pPr>
        <w:numPr>
          <w:ilvl w:val="0"/>
          <w:numId w:val="1002"/>
        </w:numPr>
        <w:pStyle w:val="Compact"/>
      </w:pPr>
      <w:r>
        <w:t xml:space="preserve">☒ All five states are filled in, or marked "Not applicable" with a reason.</w:t>
      </w:r>
    </w:p>
    <w:p>
      <w:pPr>
        <w:numPr>
          <w:ilvl w:val="0"/>
          <w:numId w:val="1002"/>
        </w:numPr>
        <w:pStyle w:val="Compact"/>
      </w:pPr>
      <w:r>
        <w:t xml:space="preserve">☒ Every navigation target is a Screen ID that exists in</w:t>
      </w:r>
      <w:r>
        <w:t xml:space="preserve"> </w:t>
      </w:r>
      <w:r>
        <w:rPr>
          <w:rStyle w:val="VerbatimChar"/>
        </w:rPr>
        <w:t xml:space="preserve">docs/screen-list.md</w:t>
      </w:r>
      <w:r>
        <w:t xml:space="preserve"> </w:t>
      </w:r>
      <w:r>
        <w:t xml:space="preserve">— machine-checked.</w:t>
      </w:r>
    </w:p>
    <w:p>
      <w:pPr>
        <w:numPr>
          <w:ilvl w:val="0"/>
          <w:numId w:val="1002"/>
        </w:numPr>
        <w:pStyle w:val="Compact"/>
      </w:pPr>
      <w:r>
        <w:t xml:space="preserve">☒ Every element that displays data names the field it displays, matching</w:t>
      </w:r>
      <w:r>
        <w:t xml:space="preserve"> </w:t>
      </w:r>
      <w:r>
        <w:rPr>
          <w:rStyle w:val="VerbatimChar"/>
        </w:rPr>
        <w:t xml:space="preserve">docs/spec/spec-M5.md</w:t>
      </w:r>
      <w:r>
        <w:t xml:space="preserve"> </w:t>
      </w:r>
      <w:r>
        <w:t xml:space="preserve">section 5.1.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Checked by a person:</w:t>
      </w:r>
      <w:r>
        <w:t xml:space="preserve"> </w:t>
      </w:r>
      <w:r>
        <w:rPr>
          <w:iCs/>
          <w:i/>
        </w:rPr>
        <w:t xml:space="preserve">(not signed — a Group C member compares the image with the tables and signs here)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DBIZ3 Session 4 · Group C · CINEMATCH. Built on the DBIZ2 Screen Design (Screen List and Screen Layout).</w:t>
      </w:r>
    </w:p>
    <w:bookmarkEnd w:id="32"/>
    <w:bookmarkEnd w:id="33"/>
    <w:sectPr>
      <w:pgMar w:bottom="1020" w:left="1020" w:right="1020" w:top="10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eastAsia="Calibri" w:hAnsi="Calibr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eastAsia="Calibri" w:hAnsi="Calibri"/>
      <w:sz w:val="20"/>
    </w:rPr>
  </w:style>
  <w:style w:customStyle="1" w:styleId="FirstParagraph" w:type="paragraph">
    <w:name w:val="First Paragraph"/>
    <w:basedOn w:val="BodyText"/>
    <w:next w:val="BodyText"/>
    <w:qFormat/>
    <w:rPr>
      <w:rFonts w:ascii="Calibri" w:eastAsia="Calibri" w:hAnsi="Calibri"/>
      <w:sz w:val="20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eastAsia="Calibri" w:hAnsi="Calibri"/>
      <w:sz w:val="20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4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30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Calibri" w:asciiTheme="majorHAnsi" w:cstheme="majorBidi" w:eastAsia="Calibri" w:eastAsiaTheme="majorEastAsia" w:hAnsi="Calibri" w:hAnsiTheme="majorHAnsi"/>
      <w:b/>
      <w:bCs/>
      <w:color w:val="1F2A5C"/>
      <w:sz w:val="25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Calibri" w:asciiTheme="majorHAnsi" w:cstheme="majorBidi" w:eastAsia="Calibri" w:eastAsiaTheme="majorEastAsia" w:hAnsi="Calibri" w:hAnsiTheme="majorHAnsi"/>
      <w:b/>
      <w:bCs/>
      <w:color w:val="1F5F8B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eastAsia="Calibri" w:hAnsi="Calibri"/>
      <w:i/>
      <w:color w:val="5B626C"/>
      <w:sz w:val="18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Consolas" w:hAnsi="Consolas"/>
      <w:sz w:val="16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1" Type="http://schemas.openxmlformats.org/officeDocument/2006/relationships/image" Target="media/rId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2026-09-29T07:25:35Z</dcterms:created>
  <dcterms:modified xsi:type="dcterms:W3CDTF">2026-09-29T07:25:35Z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