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9452e7ec7b62ff3a25991307391d2e063abc04e"/>
    <w:p>
      <w:pPr>
        <w:pStyle w:val="Heading1"/>
      </w:pPr>
      <w:r>
        <w:t xml:space="preserve">Spec Document: VFDA support — provincial notices and consultations</w:t>
      </w:r>
    </w:p>
    <w:p>
      <w:pPr>
        <w:pStyle w:val="BlockText"/>
      </w:pPr>
      <w:r>
        <w:t xml:space="preserve">DBIZ3 Session 4 template — one file per module. Written for a reader who has never seen the DBIZ2 report.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support — provincial notices and consultations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 (team member)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Tran — Group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Approved by (Client role)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yet — VFDA project lead (and VFDA Legal Board for legal rules)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DBIZ2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89–95 (F-M7-01 .. F-M7-07); Use Case UC-22, UC-23; Screens SC-32, SC-33</w:t>
            </w:r>
          </w:p>
        </w:tc>
      </w:tr>
    </w:tbl>
    <w:bookmarkStart w:id="20" w:name="X4666c8db187a468bd7c4d1efd69e1ca31a62544"/>
    <w:p>
      <w:pPr>
        <w:pStyle w:val="Heading2"/>
      </w:pPr>
      <w:r>
        <w:t xml:space="preserve">1. Purpose and scope</w:t>
      </w:r>
    </w:p>
    <w:p>
      <w:pPr>
        <w:pStyle w:val="FirstParagraph"/>
      </w:pPr>
      <w:r>
        <w:t xml:space="preserve">This module lets a producer tell the provinces where they plan to shoot, through VFDA, and see each province's reply; it also lets them book a consultation with VFDA staff. It turns VFDA's relationships with local governments into something a foreign producer can use.</w:t>
      </w:r>
    </w:p>
    <w:p>
      <w:pPr>
        <w:pStyle w:val="BodyText"/>
      </w:pPr>
      <w:r>
        <w:rPr>
          <w:bCs/>
          <w:b/>
        </w:rPr>
        <w:t xml:space="preserve">In scope</w:t>
      </w:r>
    </w:p>
    <w:p>
      <w:pPr>
        <w:numPr>
          <w:ilvl w:val="0"/>
          <w:numId w:val="1001"/>
        </w:numPr>
        <w:pStyle w:val="Compact"/>
      </w:pPr>
      <w:r>
        <w:t xml:space="preserve">Registering interest in a location, generating the provincial notice, recording the province's reply, tracking status.</w:t>
      </w:r>
    </w:p>
    <w:p>
      <w:pPr>
        <w:numPr>
          <w:ilvl w:val="0"/>
          <w:numId w:val="1001"/>
        </w:numPr>
        <w:pStyle w:val="Compact"/>
      </w:pPr>
      <w:r>
        <w:t xml:space="preserve">Booking, confirming and reminding VFDA consultations.</w:t>
      </w:r>
    </w:p>
    <w:p>
      <w:pPr>
        <w:pStyle w:val="FirstParagraph"/>
      </w:pPr>
      <w:r>
        <w:rPr>
          <w:bCs/>
          <w:b/>
        </w:rPr>
        <w:t xml:space="preserve">Out of scope</w:t>
      </w:r>
    </w:p>
    <w:p>
      <w:pPr>
        <w:numPr>
          <w:ilvl w:val="0"/>
          <w:numId w:val="1002"/>
        </w:numPr>
        <w:pStyle w:val="Compact"/>
      </w:pPr>
      <w:r>
        <w:t xml:space="preserve">The filming licence itself (issued by the Ministry of Culture, Sports and Tourism).</w:t>
      </w:r>
    </w:p>
    <w:p>
      <w:pPr>
        <w:numPr>
          <w:ilvl w:val="0"/>
          <w:numId w:val="1002"/>
        </w:numPr>
        <w:pStyle w:val="Compact"/>
      </w:pPr>
      <w:r>
        <w:t xml:space="preserve">Negotiating with a province on the producer's behalf beyond the notice.</w:t>
      </w:r>
    </w:p>
    <w:p>
      <w:pPr>
        <w:pStyle w:val="FirstParagraph"/>
      </w:pPr>
      <w:r>
        <w:rPr>
          <w:bCs/>
          <w:b/>
        </w:rPr>
        <w:t xml:space="preserve">Depends on</w:t>
      </w:r>
    </w:p>
    <w:p>
      <w:pPr>
        <w:numPr>
          <w:ilvl w:val="0"/>
          <w:numId w:val="1003"/>
        </w:numPr>
        <w:pStyle w:val="Compact"/>
      </w:pPr>
      <w:r>
        <w:t xml:space="preserve">M3 (location, authority contact)</w:t>
      </w:r>
    </w:p>
    <w:p>
      <w:pPr>
        <w:numPr>
          <w:ilvl w:val="0"/>
          <w:numId w:val="1003"/>
        </w:numPr>
        <w:pStyle w:val="Compact"/>
      </w:pPr>
      <w:r>
        <w:t xml:space="preserve">M0 (project data)</w:t>
      </w:r>
    </w:p>
    <w:p>
      <w:pPr>
        <w:numPr>
          <w:ilvl w:val="0"/>
          <w:numId w:val="1003"/>
        </w:numPr>
        <w:pStyle w:val="Compact"/>
      </w:pPr>
      <w:r>
        <w:t xml:space="preserve">M4 (confirmed partner shown in the notice)</w:t>
      </w:r>
    </w:p>
    <w:p>
      <w:pPr>
        <w:numPr>
          <w:ilvl w:val="0"/>
          <w:numId w:val="1003"/>
        </w:numPr>
        <w:pStyle w:val="Compact"/>
      </w:pPr>
      <w:r>
        <w:t xml:space="preserve">SYS (email, notifications)</w:t>
      </w:r>
    </w:p>
    <w:bookmarkEnd w:id="20"/>
    <w:bookmarkStart w:id="21" w:name="X572f76d4414d525199501e7085f189788c65188"/>
    <w:p>
      <w:pPr>
        <w:pStyle w:val="Heading2"/>
      </w:pPr>
      <w:r>
        <w:t xml:space="preserve">2. Actors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Role in this module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Where it comes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— registers interest, follows replies, books consultations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(F-M7-01, 04, 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Provincial People's Committee / Department of Culture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Secondary — replies to the 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(F-M7-03)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Secondary — reviews and sends notices, confirms consultations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(F-M7-06)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Generates notices and reminders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(F-M7-02, 07)</w:t>
            </w:r>
          </w:p>
        </w:tc>
      </w:tr>
    </w:tbl>
    <w:bookmarkEnd w:id="21"/>
    <w:bookmarkStart w:id="26" w:name="X6e9f8def7ab98f65fc162bbf7fd6dd9285f3897"/>
    <w:p>
      <w:pPr>
        <w:pStyle w:val="Heading2"/>
      </w:pPr>
      <w:r>
        <w:t xml:space="preserve">3. User scenarios and acceptance criteria</w:t>
      </w:r>
    </w:p>
    <w:bookmarkStart w:id="22" w:name="X5c8b11bf14003780378183dbdf5fcaeef7ccfcd"/>
    <w:p>
      <w:pPr>
        <w:pStyle w:val="Heading3"/>
      </w:pPr>
      <w:r>
        <w:t xml:space="preserve">US-1 (P2): Let the province know we are coming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producer, I want the province to be told about my shoot through VFDA, so that local officials are prepared and I am not a surprise.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member clicks</w:t>
      </w:r>
      <w:r>
        <w:t xml:space="preserve"> </w:t>
      </w:r>
      <w:r>
        <w:rPr>
          <w:iCs/>
          <w:i/>
        </w:rPr>
        <w:t xml:space="preserve">I'm interested</w:t>
      </w:r>
      <w:r>
        <w:t xml:space="preserve"> </w:t>
      </w:r>
      <w:r>
        <w:t xml:space="preserve">on Tràng An for project The Last Ferry,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it is saved,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 notice for Ninh Bình is drafted from the project data and appears on the Provinces page at step 1.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notice missing the first shooting day,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member tries to send it,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sending is disabled with</w:t>
      </w:r>
      <w:r>
        <w:t xml:space="preserve"> </w:t>
      </w:r>
      <w:r>
        <w:rPr>
          <w:iCs/>
          <w:i/>
        </w:rPr>
        <w:t xml:space="preserve">A first shooting day is needed before notifying</w:t>
      </w:r>
      <w:r>
        <w:t xml:space="preserve">.</w:t>
      </w:r>
    </w:p>
    <w:bookmarkEnd w:id="22"/>
    <w:bookmarkStart w:id="23" w:name="us-2-p2-see-the-provinces-reply"/>
    <w:p>
      <w:pPr>
        <w:pStyle w:val="Heading3"/>
      </w:pPr>
      <w:r>
        <w:t xml:space="preserve">US-2 (P2): See the province's reply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producer, I want to see each province's reply and what to do next, so that I can plan meetings with the right local office.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the province replies</w:t>
      </w:r>
      <w:r>
        <w:t xml:space="preserve"> </w:t>
      </w:r>
      <w:r>
        <w:rPr>
          <w:iCs/>
          <w:i/>
        </w:rPr>
        <w:t xml:space="preserve">More info needed</w:t>
      </w:r>
      <w:r>
        <w:t xml:space="preserve"> </w:t>
      </w:r>
      <w:r>
        <w:t xml:space="preserve">with a note,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VFDA records it,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producer gets a notification and the card shows the status, the date and the note.</w:t>
      </w:r>
    </w:p>
    <w:bookmarkEnd w:id="23"/>
    <w:bookmarkStart w:id="24" w:name="us-3-p3-book-time-with-vfda"/>
    <w:p>
      <w:pPr>
        <w:pStyle w:val="Heading3"/>
      </w:pPr>
      <w:r>
        <w:t xml:space="preserve">US-3 (P3): Book time with VFDA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producer abroad, I want to book a call with VFDA in my own time zone, so that a real person can answer what the tools cannot.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producer in Seoul picks a slot,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VFDA confirms,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both receive the time in their own time zone and a reminder 24 hours before.</w:t>
      </w:r>
    </w:p>
    <w:bookmarkEnd w:id="24"/>
    <w:bookmarkStart w:id="25" w:name="edge-cases"/>
    <w:p>
      <w:pPr>
        <w:pStyle w:val="Heading3"/>
      </w:pPr>
      <w:r>
        <w:t xml:space="preserve">Edge cases</w:t>
      </w:r>
    </w:p>
    <w:p>
      <w:pPr>
        <w:numPr>
          <w:ilvl w:val="0"/>
          <w:numId w:val="1007"/>
        </w:numPr>
        <w:pStyle w:val="Compact"/>
      </w:pPr>
      <w:r>
        <w:t xml:space="preserve">The authority email bounces: the notice is marked</w:t>
      </w:r>
      <w:r>
        <w:t xml:space="preserve"> </w:t>
      </w:r>
      <w:r>
        <w:rPr>
          <w:iCs/>
          <w:i/>
        </w:rPr>
        <w:t xml:space="preserve">Not delivered</w:t>
      </w:r>
      <w:r>
        <w:t xml:space="preserve"> </w:t>
      </w:r>
      <w:r>
        <w:t xml:space="preserve">and VFDA staff are alerted to find another channel.</w:t>
      </w:r>
    </w:p>
    <w:p>
      <w:pPr>
        <w:numPr>
          <w:ilvl w:val="0"/>
          <w:numId w:val="1007"/>
        </w:numPr>
        <w:pStyle w:val="Compact"/>
      </w:pPr>
      <w:r>
        <w:t xml:space="preserve">The province never replies: after a set number of working days VFDA staff are reminded to follow up.</w:t>
      </w:r>
    </w:p>
    <w:p>
      <w:pPr>
        <w:numPr>
          <w:ilvl w:val="0"/>
          <w:numId w:val="1007"/>
        </w:numPr>
        <w:pStyle w:val="Compact"/>
      </w:pPr>
      <w:r>
        <w:t xml:space="preserve">The producer removes the location from the shortlist after the notice was sent: the notice stays; VFDA may send a withdrawal.</w:t>
      </w:r>
    </w:p>
    <w:bookmarkEnd w:id="25"/>
    <w:bookmarkEnd w:id="26"/>
    <w:bookmarkStart w:id="29" w:name="X642f26008f14b2e5af562a7ed56d7333412cc34"/>
    <w:p>
      <w:pPr>
        <w:pStyle w:val="Heading2"/>
      </w:pPr>
      <w:r>
        <w:t xml:space="preserve">4. Flows</w:t>
      </w:r>
    </w:p>
    <w:bookmarkStart w:id="27" w:name="X42ad61faad3c9be26cc871297adda37c1e3e565"/>
    <w:p>
      <w:pPr>
        <w:pStyle w:val="Heading3"/>
      </w:pPr>
      <w:r>
        <w:t xml:space="preserve">4.1 Usage flow — Provincial People's Committee / Department of Culture</w:t>
      </w:r>
    </w:p>
    <w:p>
      <w:pPr>
        <w:pStyle w:val="BlockText"/>
      </w:pPr>
      <w:r>
        <w:t xml:space="preserve">Textualised from</w:t>
      </w:r>
      <w:r>
        <w:t xml:space="preserve"> </w:t>
      </w:r>
      <w:r>
        <w:rPr>
          <w:rStyle w:val="VerbatimChar"/>
        </w:rPr>
        <w:t xml:space="preserve">docs/architecture/usage-flow.md</w:t>
      </w:r>
      <w:r>
        <w:t xml:space="preserve"> </w:t>
      </w:r>
      <w:r>
        <w:t xml:space="preserve">flow 6, translated. Diamond Q added in Step 3 from F-M7-03 — awaiting Client confirmation.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S([Receive a notice email: a film crew is interested in a local location]) --&gt; OPEN[Open the reply link]</w:t>
      </w:r>
      <w:r>
        <w:br/>
      </w:r>
      <w:r>
        <w:rPr>
          <w:rStyle w:val="VerbatimChar"/>
        </w:rPr>
        <w:t xml:space="preserve">    OPEN --&gt; Q{How does the province reply?}</w:t>
      </w:r>
      <w:r>
        <w:br/>
      </w:r>
      <w:r>
        <w:rPr>
          <w:rStyle w:val="VerbatimChar"/>
        </w:rPr>
        <w:t xml:space="preserve">    Q -- Received --&gt; R1[Status: received]</w:t>
      </w:r>
      <w:r>
        <w:br/>
      </w:r>
      <w:r>
        <w:rPr>
          <w:rStyle w:val="VerbatimChar"/>
        </w:rPr>
        <w:t xml:space="preserve">    Q -- More information needed --&gt; R2[Status: info_needed]</w:t>
      </w:r>
      <w:r>
        <w:br/>
      </w:r>
      <w:r>
        <w:rPr>
          <w:rStyle w:val="VerbatimChar"/>
        </w:rPr>
        <w:t xml:space="preserve">    Q -- Cannot support at this time --&gt; R3[Status: cannot_support]</w:t>
      </w:r>
      <w:r>
        <w:br/>
      </w:r>
      <w:r>
        <w:rPr>
          <w:rStyle w:val="VerbatimChar"/>
        </w:rPr>
        <w:t xml:space="preserve">    R1 --&gt; E([The producer sees the status on the tracking page])</w:t>
      </w:r>
      <w:r>
        <w:br/>
      </w:r>
      <w:r>
        <w:rPr>
          <w:rStyle w:val="VerbatimChar"/>
        </w:rPr>
        <w:t xml:space="preserve">    R2 --&gt; E</w:t>
      </w:r>
      <w:r>
        <w:br/>
      </w:r>
      <w:r>
        <w:rPr>
          <w:rStyle w:val="VerbatimChar"/>
        </w:rPr>
        <w:t xml:space="preserve">    R3 --&gt; E</w:t>
      </w:r>
    </w:p>
    <w:bookmarkEnd w:id="27"/>
    <w:bookmarkStart w:id="28" w:name="X3ba678f2aa46d37dc0df1b8ae8f18a329c87874"/>
    <w:p>
      <w:pPr>
        <w:pStyle w:val="Heading3"/>
      </w:pPr>
      <w:r>
        <w:t xml:space="preserve">4.2 Sequence — provincial notice (SEQ-11)</w:t>
      </w:r>
    </w:p>
    <w:p>
      <w:pPr>
        <w:pStyle w:val="BlockText"/>
      </w:pPr>
      <w:r>
        <w:t xml:space="preserve">Textualised from SEQ-11 (Figure 14), translated. 5 participants, 11 messages. SC-32 inserts a VFDA review before the email is sent — see §11.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Producer</w:t>
      </w:r>
      <w:r>
        <w:br/>
      </w:r>
      <w:r>
        <w:rPr>
          <w:rStyle w:val="VerbatimChar"/>
        </w:rPr>
        <w:t xml:space="preserve">    participant FE as Next.js app</w:t>
      </w:r>
      <w:r>
        <w:br/>
      </w:r>
      <w:r>
        <w:rPr>
          <w:rStyle w:val="VerbatimChar"/>
        </w:rPr>
        <w:t xml:space="preserve">    participant DB as Supabase PostgreSQL + RLS</w:t>
      </w:r>
      <w:r>
        <w:br/>
      </w:r>
      <w:r>
        <w:rPr>
          <w:rStyle w:val="VerbatimChar"/>
        </w:rPr>
        <w:t xml:space="preserve">    participant MAIL as Resend</w:t>
      </w:r>
      <w:r>
        <w:br/>
      </w:r>
      <w:r>
        <w:rPr>
          <w:rStyle w:val="VerbatimChar"/>
        </w:rPr>
        <w:t xml:space="preserve">    actor PV as Provincial People's Committee</w:t>
      </w:r>
      <w:r>
        <w:br/>
      </w:r>
      <w:r>
        <w:br/>
      </w:r>
      <w:r>
        <w:rPr>
          <w:rStyle w:val="VerbatimChar"/>
        </w:rPr>
        <w:t xml:space="preserve">    U-&gt;&gt;FE: Click I'm interested in this location</w:t>
      </w:r>
      <w:r>
        <w:br/>
      </w:r>
      <w:r>
        <w:rPr>
          <w:rStyle w:val="VerbatimChar"/>
        </w:rPr>
        <w:t xml:space="preserve">    FE-&gt;&gt;DB: INSERT location_interest (project_id, location_id)</w:t>
      </w:r>
      <w:r>
        <w:br/>
      </w:r>
      <w:r>
        <w:rPr>
          <w:rStyle w:val="VerbatimChar"/>
        </w:rPr>
        <w:t xml:space="preserve">    DB-&gt;&gt;DB: Database webhook fires</w:t>
      </w:r>
      <w:r>
        <w:br/>
      </w:r>
      <w:r>
        <w:rPr>
          <w:rStyle w:val="VerbatimChar"/>
        </w:rPr>
        <w:t xml:space="preserve">    DB-&gt;&gt;MAIL: Compose the letter with the project summary</w:t>
      </w:r>
      <w:r>
        <w:br/>
      </w:r>
      <w:r>
        <w:rPr>
          <w:rStyle w:val="VerbatimChar"/>
        </w:rPr>
        <w:t xml:space="preserve">    MAIL-&gt;&gt;PV: A film crew is interested in a location in your province</w:t>
      </w:r>
      <w:r>
        <w:br/>
      </w:r>
      <w:r>
        <w:rPr>
          <w:rStyle w:val="VerbatimChar"/>
        </w:rPr>
        <w:t xml:space="preserve">    PV-&gt;&gt;FE: Open the reply link</w:t>
      </w:r>
      <w:r>
        <w:br/>
      </w:r>
      <w:r>
        <w:rPr>
          <w:rStyle w:val="VerbatimChar"/>
        </w:rPr>
        <w:t xml:space="preserve">    PV-&gt;&gt;FE: Received / More information needed / Cannot support</w:t>
      </w:r>
      <w:r>
        <w:br/>
      </w:r>
      <w:r>
        <w:rPr>
          <w:rStyle w:val="VerbatimChar"/>
        </w:rPr>
        <w:t xml:space="preserve">    FE-&gt;&gt;DB: UPDATE reply status</w:t>
      </w:r>
      <w:r>
        <w:br/>
      </w:r>
      <w:r>
        <w:rPr>
          <w:rStyle w:val="VerbatimChar"/>
        </w:rPr>
        <w:t xml:space="preserve">    DB-&gt;&gt;MAIL: Notify the producer</w:t>
      </w:r>
      <w:r>
        <w:br/>
      </w:r>
      <w:r>
        <w:rPr>
          <w:rStyle w:val="VerbatimChar"/>
        </w:rPr>
        <w:t xml:space="preserve">    MAIL-&gt;&gt;U: The province has replied</w:t>
      </w:r>
      <w:r>
        <w:br/>
      </w:r>
      <w:r>
        <w:rPr>
          <w:rStyle w:val="VerbatimChar"/>
        </w:rPr>
        <w:t xml:space="preserve">    U-&gt;&gt;FE: View the provincial coordination page</w:t>
      </w:r>
      <w:r>
        <w:br/>
      </w:r>
      <w:r>
        <w:rPr>
          <w:rStyle w:val="VerbatimChar"/>
        </w:rPr>
        <w:t xml:space="preserve">    Note over DB: This came from the BA Report executive summary and was missed in MVP v1</w:t>
      </w:r>
    </w:p>
    <w:bookmarkEnd w:id="28"/>
    <w:bookmarkEnd w:id="29"/>
    <w:bookmarkStart w:id="32" w:name="X052d9d50bef594c4dcaeeac6011093e4925597a"/>
    <w:p>
      <w:pPr>
        <w:pStyle w:val="Heading2"/>
      </w:pPr>
      <w:r>
        <w:t xml:space="preserve">5. Functional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Subfunction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Requirement (system MUST ...)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record a member's interest in a location for a project.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generate the provincial notice from project data and queue it for VFDA staff to review and send from VFDA's domain.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 / 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record the province's reply as received, info_needed or cannot_support, with an optional note and time.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/ 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the producer, per province, the four-step progress and the reply.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let a member book a VFDA consultation by topic and slot, handling time zones.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let VFDA staff confirm or reschedule and assign an officer.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remind both sides before the consultation.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</w:tbl>
    <w:bookmarkStart w:id="30" w:name="X0b60481e9d94c018d9ee6d90566933e257614bf"/>
    <w:p>
      <w:pPr>
        <w:pStyle w:val="Heading3"/>
      </w:pPr>
      <w:r>
        <w:t xml:space="preserve">5.1 Input / Output contract</w:t>
      </w:r>
    </w:p>
    <w:p>
      <w:pPr>
        <w:pStyle w:val="FirstParagraph"/>
      </w:pPr>
      <w:r>
        <w:t xml:space="preserve">Types and required flags come from</w:t>
      </w:r>
      <w:r>
        <w:t xml:space="preserve"> </w:t>
      </w:r>
      <w:r>
        <w:rPr>
          <w:rStyle w:val="VerbatimChar"/>
        </w:rPr>
        <w:t xml:space="preserve">docs/function-list.md</w:t>
      </w:r>
      <w:r>
        <w:t xml:space="preserve"> </w:t>
      </w:r>
      <w:r>
        <w:t xml:space="preserve">(columns</w:t>
      </w:r>
      <w:r>
        <w:t xml:space="preserve"> </w:t>
      </w:r>
      <w:r>
        <w:rPr>
          <w:iCs/>
          <w:i/>
        </w:rPr>
        <w:t xml:space="preserve">Input — type and required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Output — type</w:t>
      </w:r>
      <w:r>
        <w:t xml:space="preserve">). Changes made in Session 4 are stated in</w:t>
      </w:r>
      <w:r>
        <w:t xml:space="preserve"> </w:t>
      </w:r>
      <w:r>
        <w:rPr>
          <w:iCs/>
          <w:i/>
        </w:rPr>
        <w:t xml:space="preserve">Notes</w:t>
      </w:r>
      <w:r>
        <w:t xml:space="preserve"> </w:t>
      </w:r>
      <w:r>
        <w:t xml:space="preserve">and listed in 11.1.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Input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Output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Notes /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reviewed_by added (VFDA review step, SC-32); needs first shooting day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ENUM(queued, sent, bounced)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response_status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ENUM(received, info_needed, cannot_support)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ARRAY&lt;(location_id UUID, response_status ENUM, responded_at TIMESTAMPTZ)&gt;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card per province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booking_id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IANA time zone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slot_start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booking_id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booking_status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ENUM(confirmed, rescheduled)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officer_id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booking_id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reminders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ARRAY&lt;notification&gt;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records, 24 h before</w:t>
            </w:r>
          </w:p>
        </w:tc>
      </w:tr>
    </w:tbl>
    <w:bookmarkEnd w:id="30"/>
    <w:bookmarkStart w:id="31" w:name="Xf08c5fac6d146dfbd969d3549b1b5c53dd98aa2"/>
    <w:p>
      <w:pPr>
        <w:pStyle w:val="Heading3"/>
      </w:pPr>
      <w:r>
        <w:t xml:space="preserve">5.2 Business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Notices are sent in VFDA's name, never directly by the producer.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is the relationship holder with local government.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notice states that it does not replace the filming licence from the Ministry of Culture, Sports and Tourism.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Avoids a province or producer mistaking it for permission.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province's reply is one of three final values; the free-text note is kept as entered.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Consistent tracking and reporting.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Reply times feed the provincial readiness index (M3).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Makes responsiveness visible and comparable.</w:t>
            </w:r>
          </w:p>
        </w:tc>
      </w:tr>
    </w:tbl>
    <w:bookmarkEnd w:id="31"/>
    <w:bookmarkEnd w:id="32"/>
    <w:bookmarkStart w:id="33" w:name="Xd4a7e4930d01b3f2af150543fa31b412e6715be"/>
    <w:p>
      <w:pPr>
        <w:pStyle w:val="Heading2"/>
      </w:pPr>
      <w:r>
        <w:t xml:space="preserve">6. Key entities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Attributes (from Input/Output fields)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Relationships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interest_id, project_id, location_id, 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Project and 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interest_id, province_id, drafted_at, reviewed_by, sent_at, received_at, response, note, responded_at, 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LocationInterest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ConsultationBooking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booking_id, member_id, topic, slot_start, timezone, officer_id, booking_status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UserAccount</w:t>
            </w:r>
          </w:p>
        </w:tc>
      </w:tr>
    </w:tbl>
    <w:bookmarkEnd w:id="33"/>
    <w:bookmarkStart w:id="34" w:name="Xd2a645a1673f9c3c0ba35362f9a4e8652055502"/>
    <w:p>
      <w:pPr>
        <w:pStyle w:val="Heading2"/>
      </w:pPr>
      <w:r>
        <w:t xml:space="preserve">7. Screens involved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name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Spec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Provincial People's Committee 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docs/screens/screen-spec-SC-32.md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Book a VFDA consultation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written yet — screen not in the 20-screen set</w:t>
            </w:r>
          </w:p>
        </w:tc>
      </w:tr>
    </w:tbl>
    <w:bookmarkEnd w:id="34"/>
    <w:bookmarkStart w:id="35" w:name="Xbe7985084ef4dfdbc7e9fba0a235022f75110b0"/>
    <w:p>
      <w:pPr>
        <w:pStyle w:val="Heading2"/>
      </w:pPr>
      <w:r>
        <w:t xml:space="preserve">8. Success criteria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Criterion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How it is measured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 knows the reply status of every province on their shortlist without contacting anyone.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Walkthrough with 5 producers.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Provinces reply to four in five notices within 7 working days.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Reply times over the first 30 notices.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 abroad books a consultation in their own time zone in under 2 minutes.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Timed test with 3 producers in different time zones.</w:t>
            </w:r>
          </w:p>
        </w:tc>
      </w:tr>
    </w:tbl>
    <w:bookmarkEnd w:id="35"/>
    <w:bookmarkStart w:id="36" w:name="Xf0e84fbc24061432f3671343bf60d40f0e14ddf"/>
    <w:p>
      <w:pPr>
        <w:pStyle w:val="Heading2"/>
      </w:pPr>
      <w:r>
        <w:t xml:space="preserve">9. Assumptions</w:t>
      </w:r>
    </w:p>
    <w:p>
      <w:pPr>
        <w:numPr>
          <w:ilvl w:val="0"/>
          <w:numId w:val="1008"/>
        </w:numPr>
        <w:pStyle w:val="Compact"/>
      </w:pPr>
      <w:r>
        <w:t xml:space="preserve">VFDA staff have capacity to review notices within 2 working days.</w:t>
      </w:r>
    </w:p>
    <w:p>
      <w:pPr>
        <w:numPr>
          <w:ilvl w:val="0"/>
          <w:numId w:val="1008"/>
        </w:numPr>
        <w:pStyle w:val="Compact"/>
      </w:pPr>
      <w:r>
        <w:t xml:space="preserve">One notice per province per project, even when several locations are in the same province.</w:t>
      </w:r>
    </w:p>
    <w:bookmarkEnd w:id="36"/>
    <w:bookmarkStart w:id="37" w:name="X55a6565c84ac464289a534278fc4074fe00819d"/>
    <w:p>
      <w:pPr>
        <w:pStyle w:val="Heading2"/>
      </w:pPr>
      <w:r>
        <w:t xml:space="preserve">10. Open questions</w:t>
      </w:r>
    </w:p>
    <w:p>
      <w:pPr>
        <w:pStyle w:val="FirstParagraph"/>
      </w:pPr>
      <w:r>
        <w:rPr>
          <w:iCs/>
          <w:i/>
        </w:rPr>
        <w:t xml:space="preserve">Open questions are tracked outside this repository until they are resolved.</w:t>
      </w:r>
    </w:p>
    <w:bookmarkEnd w:id="37"/>
    <w:bookmarkStart w:id="39" w:name="Xfe89178ba2c1baf2da96240bc9850b678501375"/>
    <w:p>
      <w:pPr>
        <w:pStyle w:val="Heading2"/>
      </w:pPr>
      <w:r>
        <w:t xml:space="preserve">11. Traceability to DBIZ2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Spec section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1. 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 Design v2.0 — 1. Schematic, §1.2 (M7); BA Report executive 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docs/architecture/context.md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4.1 Usage 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FLOW-01 flow 6 (Figure 3) + Step 3 addition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docs/architecture/usage-flow.md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4.2 Sequence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SEQ-11 (Figure 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docs/architecture/sequence-diagrams.md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SEQ-11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 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89–95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docs/function-list.md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89–95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7. Screens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SC-32, SC-33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§1</w:t>
            </w:r>
          </w:p>
        </w:tc>
      </w:tr>
    </w:tbl>
    <w:bookmarkStart w:id="38" w:name="X0ebe4ea0055657d0fde6dddb3c03c11905d0ce8"/>
    <w:p>
      <w:pPr>
        <w:pStyle w:val="Heading3"/>
      </w:pPr>
      <w:r>
        <w:t xml:space="preserve">11.1 Reconciliation with DBIZ2 (System Design v2.0)</w:t>
      </w:r>
    </w:p>
    <w:p>
      <w:pPr>
        <w:pStyle w:val="FirstParagraph"/>
      </w:pPr>
      <w:r>
        <w:t xml:space="preserve">Where the 20-screen design or this spec differs from the DBIZ2 Function List, the difference is written here instead of being silently changed.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Topic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/ System Design v2.0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This spec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 dispatch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Sent automatically by a database webhook (SEQ-11)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Drafted automatically, reviewed and sent by VFDA staff (SC-32)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 be 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 — Tier 2 of the screen list file (#20)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Client to confirm</w:t>
            </w:r>
          </w:p>
        </w:tc>
      </w:tr>
    </w:tbl>
    <w:bookmarkEnd w:id="38"/>
    <w:bookmarkEnd w:id="39"/>
    <w:bookmarkStart w:id="40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9"/>
        </w:numPr>
        <w:pStyle w:val="Compact"/>
      </w:pPr>
      <w:r>
        <w:t xml:space="preserve">☒ Every subfunction of this module in the DBIZ2 Function List appears as an FR row (7 of 7, rows 89–95) — machine-checked.</w:t>
      </w:r>
    </w:p>
    <w:p>
      <w:pPr>
        <w:numPr>
          <w:ilvl w:val="0"/>
          <w:numId w:val="1009"/>
        </w:numPr>
        <w:pStyle w:val="Compact"/>
      </w:pPr>
      <w:r>
        <w:t xml:space="preserve">☒ Every Input and Output field has a type and a required flag — machine-checked.</w:t>
      </w:r>
    </w:p>
    <w:p>
      <w:pPr>
        <w:numPr>
          <w:ilvl w:val="0"/>
          <w:numId w:val="1009"/>
        </w:numPr>
        <w:pStyle w:val="Compact"/>
      </w:pPr>
      <w:r>
        <w:t xml:space="preserve">☒ Every Mermaid block renders without an error — rendered with mermaid-cli 11.14 on 22/09/2026.</w:t>
      </w:r>
    </w:p>
    <w:p>
      <w:pPr>
        <w:numPr>
          <w:ilvl w:val="0"/>
          <w:numId w:val="1009"/>
        </w:numPr>
        <w:pStyle w:val="Compact"/>
      </w:pPr>
      <w:r>
        <w:t xml:space="preserve">☐ Every node and arrow in the Mermaid flow exists in the original DBIZ2 diagram, and nothing was invented.</w:t>
      </w:r>
      <w:r>
        <w:t xml:space="preserve"> </w:t>
      </w:r>
      <w:r>
        <w:rPr>
          <w:bCs/>
          <w:b/>
        </w:rPr>
        <w:t xml:space="preserve">Not met:</w:t>
      </w:r>
      <w:r>
        <w:t xml:space="preserve"> </w:t>
      </w:r>
      <w:r>
        <w:t xml:space="preserve">some decision diamonds were added in Step 3 from the Function List; each is labelled above and listed in section 10 for Client confirmation.</w:t>
      </w:r>
    </w:p>
    <w:p>
      <w:pPr>
        <w:numPr>
          <w:ilvl w:val="0"/>
          <w:numId w:val="1009"/>
        </w:numPr>
        <w:pStyle w:val="Compact"/>
      </w:pPr>
      <w:r>
        <w:t xml:space="preserve">☒ At least one business rule is written that is not visible in any diagram (see 5.2).</w:t>
      </w:r>
    </w:p>
    <w:p>
      <w:pPr>
        <w:numPr>
          <w:ilvl w:val="0"/>
          <w:numId w:val="1009"/>
        </w:numPr>
        <w:pStyle w:val="Compact"/>
      </w:pPr>
      <w:r>
        <w:t xml:space="preserve">☐ Every screen this module touches is listed with an existing Screen Spec file.</w:t>
      </w:r>
      <w:r>
        <w:t xml:space="preserve"> </w:t>
      </w:r>
      <w:r>
        <w:rPr>
          <w:bCs/>
          <w:b/>
        </w:rPr>
        <w:t xml:space="preserve">Not met:</w:t>
      </w:r>
      <w:r>
        <w:t xml:space="preserve"> </w:t>
      </w:r>
      <w:r>
        <w:t xml:space="preserve">no Screen Spec yet for SC-33.</w:t>
      </w:r>
    </w:p>
    <w:p>
      <w:pPr>
        <w:numPr>
          <w:ilvl w:val="0"/>
          <w:numId w:val="1009"/>
        </w:numPr>
        <w:pStyle w:val="Compact"/>
      </w:pPr>
      <w:r>
        <w:t xml:space="preserve">☒ Success criteria contain no technology words — machine-checked against a word list.</w:t>
      </w:r>
    </w:p>
    <w:p>
      <w:pPr>
        <w:numPr>
          <w:ilvl w:val="0"/>
          <w:numId w:val="1009"/>
        </w:numPr>
        <w:pStyle w:val="Compact"/>
      </w:pPr>
      <w:r>
        <w:t xml:space="preserve">☒ Open questions are tracked outside this repository until they are resolved.</w:t>
      </w:r>
    </w:p>
    <w:p>
      <w:pPr>
        <w:numPr>
          <w:ilvl w:val="0"/>
          <w:numId w:val="1009"/>
        </w:numPr>
        <w:pStyle w:val="Compact"/>
      </w:pPr>
      <w:r>
        <w:t xml:space="preserve">☒ The traceability table points to real files and figures, not "see the report".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Template source: adapted from GitHub Spec Kit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templates/spec-template.md</w:t>
      </w:r>
      <w:r>
        <w:rPr>
          <w:iCs/>
          <w:i/>
        </w:rPr>
        <w:t xml:space="preserve">, mapped onto the DBIZ2 Product Design Package. DBIZ3, VJCBI College — FTU. Group C · CINEMATCH.</w:t>
      </w:r>
    </w:p>
    <w:bookmarkEnd w:id="40"/>
    <w:bookmarkEnd w:id="41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2026-09-29T07:25:32Z</dcterms:created>
  <dcterms:modified xsi:type="dcterms:W3CDTF">2026-09-29T07:25:32Z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