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제안서 목차 초안 — 한빛시 통합민원 플랫폼 고도화 사업 제안요청서</w:t>
      </w:r>
    </w:p>
    <w:p>
      <w:r>
        <w:t>배점표 기준 총 100쪽 배분. 배점 항목 6개, 요구사항 51건 중 미연결 3건.</w:t>
      </w:r>
    </w:p>
    <w:p>
      <w:pPr>
        <w:pStyle w:val="Heading1"/>
      </w:pPr>
      <w:r>
        <w:t>1. 사업 이해도 및 전략 (11쪽)</w:t>
      </w:r>
    </w:p>
    <w:p>
      <w:r>
        <w:t>배점 10점, 약 11쪽. 연결된 요구사항이 없다. 배점 항목 설명을 기준으로 우리 강점(실적·방법론)을 쓴다.</w:t>
      </w:r>
    </w:p>
    <w:p>
      <w:pPr>
        <w:pStyle w:val="Heading2"/>
      </w:pPr>
      <w:r>
        <w:t>1.1. 사업 이해도 (6쪽)</w:t>
      </w:r>
    </w:p>
    <w:p>
      <w:r>
        <w:t>배점 5점, 약 6쪽. 연결된 요구사항이 없다. 배점 항목 설명을 기준으로 우리 강점(실적·방법론)을 쓴다. 평가 기준: 사업 배경·현황·문제점 이해의 정확성</w:t>
      </w:r>
    </w:p>
    <w:p>
      <w:pPr>
        <w:pStyle w:val="Heading2"/>
      </w:pPr>
      <w:r>
        <w:t>1.2. 추진 전략 (6쪽)</w:t>
      </w:r>
    </w:p>
    <w:p>
      <w:r>
        <w:t>배점 5점, 약 6쪽. 연결된 요구사항이 없다. 배점 항목 설명을 기준으로 우리 강점(실적·방법론)을 쓴다. 평가 기준: 목표 달성을 위한 전략의 타당성</w:t>
      </w:r>
    </w:p>
    <w:p>
      <w:pPr>
        <w:pStyle w:val="Heading1"/>
      </w:pPr>
      <w:r>
        <w:t>2. 기술 및 기능 (39쪽)</w:t>
      </w:r>
    </w:p>
    <w:p>
      <w:r>
        <w:t>배점 35점, 약 39쪽. 요구사항 REQ-P-007, SFR-001, SFR-002, SFR-003, SFR-004, SFR-005 외 19건에 대한 대응 방안을 그림·표로 먼저 보이고 설명은 뒤에 둔다.</w:t>
      </w:r>
    </w:p>
    <w:p>
      <w:r>
        <w:t>대응 요구사항: REQ-P-007, SFR-001, SFR-002, SFR-003, SFR-004, SFR-005, SFR-006, SFR-007, SFR-008, SFR-009, SFR-010, SFR-011, SFR-012, REQ-P-003, SIR-001, SIR-002, COR-002, COR-003, REQ-P-005, INR-001, INR-002, INR-003, INR-004, DAR-001, DAR-002</w:t>
      </w:r>
    </w:p>
    <w:p>
      <w:pPr>
        <w:pStyle w:val="Heading2"/>
      </w:pPr>
      <w:r>
        <w:t>2.1. 기능 요구사항 구현 (17쪽)</w:t>
      </w:r>
    </w:p>
    <w:p>
      <w:r>
        <w:t>배점 15점, 약 17쪽. 요구사항 REQ-P-007, SFR-001, SFR-002, SFR-003, SFR-004, SFR-005 외 7건에 대한 대응 방안을 그림·표로 먼저 보이고 설명은 뒤에 둔다. 평가 기준: 기능 요구사항 대응의 충실성과 구체성</w:t>
      </w:r>
    </w:p>
    <w:p>
      <w:r>
        <w:t>대응 요구사항: REQ-P-007, SFR-001, SFR-002, SFR-003, SFR-004, SFR-005, SFR-006, SFR-007, SFR-008, SFR-009, SFR-010, SFR-011, SFR-012</w:t>
      </w:r>
    </w:p>
    <w:p>
      <w:pPr>
        <w:pStyle w:val="Heading2"/>
      </w:pPr>
      <w:r>
        <w:t>2.2. 시스템 아키텍처 (11쪽)</w:t>
      </w:r>
    </w:p>
    <w:p>
      <w:r>
        <w:t>배점 10점, 약 11쪽. 요구사항 REQ-P-003, SIR-001, SIR-002, COR-002, COR-003에 대한 대응 방안을 그림·표로 먼저 보이고 설명은 뒤에 둔다. 평가 기준: 클라우드 구성, 이중화, 확장성</w:t>
      </w:r>
    </w:p>
    <w:p>
      <w:r>
        <w:t>대응 요구사항: REQ-P-003, SIR-001, SIR-002, COR-002, COR-003</w:t>
      </w:r>
    </w:p>
    <w:p>
      <w:pPr>
        <w:pStyle w:val="Heading2"/>
      </w:pPr>
      <w:r>
        <w:t>2.3. 데이터 및 연계 (11쪽)</w:t>
      </w:r>
    </w:p>
    <w:p>
      <w:r>
        <w:t>배점 10점, 약 11쪽. 요구사항 REQ-P-005, INR-001, INR-002, INR-003, INR-004, DAR-001 외 1건에 대한 대응 방안을 그림·표로 먼저 보이고 설명은 뒤에 둔다. 평가 기준: 데이터 이관 계획과 외부 연계 방안</w:t>
      </w:r>
    </w:p>
    <w:p>
      <w:r>
        <w:t>대응 요구사항: REQ-P-005, INR-001, INR-002, INR-003, INR-004, DAR-001, DAR-002</w:t>
      </w:r>
    </w:p>
    <w:p>
      <w:pPr>
        <w:pStyle w:val="Heading1"/>
      </w:pPr>
      <w:r>
        <w:t>3. 성능 및 보안 (17쪽)</w:t>
      </w:r>
    </w:p>
    <w:p>
      <w:r>
        <w:t>배점 15점, 약 17쪽. 요구사항 PER-001, PER-002, PER-003, DAR-003, REQ-P-004, SER-001 외 4건에 대한 대응 방안을 그림·표로 먼저 보이고 설명은 뒤에 둔다.</w:t>
      </w:r>
    </w:p>
    <w:p>
      <w:r>
        <w:t>대응 요구사항: PER-001, PER-002, PER-003, DAR-003, REQ-P-004, SER-001, SER-002, SER-003, SER-004, SER-005</w:t>
      </w:r>
    </w:p>
    <w:p>
      <w:pPr>
        <w:pStyle w:val="Heading2"/>
      </w:pPr>
      <w:r>
        <w:t>3.1. 성능·안정성 (8쪽)</w:t>
      </w:r>
    </w:p>
    <w:p>
      <w:r>
        <w:t>배점 7점, 약 8쪽. 요구사항 PER-001, PER-002, PER-003, DAR-003에 대한 대응 방안을 그림·표로 먼저 보이고 설명은 뒤에 둔다. 평가 기준: 응답 시간·동시 사용자·가용성 확보 방안</w:t>
      </w:r>
    </w:p>
    <w:p>
      <w:r>
        <w:t>대응 요구사항: PER-001, PER-002, PER-003, DAR-003</w:t>
      </w:r>
    </w:p>
    <w:p>
      <w:pPr>
        <w:pStyle w:val="Heading2"/>
      </w:pPr>
      <w:r>
        <w:t>3.2. 보안 (9쪽)</w:t>
      </w:r>
    </w:p>
    <w:p>
      <w:r>
        <w:t>배점 8점, 약 9쪽. 요구사항 REQ-P-004, SER-001, SER-002, SER-003, SER-004, SER-005에 대한 대응 방안을 그림·표로 먼저 보이고 설명은 뒤에 둔다. 평가 기준: 개인정보 보호, 접근 통제, 취약점 대응</w:t>
      </w:r>
    </w:p>
    <w:p>
      <w:r>
        <w:t>대응 요구사항: REQ-P-004, SER-001, SER-002, SER-003, SER-004, SER-005</w:t>
      </w:r>
    </w:p>
    <w:p>
      <w:pPr>
        <w:pStyle w:val="Heading1"/>
      </w:pPr>
      <w:r>
        <w:t>4. 사업 관리 (17쪽)</w:t>
      </w:r>
    </w:p>
    <w:p>
      <w:r>
        <w:t>배점 15점, 약 17쪽. 요구사항 PMR-001, PMR-002, REQ-P-006, TER-001, TER-002, QUR-001 외 3건에 대한 대응 방안을 그림·표로 먼저 보이고 설명은 뒤에 둔다.</w:t>
      </w:r>
    </w:p>
    <w:p>
      <w:r>
        <w:t>대응 요구사항: PMR-001, PMR-002, REQ-P-006, TER-001, TER-002, QUR-001, QUR-002, PMR-003, PMR-004</w:t>
      </w:r>
    </w:p>
    <w:p>
      <w:pPr>
        <w:pStyle w:val="Heading2"/>
      </w:pPr>
      <w:r>
        <w:t>4.1. 수행 조직 및 일정 (9쪽)</w:t>
      </w:r>
    </w:p>
    <w:p>
      <w:r>
        <w:t>배점 8점, 약 9쪽. 요구사항 PMR-001, PMR-002에 대한 대응 방안을 그림·표로 먼저 보이고 설명은 뒤에 둔다. 평가 기준: 투입 인력의 적정성과 일정의 현실성</w:t>
      </w:r>
    </w:p>
    <w:p>
      <w:r>
        <w:t>대응 요구사항: PMR-001, PMR-002</w:t>
      </w:r>
    </w:p>
    <w:p>
      <w:pPr>
        <w:pStyle w:val="Heading2"/>
      </w:pPr>
      <w:r>
        <w:t>4.2. 품질 보증 및 위험 관리 (8쪽)</w:t>
      </w:r>
    </w:p>
    <w:p>
      <w:r>
        <w:t>배점 7점, 약 8쪽. 요구사항 REQ-P-006, TER-001, TER-002, QUR-001, QUR-002, PMR-003 외 1건에 대한 대응 방안을 그림·표로 먼저 보이고 설명은 뒤에 둔다. 평가 기준: 품질 활동 계획과 위험 대응</w:t>
      </w:r>
    </w:p>
    <w:p>
      <w:r>
        <w:t>대응 요구사항: REQ-P-006, TER-001, TER-002, QUR-001, QUR-002, PMR-003, PMR-004</w:t>
      </w:r>
    </w:p>
    <w:p>
      <w:pPr>
        <w:pStyle w:val="Heading1"/>
      </w:pPr>
      <w:r>
        <w:t>5. 지원 (11쪽)</w:t>
      </w:r>
    </w:p>
    <w:p>
      <w:r>
        <w:t>배점 10점, 약 11쪽. 요구사항 PSR-001, PSR-002, PSR-004, PSR-003에 대한 대응 방안을 그림·표로 먼저 보이고 설명은 뒤에 둔다.</w:t>
      </w:r>
    </w:p>
    <w:p>
      <w:r>
        <w:t>대응 요구사항: PSR-001, PSR-002, PSR-004, PSR-003</w:t>
      </w:r>
    </w:p>
    <w:p>
      <w:pPr>
        <w:pStyle w:val="Heading2"/>
      </w:pPr>
      <w:r>
        <w:t>5.1. 교육 및 기술 이전 (6쪽)</w:t>
      </w:r>
    </w:p>
    <w:p>
      <w:r>
        <w:t>배점 5점, 약 6쪽. 요구사항 PSR-001, PSR-002, PSR-004에 대한 대응 방안을 그림·표로 먼저 보이고 설명은 뒤에 둔다. 평가 기준: 교육 계획과 기술 이전 방안</w:t>
      </w:r>
    </w:p>
    <w:p>
      <w:r>
        <w:t>대응 요구사항: PSR-001, PSR-002, PSR-004</w:t>
      </w:r>
    </w:p>
    <w:p>
      <w:pPr>
        <w:pStyle w:val="Heading2"/>
      </w:pPr>
      <w:r>
        <w:t>5.2. 유지보수 및 하자보수 (6쪽)</w:t>
      </w:r>
    </w:p>
    <w:p>
      <w:r>
        <w:t>배점 5점, 약 6쪽. 요구사항 PSR-003에 대한 대응 방안을 그림·표로 먼저 보이고 설명은 뒤에 둔다. 평가 기준: 안정화 지원과 하자보수 체계</w:t>
      </w:r>
    </w:p>
    <w:p>
      <w:r>
        <w:t>대응 요구사항: PSR-003</w:t>
      </w:r>
    </w:p>
    <w:p>
      <w:pPr>
        <w:pStyle w:val="Heading1"/>
      </w:pPr>
      <w:r>
        <w:t>6. 수행 실적 및 역량 (6쪽)</w:t>
      </w:r>
    </w:p>
    <w:p>
      <w:r>
        <w:t>배점 5점, 약 6쪽. 연결된 요구사항이 없다. 배점 항목 설명을 기준으로 우리 강점(실적·방법론)을 쓴다.</w:t>
      </w:r>
    </w:p>
    <w:p>
      <w:pPr>
        <w:pStyle w:val="Heading2"/>
      </w:pPr>
      <w:r>
        <w:t>6.1. 유사 사업 실적 (6쪽)</w:t>
      </w:r>
    </w:p>
    <w:p>
      <w:r>
        <w:t>배점 5점, 약 6쪽. 연결된 요구사항이 없다. 배점 항목 설명을 기준으로 우리 강점(실적·방법론)을 쓴다. 평가 기준: 최근 5년 유사 사업 수행 실적</w:t>
      </w:r>
    </w:p>
    <w:p>
      <w:pPr>
        <w:pStyle w:val="Heading1"/>
      </w:pPr>
      <w:r>
        <w:t>7. 기타 요구사항 대응 (1쪽)</w:t>
      </w:r>
    </w:p>
    <w:p>
      <w:r>
        <w:t>배점 항목에 직접 연결되지 않은 요구사항 3건을 표로 대응. 누락으로 보이지 않게 한 줄씩 답한다.</w:t>
      </w:r>
    </w:p>
    <w:p>
      <w:r>
        <w:t>대응 요구사항: REQ-P-001, REQ-P-002, COR-001</w:t>
      </w:r>
    </w:p>
    <w:p>
      <w:pPr>
        <w:pStyle w:val="Heading1"/>
      </w:pPr>
      <w:r>
        <w:t>위험 조항 요약</w:t>
      </w:r>
    </w:p>
    <w:p>
      <w:pPr>
        <w:pStyle w:val="ListBullet"/>
      </w:pPr>
      <w:r>
        <w:rPr>
          <w:b/>
        </w:rPr>
        <w:t xml:space="preserve">[높음] 지체상금률 과다 (p.10) </w:t>
      </w:r>
      <w:r>
        <w:t>— 추출값은 1000분의 2.5(0.25%/일)로, 용역 기준값 1000분의 1.25(0.125%/일)의 2배입니다. 지체상금 총액 상한(계약금액의 30%)이 문맥에 없고, 검수 기간이 계약 기간에 포함되며 검수가 발주기관이 만족할 때까지 반복되므로 지체가 발생할 위험이 더 큽니다. 이에 기본 심각도 high를 유지합니다. 협상 포인트: 지체상금률을 국가계약법 시행규칙 제75조의 용역 기준인 1일 1000분의 1.25로 낮추고, 지체상금 총액은 계약금액의 100분의 30을 넘지 않도록 명시해 주십시오. 발주기관의 검수 지연이나 과업 변경 등 계약상대자 책임이 아닌 사유로 늦어진 일수는 지체 일수에서 빼 주십시오(시행령 제74조, 제75조 준용).</w:t>
      </w:r>
    </w:p>
    <w:p>
      <w:pPr>
        <w:pStyle w:val="ListBullet"/>
      </w:pPr>
      <w:r>
        <w:rPr>
          <w:b/>
        </w:rPr>
        <w:t xml:space="preserve">[높음] 무상 유지보수 요구 (p.10) </w:t>
      </w:r>
      <w:r>
        <w:t>— 검수 완료 후 2년간 무상 유지보수를 요구하고, 그 기간 동안 '기능 개선 요청'까지 대응하라고 정해 두었습니다. 이는 과기정통부 지침이 금지하는 무상 유지보수 요구에 해당하고, 하자보수 범위를 넘어 추가 개발을 대가 없이 요구하는 조항입니다. 같은 조에 3년 하자보수 의무가 따로 있고 상한·예외·협의 절차 같은 완화 장치가 없어 기본 심각도 high를 유지합니다. 협상 포인트: "계약상대자는 하자보수 기간 중 하자에 대해서만 무상으로 보수하며, 검수 완료 후 유지보수와 기능 개선은 「소프트웨어 진흥법」과 과기정통부 지침에 따라 별도 유상 유지보수 계약(유지보수 요율 적용)으로 체결한다"로 수정해 줄 것을 요청합니다.</w:t>
      </w:r>
    </w:p>
    <w:p>
      <w:pPr>
        <w:pStyle w:val="ListBullet"/>
      </w:pPr>
      <w:r>
        <w:rPr>
          <w:b/>
        </w:rPr>
        <w:t xml:space="preserve">[높음] 과업 범위 일방 변경 조항 (p.10) </w:t>
      </w:r>
      <w:r>
        <w:t>— 발주기관이 필요하다고 판단만 하면 과업을 추가·변경할 수 있고 수행사는 따라야 한다고 되어 있습니다. 그런데 문맥 어디에도 과업심의위원회 심의, 계약금액·기간 조정, 협의 절차가 없어 소프트웨어 진흥법 제50조의 취지와 맞지 않으므로 기본 심각도 high를 그대로 둡니다. 협상 포인트: "과업 내용의 추가 또는 변경은 소프트웨어 진흥법 제50조에 따른 과업심의위원회의 심의를 거쳐 계약상대자와 협의하여 정하며, 이에 따라 증가하는 비용과 기간은 계약금액 및 계약기간 조정에 반영한다"로 수정해 줄 것을 요구합니다.</w:t>
      </w:r>
    </w:p>
    <w:p>
      <w:pPr>
        <w:pStyle w:val="ListBullet"/>
      </w:pPr>
      <w:r>
        <w:rPr>
          <w:b/>
        </w:rPr>
        <w:t xml:space="preserve">[높음] 손해배상 상한 미설정 (p.10) </w:t>
      </w:r>
      <w:r>
        <w:t>— 손해배상 조항에 배상 상한이 없고, 경과실까지 '그 모든 손해'를 배상하도록 되어 있습니다. 간접손해나 특별손해를 빼는 문구도, 발주기관 귀책 시 감면하는 문구도 없어 기본 심각도 high를 그대로 유지합니다(추출값 -, 기준값 -). 같은 문맥의 개인정보 조항(11항)은 '원인을 불문하고' 모든 책임을 지우고 있어, 무한책임 위험이 더 커집니다. 협상 포인트: "계약상대자의 손해배상 책임은 고의 또는 중과실의 경우를 제외하고 계약금액을 한도로 하며, 간접손해·특별손해·일실이익은 배상 범위에서 제외한다. 발주기관의 귀책사유가 함께 있는 경우 그 비율에 따라 배상액을 감경한다"로 수정해 줄 것을 요청합니다.</w:t>
      </w:r>
    </w:p>
    <w:p>
      <w:pPr>
        <w:pStyle w:val="ListBullet"/>
      </w:pPr>
      <w:r>
        <w:rPr>
          <w:b/>
        </w:rPr>
        <w:t xml:space="preserve">[높음] 개인정보 책임 전가 (p.10) </w:t>
      </w:r>
      <w:r>
        <w:t>— '원인을 불문하고 모든 책임'을 계약상대자에게 지우면, 개인정보 보호법 제26조에 따라 위탁자인 발주기관이 지는 관리·감독 책임까지 수행사에 넘기게 됩니다. 문맥에도 책임 상한, 귀책 구분, 발주기관 측 원인 예외 같은 완화 조항이 없어 기본 심각도 high를 그대로 유지합니다. 협상 포인트: "개인정보 유출 사고에 대한 계약상대자의 책임은 계약상대자의 고의 또는 과실로 인한 경우에 한정하며, 발주기관의 관리·감독 소홀, 발주기관 제공 시스템·인프라의 취약점, 제3자의 불법행위 등 계약상대자에게 귀책사유가 없는 경우에는 책임을 지지 않는다. 배상 범위는 직접손해로 한정하고 그 상한은 계약금액으로 한다."로 수정해 줄 것을 요청합니다.</w:t>
      </w:r>
    </w:p>
    <w:p>
      <w:pPr>
        <w:pStyle w:val="ListBullet"/>
      </w:pPr>
      <w:r>
        <w:rPr>
          <w:b/>
        </w:rPr>
        <w:t xml:space="preserve">[높음] 임의 해지·기투입 비용 미보상 (p.11) </w:t>
      </w:r>
      <w:r>
        <w:t>— 발주기관이 사유 제한 없이 언제든 해지할 수 있고 기투입 비용도 보상하지 않습니다. 이는 계약예규 용역계약일반조건의 사정변경 해지 시 기성분·해지비용 지급 원칙에 어긋납니다. 같은 문서 7항이 선금 없이 최종 검수 뒤 일괄 지급하도록 정하고 있어, 중도에 해지되면 수행사는 대금을 한 푼도 받지 못하므로 기본 심각도 high를 그대로 둡니다. 협상 포인트: "발주기관이 계약상대자의 귀책사유 없이 계약을 해지하는 경우, 30일 전에 서면으로 통보하고 해지일까지의 기성부분 대가와 해지로 인해 발생한 비용(인력 철수, 이미 구매한 장비·SW 등)을 계약예규 용역계약일반조건에 따라 지급한다"로 수정을 요구합니다.</w:t>
      </w:r>
    </w:p>
    <w:p>
      <w:pPr>
        <w:pStyle w:val="ListBullet"/>
      </w:pPr>
      <w:r>
        <w:rPr>
          <w:b/>
        </w:rPr>
        <w:t xml:space="preserve">[높음] 지체상금 상한 미설정 (p.10) </w:t>
      </w:r>
      <w:r>
        <w:t>— 지체상금률이 1일 계약금액의 1000분의 2.5로, 용역 기준(국가계약법 시행규칙 제75조, 1000분의 1.25)의 두 배입니다. 시행령 제74조의 상한(계약금액의 30%)도 적혀 있지 않습니다. 같은 문맥에서 검수를 '만족할 때까지 반복'하고 검수 기간을 계약 기간에 넣으므로, 발주기관 사정으로 늦어져도 지체상금이 계속 쌓일 수 있습니다. 그래서 심각도를 medium에서 high로 올렸습니다. 협상 포인트: 지체상금률은 국가계약법 시행규칙 제75조의 용역 기준인 1일 계약금액의 1000분의 1.25로 하고, 총액은 계약금액의 100분의 30을 넘지 않도록 하며, 검수 지연이나 발주기관 귀책 등 계약상대자 책임이 아닌 사유로 늦어진 기간은 지체일수에서 빼 주실 것을 요청합니다.</w:t>
      </w:r>
    </w:p>
    <w:p>
      <w:pPr>
        <w:pStyle w:val="ListBullet"/>
      </w:pPr>
      <w:r>
        <w:rPr>
          <w:b/>
        </w:rPr>
        <w:t xml:space="preserve">[높음] 하자담보책임 기간 과다 (p.10) </w:t>
      </w:r>
      <w:r>
        <w:t>— 하자보수 기간이 검수 완료일부터 3년(추출값)으로 기준값 1년의 3배입니다. 상한, 예외, 협의 절차 같은 완화 문구가 없고, 바로 뒤에 2년 무상 유지보수와 기능 개선 대응 의무가 함께 붙어 있어 실제 부담이 더 큽니다. 그래서 기본 심각도 medium을 high로 올렸습니다. 협상 포인트: "하자담보책임기간은 검수 완료일로부터 1년으로 하며, 하자의 범위는 계약 당시 과업 범위 내 결함으로 한정한다. 기능 개선 요청은 하자보수에 포함하지 않으며 별도 유지보수 계약 또는 과업변경 절차에 따른다."로 수정해 달라고 요구합니다.</w:t>
      </w:r>
    </w:p>
    <w:p>
      <w:pPr>
        <w:pStyle w:val="ListBullet"/>
      </w:pPr>
      <w:r>
        <w:rPr>
          <w:b/>
        </w:rPr>
        <w:t xml:space="preserve">[높음] 산출물 지식재산권 발주기관 단독 귀속 (p.10) </w:t>
      </w:r>
      <w:r>
        <w:t>— 산출물 지식재산권을 예외 없이 모두 발주기관에 귀속시키고, 사전 서면 동의 없이 제3자에게 제공하는 것도 막고 있습니다. 기존 보유 기술, 공통 모듈, 상용 소프트웨어를 빼주는 조항이나 공동 귀속·활용 허락 조항이 없어 소프트웨어 진흥법 제59조와 용역계약일반조건 제56조의 공동 귀속 원칙에서 벗어나므로, 기본값 medium보다 높은 high로 올렸습니다. 협상 포인트: "산출물의 지식재산권은 용역계약일반조건 제56조에 따라 발주기관과 계약상대자가 공동 소유하되, 계약상대자가 사업 전부터 보유한 기술·공통 모듈·상용 소프트웨어 및 그 개선물은 계약상대자에게 귀속되고 발주기관에는 사업 목적 범위의 무상 사용권을 허락한다"로 수정을 요청합니다.</w:t>
      </w:r>
    </w:p>
    <w:p>
      <w:pPr>
        <w:pStyle w:val="ListBullet"/>
      </w:pPr>
      <w:r>
        <w:rPr>
          <w:b/>
        </w:rPr>
        <w:t xml:space="preserve">[높음] 대금 지급 조건 불리 (p.10) </w:t>
      </w:r>
      <w:r>
        <w:t>— 선금과 기성금이 전혀 없어 사업 기간 내내 인건비와 상용 SW 비용을 수행사가 먼저 부담해야 합니다. 검수를 발주기관이 만족할 때까지 반복하고(8항), 언제든 해지하면서 기투입 비용을 보상하지 않는다(15항)는 조항까지 겹쳐 대금을 한 푼도 못 받을 위험이 있으므로 기본값 medium에서 high로 올립니다. 협상 포인트: "계약상대자가 청구하면 국가계약법령과 정부 입찰·계약 집행기준에 따라 계약금액의 70% 범위에서 선금을 지급하고, 단계별 산출물 검수(분석·설계·구현·이행)가 끝나면 시행령 제58조에 따라 기성 대가를 지급한다"로 바꿔 달라고 요구합니다.</w:t>
      </w:r>
    </w:p>
    <w:p>
      <w:pPr>
        <w:pStyle w:val="ListBullet"/>
      </w:pPr>
      <w:r>
        <w:rPr>
          <w:b/>
        </w:rPr>
        <w:t xml:space="preserve">[높음] 검수 기준 모호 (p.10) </w:t>
      </w:r>
      <w:r>
        <w:t>— 검수 종료 기준이 '발주기관이 만족할 때까지'로 되어 있어 객관적 합격 기준이 없고, 검수 기간이 계약 기간에 포함되므로 반복 검수가 길어지면 지체상금(1일 계약금액의 2.5/1000, 상한 없음)이 붙을 수 있습니다. 대금도 최종 검수 완료 후 일괄 지급(선금 없음)이라 검수가 지연되는 동안 대금 회수가 막히고 지체상금까지 겹치므로, 기본값 medium에서 high로 올렸습니다. 협상 포인트: "검수는 착수 시 발주기관과 계약상대자가 합의한 검수 기준서(요구사항 추적표 및 시험 시나리오)에 따라 수행하고, 발주기관은 납품일로부터 14일 이내에 합격 여부를 서면으로 통지한다. 기간 내 통지가 없으면 합격으로 본다. 보완 요구는 검수 기준서에 정한 항목으로 한정하며, 검수 및 보완에 걸린 기간은 지체 일수에서 제외한다."</w:t>
      </w:r>
    </w:p>
    <w:p>
      <w:pPr>
        <w:pStyle w:val="ListBullet"/>
      </w:pPr>
      <w:r>
        <w:rPr>
          <w:b/>
        </w:rPr>
        <w:t xml:space="preserve">[높음] 투입 인력 통제 조항 (p.10) </w:t>
      </w:r>
      <w:r>
        <w:t>— 이 조항은 인력 교체를 예외 없이 막고 전 인력에게 사업 기간 내내 상주를 요구합니다. 협의 절차나 퇴사·질병 같은 불가피한 사유의 예외가 없어 지킬 수 없는 의무가 되고, 소프트웨어사업 관리감독 지침의 투입인력 관리 금지 원칙에도 어긋나므로 기본값(medium)보다 높은 high로 올렸습니다. 협상 포인트: "계약상대자는 퇴직·질병·휴직 등 불가피한 사유가 있으면 발주기관과 협의하여 동등 이상의 자격을 갖춘 인력으로 교체할 수 있다. 작업 장소는 과업 특성을 고려하여 원격 수행을 포함해 협의로 정하며, 발주기관은 투입 인력의 상주나 인원 관리를 일방적으로 요구하지 않는다."로 수정해 줄 것을 요청합니다.</w:t>
      </w:r>
    </w:p>
    <w:p>
      <w:pPr>
        <w:pStyle w:val="ListBullet"/>
      </w:pPr>
      <w:r>
        <w:rPr>
          <w:b/>
        </w:rPr>
        <w:t xml:space="preserve">[높음] 상용 소프트웨어 무상 제공 요구 (p.10) </w:t>
      </w:r>
      <w:r>
        <w:t>— "운영에 필요한" 상용SW 전체(DBMS·WAS·보안SW 등)를 품목·수량·라이선스 기간·금액 상한 없이 무상 제공하도록 했고, 분리발주나 별도 예산 반영 같은 완화 장치도 없습니다. 소프트웨어 진흥법 제54조의 분리발주 취지에도 어긋납니다. 여기에 과업 변경 의무 수용(3항), 2년 무상 유지보수(2항), 선금 없는 일괄 지급(7항)이 겹쳐 라이선스와 갱신 비용이 계속 늘어날 수 있으므로 기본값 medium을 high로 올렸습니다. 협상 포인트: "운영에 필요한 상용 소프트웨어는 소프트웨어 진흥법 제54조에 따라 분리발주하거나, 제안요청서 별첨 목록에 적힌 품목·수량·라이선스 기간에 한해 사업금액에 반영해 제공한다. 목록 밖의 품목과 과업 변경으로 추가되는 라이선스, 기술지원 갱신 비용은 발주기관이 부담하거나 계약금액을 조정한다."로 바꿔 달라고 요구한다.</w:t>
      </w:r>
    </w:p>
    <w:p>
      <w:pPr>
        <w:pStyle w:val="ListBullet"/>
      </w:pPr>
      <w:r>
        <w:rPr>
          <w:b/>
        </w:rPr>
        <w:t xml:space="preserve">[보통] 성능 수치와 위약 조항 결합 (p.10) </w:t>
      </w:r>
      <w:r>
        <w:t>— 조항에는 응답시간 3초(평균)를 넘는 달마다 그 달 대금의 5%를 감액한다고만 되어 있고, 측정 방법·대상 화면·안정화 기간의 길이·누적 감액 상한·면책 사유(발주기관 인프라 문제, 외부 연계 장애 등)가 정해져 있지 않습니다. 게다가 제7항에서 대금을 최종 검수 후 한 번에 지급하므로 '해당 월 대금'이 얼마인지도 불분명합니다. 완화 조항도 없지만 3초와 5%가 지나친 수준은 아니어서 기본 심각도 medium을 유지했습니다. 협상 포인트: "응답시간은 발주기관과 합의한 측정 도구·대상 화면·부하 조건에서 월 평균으로 측정하며, 발주기관 제공 인프라·네트워크·외부 연계기관 장애나 불가항력으로 생긴 지연은 측정에서 제외한다. 감액 기준 금액은 '계약금액 ÷ 계약 개월 수'로 산정하고, 누적 감액 총액은 계약금액의 ○%를 넘지 않는다."</w:t>
      </w:r>
    </w:p>
    <w:p>
      <w:pPr>
        <w:pStyle w:val="ListBullet"/>
      </w:pPr>
      <w:r>
        <w:rPr>
          <w:b/>
        </w:rPr>
        <w:t xml:space="preserve">[높음] 제3자 연계 책임 전가 (p.10) </w:t>
      </w:r>
      <w:r>
        <w:t>— 수행사가 통제할 수 없는 외부 연계 기관의 비협조까지 예외 없이 사업자 책임으로 돌리며, 계약예규상 계약상대자 책임이 아닌 사유로 인정되는 기간 연장이나 협의 절차 같은 완화 장치가 문맥 어디에도 없습니다. 같은 계약에 검수 기간이 계약 기간(10개월)에 포함되고, 최종 검수 후 일괄 지급하며, 발주기관이 보상 없이 해지할 수 있다는 조건이 함께 있습니다. 이 때문에 연계 지연이 곧바로 지체상금, 대금 미지급, 해지 위험으로 이어질 수 있어 기본값 medium에서 high로 올렸습니다. 협상 포인트: "외부 연계 기관의 비협조 또는 연계 기관 측 사정으로 연계 구축이 지연되는 경우, 이는 계약상대자의 책임 없는 사유로 보아 지체상금을 부과하지 않는다. 발주기관은 연계 기관과의 협조 요청·일정 조율을 주관하고, 지연 기간만큼 계약 기간을 연장하거나 해당 연계 범위를 조정한다."로 수정해 줄 것을 요청합니다.</w:t>
      </w:r>
    </w:p>
    <w:p>
      <w:pPr>
        <w:pStyle w:val="ListBullet"/>
      </w:pPr>
      <w:r>
        <w:rPr>
          <w:b/>
        </w:rPr>
        <w:t xml:space="preserve">[높음] 데이터 이관·정제 범위 무제한 (p.10) </w:t>
      </w:r>
      <w:r>
        <w:t>— 이 조항은 데이터 이관과 정제 범위를 "전체"로 정해 놓았습니다. 그런데 대상 데이터 양, 품질 수준, 정제 기준이 없고, 원천 데이터 오류에 대한 발주기관 책임도 없어 과업 범위가 무제한으로 열려 있습니다. 같은 문맥의 '발주기관이 만족할 때까지 반복 검수'(8항)와 '최종 검수 후 일괄 지급·선금 없음'(7항) 조항이 겹쳐, 이관 작업이 길어지면 대금을 받지 못한 채 비용이 계속 늘어날 수 있습니다. 이 때문에 기본 심각도 medium을 high로 올렸습니다. 협상 포인트: "이관 대상 데이터의 범위(시스템·테이블·건수·기간)와 정제 기준은 착수 후 발주기관과 협의하여 확정한 데이터 이관계획서에 따르며, 원천 데이터의 오류 확인과 정제 기준 결정, 이관 결과 검증은 발주기관이 지원하고 책임진다. 확정된 범위를 넘는 이관·정제는 과업변경으로 처리하여 계약금액과 기간을 조정한다."</w:t>
      </w:r>
    </w:p>
    <w:p>
      <w:pPr>
        <w:pStyle w:val="ListBullet"/>
      </w:pPr>
      <w:r>
        <w:rPr>
          <w:b/>
        </w:rPr>
        <w:t xml:space="preserve">[낮음] 보안 인증 보유 요구 (p.5) </w:t>
      </w:r>
      <w:r>
        <w:t>— 이 조항은 수행사에게 보안인증을 직접 요구하지 않습니다. 이미 CSAP 인증을 받은 G-클라우드나 민간 클라우드에 시스템을 구축하라는 내용이어서 인증 취득 부담은 크지 않으므로 기본 심각도 low를 유지합니다. 다만 '한빛시가 지정하는' 환경이 아직 확정되지 않았고, 클라우드 이용료와 구축 범위를 누가 부담하는지도 정해지지 않아 원가와 설계가 흔들릴 수 있습니다. 협상 포인트: 대상 클라우드(G-클라우드 또는 특정 CSAP 인증 CSP)와 제공 서비스 범위(IaaS/PaaS)를 제안 전에 확정해 주십시오. 클라우드 이용료·회선·보안관제 비용은 발주기관이 부담하고 본 사업 범위에서 빠진다는 점을 과업지시서에 명시해 주십시오. 지정 환경이 바뀌어 추가 작업이 생기면 과업변경 대상으로 본다는 점도 함께 명시해 주십시오.</w:t>
      </w:r>
    </w:p>
    <w:p>
      <w:pPr>
        <w:pStyle w:val="ListBullet"/>
      </w:pPr>
      <w:r>
        <w:rPr>
          <w:b/>
        </w:rPr>
        <w:t xml:space="preserve">[낮음] 보안 인증 보유 요구 (p.6) </w:t>
      </w:r>
      <w:r>
        <w:t>— 공공기관에 도입하는 정보보호제품에 CC 인증을 요구하는 것은 국가정보원 보안적합성 검증 체계에 따른 표준 요건이라 수행사에 특별히 불리하지 않습니다. 기본 심각도 low를 유지합니다. 다만 어떤 보안 솔루션을 도입하는지, 비용을 누가 내는지, CC 인증 제품이 없는 품목은 어떻게 하는지(보안기능 확인서·KCMVP로 대체할 수 있는지)가 정해져 있지 않아 제품 선정이 제한되고 원가가 늘 수 있습니다. 협상 포인트: "SER-005에서 도입 대상 보안 솔루션의 품목과 수량을 명시하고, 국내 CC 인증 제품이 없는 품목은 보안기능 확인서 또는 KCMVP 검증필 암호모듈 탑재 제품으로 대체할 수 있도록 해 주시기 바랍니다. 기관이 이미 보유한 보안 솔루션을 활용할 경우 신규 도입 의무에서 제외해 주시기 바랍니다."</w:t>
      </w:r>
    </w:p>
    <w:p>
      <w:pPr>
        <w:pStyle w:val="ListBullet"/>
      </w:pPr>
      <w:r>
        <w:rPr>
          <w:b/>
        </w:rPr>
        <w:t xml:space="preserve">[낮음] 제안 비용 미보상·제안서 귀속 (p.9) </w:t>
      </w:r>
      <w:r>
        <w:t>— 공공 제안요청서에서 흔히 쓰는 조건이라 제안 비용을 수행사가 부담하는 것 자체의 위험은 낮으므로 기본 심각도(low)를 그대로 둔다. 다만 제안서를 돌려주지 않는다는 규정만 있고, 낙찰되지 못한 제안서의 내용을 다른 용도로 쓰지 않는다거나 지식재산권이 누구에게 있는지에 대한 규정이 없어 제안 아이디어가 유출되거나 무단으로 쓰일 여지가 있다. 협상 포인트: "제출된 제안서의 지식재산권은 제안사에 귀속되며, 발주기관은 제안서 내용을 평가 목적으로만 사용하고, 낙찰되지 못한 제안사가 요청하면 평가 종료 후 제안서를 반환하거나 폐기한다"는 문구를 명시해 달라고 질의한다.</w:t>
      </w:r>
    </w:p>
    <w:p>
      <w:pPr>
        <w:pStyle w:val="ListBullet"/>
      </w:pPr>
      <w:r>
        <w:rPr>
          <w:b/>
        </w:rPr>
        <w:t xml:space="preserve">[낮음] 입찰 참가 자격 실적 요건 (p.9) </w:t>
      </w:r>
      <w:r>
        <w:t>— 자격 요건은 '최근 5년 이내 10억 원 이상 공공기관 정보시스템 구축 실적 2건 이상'입니다. 국가계약법 시행령 제12조상 참가자격 제한에 해당하지만 공동수급(2개사 이내)이 허용되어 진입 장벽이 일부 낮아지므로 기본 심각도 low를 유지합니다. 다만 실적 합산 인정 기준과 '공공기관'·'정보시스템 구축'의 범위가 정해져 있지 않아, 자사 실적이 인정되는지 미리 확인해야 합니다. 협상 포인트: "공동수급 시 구성원별 실적을 지분율과 관계없이 합산해 인정하는지, 금융기관·지방공기업 등 '공공기관'의 범위와 유지보수·고도화 사업이 '정보시스템 구축 실적'에 포함되는지, 실적 금액이 계약금액 기준인지 지분 해당액 기준인지 명확히 해 주시기 바랍니다."</w:t>
      </w:r>
    </w:p>
    <w:p>
      <w:pPr>
        <w:pStyle w:val="ListBullet"/>
      </w:pPr>
      <w:r>
        <w:rPr>
          <w:b/>
        </w:rPr>
        <w:t xml:space="preserve">[높음] 과도한 하자보수 기간 및 기능 개선을 포함한 무상 유지보수 (p.10) </w:t>
      </w:r>
      <w:r>
        <w:t>— 통상 1년 수준인 SW 하자담보 기간보다 긴 3년의 하자보수에 더해, 2년간 무상 유지보수와 기능 개선 대응까지 요구합니다. 대가 없이 추가 과업을 수행해야 하는 구조입니다. 협상 포인트: 하자보수 기간은 검수 완료 후 1년으로 하고, 무상 유지보수는 하자 조치에 한정해 주십시오. 기능 개선은 별도 유상 계약 대상임을 명시해 주십시오.</w:t>
      </w:r>
    </w:p>
    <w:p>
      <w:pPr>
        <w:pStyle w:val="ListBullet"/>
      </w:pPr>
      <w:r>
        <w:rPr>
          <w:b/>
        </w:rPr>
        <w:t xml:space="preserve">[높음] 개인정보 유출 원인 불문 전부 책임 (p.10) </w:t>
      </w:r>
      <w:r>
        <w:t>— 발주기관의 귀책이나 불가항력으로 생긴 사고까지 수행사가 무과실로 책임지는 구조입니다. 협상 포인트: 개인정보 유출 책임은 계약상대자의 귀책사유가 있는 범위로 한정해 줄 것을 요청합니다.</w:t>
      </w:r>
    </w:p>
    <w:p>
      <w:pPr>
        <w:pStyle w:val="ListBullet"/>
      </w:pPr>
      <w:r>
        <w:rPr>
          <w:b/>
        </w:rPr>
        <w:t xml:space="preserve">[높음] 무상 유지보수 기간 중 기능 개선 대응 의무 (p.10) </w:t>
      </w:r>
      <w:r>
        <w:t>— 하자보수(3년)와 별도로 2년간 무상 유지보수 의무가 있고, 여기에 하자가 아닌 기능 개선까지 포함되어 사실상 무상 추가 개발이 됩니다. 협상 포인트: 무상 의무는 하자보수(통상 1년)로 한정하고, 기능 개선은 별도 유상 유지보수 계약으로 처리한다고 명시해 줄 것을 요구합니다.</w:t>
      </w:r>
    </w:p>
    <w:p>
      <w:pPr>
        <w:pStyle w:val="ListBullet"/>
      </w:pPr>
      <w:r>
        <w:rPr>
          <w:b/>
        </w:rPr>
        <w:t xml:space="preserve">[높음] 손해배상 상한 부재(무한 배상) (p.11) </w:t>
      </w:r>
      <w:r>
        <w:t>— 경과실까지 포함해 배상 상한 없이 '모든 손해'를 배상하도록 되어 있습니다. 간접손해까지 포함되면 배상액이 계약금액을 넘을 수 있습니다. 협상 포인트: 손해배상 총액은 계약금액을 상한으로 하고, 간접·결과적 손해는 고의 또는 중과실이 있는 경우를 제외하고 배상에서 뺀다는 조항을 추가할 것을 요구합니다.</w:t>
      </w:r>
    </w:p>
    <w:p>
      <w:pPr>
        <w:pStyle w:val="ListBullet"/>
      </w:pPr>
      <w:r>
        <w:rPr>
          <w:b/>
        </w:rPr>
        <w:t xml:space="preserve">[보통] 지체상금 상한 부재 (p.10) </w:t>
      </w:r>
      <w:r>
        <w:t>— 지체상금 총액 상한이 없고, 발주기관 귀책(검수 지연, 과업 변경, 외부 연계 지연)에 따른 지체를 면책하는 규정도 없습니다. 협상 포인트: 지체상금 총액을 계약금액의 10~30%로 제한하고, 발주기관 또는 제3자 귀책으로 생긴 지체 일수는 산정에서 빼도록 명시한다.</w:t>
      </w:r>
    </w:p>
    <w:p>
      <w:pPr>
        <w:pStyle w:val="ListBullet"/>
      </w:pPr>
      <w:r>
        <w:rPr>
          <w:b/>
        </w:rPr>
        <w:t xml:space="preserve">[보통] 발주처 지정 클라우드 위에서 가동률 99.9% 보장 의무 (p.5) </w:t>
      </w:r>
      <w:r>
        <w:t>— 인프라는 한빛시가 지정하는 공공 클라우드인데, 수행사가 연간 가동률 99.9%(연간 약 8.8시간 이내 중단)를 보장해야 합니다. 이 때문에 CSP 장애나 발주처 귀책으로 생긴 중단까지 수행사 책임이 될 수 있습니다. 협상 포인트: 가동률 산정에서 CSP 인프라 장애, 발주처 귀책 사유, 사전 협의된 계획정지, 천재지변은 제외해 주십시오. 또한 99.9%는 수행사가 '보장'하는 값이 아니라 '설계 목표'로 바꾸고, 시험 기준으로 확인한다는 점을 명시해 주십시오.</w:t>
      </w:r>
    </w:p>
    <w:p>
      <w:pPr>
        <w:pStyle w:val="ListBullet"/>
      </w:pPr>
      <w:r>
        <w:rPr>
          <w:b/>
        </w:rPr>
        <w:t xml:space="preserve">[보통] 개인정보 영향평가 수행 책임의 수행사 전가 (p.6) </w:t>
      </w:r>
      <w:r>
        <w:t>— 개인정보 영향평가는 개인정보보호위원회가 지정한 평가기관만 수행할 수 있습니다. 수행사가 직접 맡게 되면 외부 평가기관 용역비가 추가로 들고, 개선 권고가 얼마나 나올지 모르는 상태에서 모두 반영해야 하므로 범위가 늘어날 위험이 있습니다. 협상 포인트: 개인정보 영향평가는 발주기관이 지정 평가기관과 별도로 계약해 수행하고, 수행사는 자료 제공과 협조만 맡도록 해 주시기 바랍니다. 개선 권고 반영은 계약 범위 안의 항목에 한정하고, 범위를 넘는 항목은 과업 변경 절차로 처리해 주시기 바랍니다.</w:t>
      </w:r>
    </w:p>
    <w:p>
      <w:pPr>
        <w:pStyle w:val="ListBullet"/>
      </w:pPr>
      <w:r>
        <w:rPr>
          <w:b/>
        </w:rPr>
        <w:t xml:space="preserve">[보통] 대규모 데이터 이관의 정제 책임·정합성 기준 불명확 (p.6) </w:t>
      </w:r>
      <w:r>
        <w:t>— 12개 기존 시스템에서 약 1,850만 건을 이관해야 하는데, 원천 데이터 오류를 누가 정제하는지와 정합성 합격 기준이 정해져 있지 않습니다. 이 때문에 이관과 검증 공수가 무제한으로 늘어날 수 있습니다. 협상 포인트: 원천 데이터 품질 오류의 정제 책임은 발주기관(기존 시스템 운영사)에 두고, 정합성 검증 기준(건수·주요 항목 일치율)과 이관 리허설 횟수를 이관 계획서에서 합의해 확정해 주시기 바랍니다.</w:t>
      </w:r>
    </w:p>
    <w:p>
      <w:pPr>
        <w:pStyle w:val="ListBullet"/>
      </w:pPr>
      <w:r>
        <w:rPr>
          <w:b/>
        </w:rPr>
        <w:t xml:space="preserve">[보통] 오픈 후 3개월 상주 안정화 지원 의무 (p.9) </w:t>
      </w:r>
      <w:r>
        <w:t>— 오픈 후 3개월 동안 상주 인력을 두어야 하는데, 이 기간의 인력 규모와 대가가 사업비에 반영되는지, 하자보수와 어디까지 구분되는지가 문맥에 없다. 사업 기간이 늘어나거나 인건비가 추가로 들 위험이 있다. 협상 포인트: 안정화 기간 상주 인력의 규모와 역할을 명시하고, 그 비용이 사업 예산에 포함되는지, 하자보수 범위와 어떻게 구분되는지 확인해 달라고 질의한다.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