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Malgun Gothic" w:cs="Malgun Gothic" w:eastAsia="Malgun Gothic" w:hAnsi="Malgun Gothic"/>
          <w:b/>
          <w:bCs/>
          <w:color w:val="C00000"/>
          <w:sz w:val="22"/>
          <w:szCs w:val="22"/>
        </w:rPr>
        <w:t xml:space="preserve">제안서 A — 단일 패스(baseline) 버전 · 교육용 비교 자료</w:t>
      </w:r>
    </w:p>
    <w:p>
      <w:pPr>
        <w:spacing w:after="120"/>
        <w:jc w:val="center"/>
      </w:pPr>
      <w:r>
        <w:rPr>
          <w:rFonts w:ascii="Malgun Gothic" w:cs="Malgun Gothic" w:eastAsia="Malgun Gothic" w:hAnsi="Malgun Gothic"/>
          <w:b/>
          <w:bCs/>
          <w:color w:val="1F3864"/>
          <w:sz w:val="44"/>
          <w:szCs w:val="44"/>
        </w:rPr>
        <w:t xml:space="preserve">데이터뱅크 의료기관 연계 기반 시스템 구축</w:t>
      </w:r>
    </w:p>
    <w:p>
      <w:pPr>
        <w:spacing w:after="500"/>
        <w:jc w:val="center"/>
      </w:pPr>
      <w:r>
        <w:rPr>
          <w:rFonts w:ascii="Malgun Gothic" w:cs="Malgun Gothic" w:eastAsia="Malgun Gothic" w:hAnsi="Malgun Gothic"/>
          <w:b/>
          <w:bCs/>
          <w:color w:val="2E5395"/>
          <w:sz w:val="30"/>
          <w:szCs w:val="30"/>
        </w:rPr>
        <w:t xml:space="preserve">국가통합바이오빅데이터 구축사업 용역</w:t>
      </w:r>
    </w:p>
    <w:p>
      <w:pPr>
        <w:spacing w:after="80"/>
        <w:jc w:val="center"/>
      </w:pPr>
      <w:r>
        <w:rPr>
          <w:rFonts w:ascii="Malgun Gothic" w:cs="Malgun Gothic" w:eastAsia="Malgun Gothic" w:hAnsi="Malgun Gothic"/>
          <w:b/>
          <w:bCs/>
          <w:sz w:val="34"/>
          <w:szCs w:val="34"/>
        </w:rPr>
        <w:t xml:space="preserve">사 업 제 안 서</w:t>
      </w:r>
    </w:p>
    <w:p>
      <w:pPr>
        <w:spacing w:after="60"/>
        <w:jc w:val="center"/>
      </w:pPr>
      <w:r>
        <w:rPr>
          <w:rFonts w:ascii="Malgun Gothic" w:cs="Malgun Gothic" w:eastAsia="Malgun Gothic" w:hAnsi="Malgun Gothic"/>
          <w:color w:val="595959"/>
          <w:sz w:val="20"/>
          <w:szCs w:val="20"/>
        </w:rPr>
        <w:t xml:space="preserve">본 문서는 동일 과업지시서를 '단일 프롬프트 1회 생성'으로 작성한 비교 기준선입니다.</w:t>
      </w:r>
    </w:p>
    <w:p>
      <w:pPr>
        <w:spacing w:before="1600"/>
      </w:pPr>
    </w:p>
    <w:p>
      <w:pPr>
        <w:jc w:val="center"/>
      </w:pPr>
      <w:r>
        <w:rPr>
          <w:rFonts w:ascii="Malgun Gothic" w:cs="Malgun Gothic" w:eastAsia="Malgun Gothic" w:hAnsi="Malgun Gothic"/>
          <w:color w:val="595959"/>
          <w:sz w:val="20"/>
          <w:szCs w:val="20"/>
        </w:rPr>
        <w:t xml:space="preserve">발주기관: 양산부산대학교병원  |  2026. 07.</w:t>
      </w:r>
    </w:p>
    <w:p>
      <w:r>
        <w:br w:type="page"/>
      </w:r>
    </w:p>
    <w:p>
      <w:pPr>
        <w:pStyle w:val="Heading1"/>
        <w:spacing w:after="160" w:before="320"/>
      </w:pPr>
      <w:r>
        <w:rPr>
          <w:rFonts w:ascii="Malgun Gothic" w:cs="Malgun Gothic" w:eastAsia="Malgun Gothic" w:hAnsi="Malgun Gothic"/>
          <w:b/>
          <w:bCs/>
          <w:color w:val="1F3864"/>
          <w:sz w:val="28"/>
          <w:szCs w:val="28"/>
        </w:rPr>
        <w:t xml:space="preserve">1. 사업의 이해</w:t>
      </w:r>
    </w:p>
    <w:p>
      <w:pPr>
        <w:spacing w:after="120" w:line="300"/>
      </w:pPr>
      <w:r>
        <w:rPr>
          <w:rFonts w:ascii="Malgun Gothic" w:cs="Malgun Gothic" w:eastAsia="Malgun Gothic" w:hAnsi="Malgun Gothic"/>
          <w:sz w:val="20"/>
          <w:szCs w:val="20"/>
        </w:rPr>
        <w:t xml:space="preserve">본 사업은 양산부산대학교병원의 EMR(전자의무기록) 데이터를 국가통합바이오빅데이터 표준 스키마에 맞게 매핑하고, 비정형 데이터의 가명화 ETL과 품질진단을 거쳐 메타통계 데이터를 생성·전송하는 시스템을 구축하는 사업입니다. 국가 바이오 빅데이터 구축이라는 국가적 과제에 의료기관이 안전하고 표준화된 방식으로 참여할 수 있는 기반을 마련하는 데 그 의의가 있습니다.</w:t>
      </w:r>
    </w:p>
    <w:p>
      <w:pPr>
        <w:spacing w:after="120" w:line="300"/>
      </w:pPr>
      <w:r>
        <w:rPr>
          <w:rFonts w:ascii="Malgun Gothic" w:cs="Malgun Gothic" w:eastAsia="Malgun Gothic" w:hAnsi="Malgun Gothic"/>
          <w:sz w:val="20"/>
          <w:szCs w:val="20"/>
        </w:rPr>
        <w:t xml:space="preserve">당사는 의료정보 시스템 구축 경험과 데이터 엔지니어링 역량을 바탕으로, 계약일로부터 60일 이내에 안정적인 데이터 연계 체계를 구축하겠습니다.</w:t>
      </w:r>
    </w:p>
    <w:p>
      <w:pPr>
        <w:pStyle w:val="Heading1"/>
        <w:spacing w:after="160" w:before="320"/>
      </w:pPr>
      <w:r>
        <w:rPr>
          <w:rFonts w:ascii="Malgun Gothic" w:cs="Malgun Gothic" w:eastAsia="Malgun Gothic" w:hAnsi="Malgun Gothic"/>
          <w:b/>
          <w:bCs/>
          <w:color w:val="1F3864"/>
          <w:sz w:val="28"/>
          <w:szCs w:val="28"/>
        </w:rPr>
        <w:t xml:space="preserve">2. 사업 수행 방안</w:t>
      </w:r>
    </w:p>
    <w:p>
      <w:pPr>
        <w:pStyle w:val="Heading2"/>
        <w:spacing w:after="120" w:before="240"/>
      </w:pPr>
      <w:r>
        <w:rPr>
          <w:rFonts w:ascii="Malgun Gothic" w:cs="Malgun Gothic" w:eastAsia="Malgun Gothic" w:hAnsi="Malgun Gothic"/>
          <w:b/>
          <w:bCs/>
          <w:color w:val="2E5395"/>
          <w:sz w:val="23"/>
          <w:szCs w:val="23"/>
        </w:rPr>
        <w:t xml:space="preserve">2.1 참여자 기반 데이터 추출</w:t>
      </w:r>
    </w:p>
    <w:p>
      <w:pPr>
        <w:pStyle w:val="ListParagraph"/>
        <w:numPr>
          <w:ilvl w:val="0"/>
          <w:numId w:val="2"/>
        </w:numPr>
        <w:spacing w:after="120" w:line="300"/>
      </w:pPr>
      <w:r>
        <w:rPr>
          <w:rFonts w:ascii="Malgun Gothic" w:cs="Malgun Gothic" w:eastAsia="Malgun Gothic" w:hAnsi="Malgun Gothic"/>
          <w:sz w:val="20"/>
          <w:szCs w:val="20"/>
        </w:rPr>
        <w:t xml:space="preserve">국가통합바이오빅데이터 참여자를 대상으로 병원 EMR에서 필요한 데이터를 추출합니다. 참여자 명단을 기준으로 대상자를 식별하고, 환자정보, 진료정보, 검사정보 등 과업지시서에 명시된 데이터 항목을 추출하는 ETL 프로세스를 개발합니다.</w:t>
      </w:r>
    </w:p>
    <w:p>
      <w:pPr>
        <w:pStyle w:val="ListParagraph"/>
        <w:numPr>
          <w:ilvl w:val="0"/>
          <w:numId w:val="2"/>
        </w:numPr>
        <w:spacing w:after="120" w:line="300"/>
      </w:pPr>
      <w:r>
        <w:rPr>
          <w:rFonts w:ascii="Malgun Gothic" w:cs="Malgun Gothic" w:eastAsia="Malgun Gothic" w:hAnsi="Malgun Gothic"/>
          <w:sz w:val="20"/>
          <w:szCs w:val="20"/>
        </w:rPr>
        <w:t xml:space="preserve">추출 과정은 자동화하여 반복 수행이 가능하도록 구성하며, 추출 이력을 관리합니다.</w:t>
      </w:r>
    </w:p>
    <w:p>
      <w:pPr>
        <w:pStyle w:val="Heading2"/>
        <w:spacing w:after="120" w:before="240"/>
      </w:pPr>
      <w:r>
        <w:rPr>
          <w:rFonts w:ascii="Malgun Gothic" w:cs="Malgun Gothic" w:eastAsia="Malgun Gothic" w:hAnsi="Malgun Gothic"/>
          <w:b/>
          <w:bCs/>
          <w:color w:val="2E5395"/>
          <w:sz w:val="23"/>
          <w:szCs w:val="23"/>
        </w:rPr>
        <w:t xml:space="preserve">2.2 표준 스키마 매핑 및 가명화</w:t>
      </w:r>
    </w:p>
    <w:p>
      <w:pPr>
        <w:pStyle w:val="ListParagraph"/>
        <w:numPr>
          <w:ilvl w:val="0"/>
          <w:numId w:val="2"/>
        </w:numPr>
        <w:spacing w:after="120" w:line="300"/>
      </w:pPr>
      <w:r>
        <w:rPr>
          <w:rFonts w:ascii="Malgun Gothic" w:cs="Malgun Gothic" w:eastAsia="Malgun Gothic" w:hAnsi="Malgun Gothic"/>
          <w:sz w:val="20"/>
          <w:szCs w:val="20"/>
        </w:rPr>
        <w:t xml:space="preserve">추출된 데이터를 국가통합바이오빅데이터 표준 스키마에 맞게 변환합니다. 진단명, 약물, 검사 항목 등은 FHIR, KCD-8, 심평원 EDI, ATC 등 과업지시서에 제시된 표준코드에 맞추어 매핑합니다.</w:t>
      </w:r>
    </w:p>
    <w:p>
      <w:pPr>
        <w:pStyle w:val="ListParagraph"/>
        <w:numPr>
          <w:ilvl w:val="0"/>
          <w:numId w:val="2"/>
        </w:numPr>
        <w:spacing w:after="120" w:line="300"/>
      </w:pPr>
      <w:r>
        <w:rPr>
          <w:rFonts w:ascii="Malgun Gothic" w:cs="Malgun Gothic" w:eastAsia="Malgun Gothic" w:hAnsi="Malgun Gothic"/>
          <w:sz w:val="20"/>
          <w:szCs w:val="20"/>
        </w:rPr>
        <w:t xml:space="preserve">개인을 식별할 수 있는 정보는 가명화 처리하며, 비정형 데이터에 포함된 식별정보도 검출하여 마스킹합니다.</w:t>
      </w:r>
    </w:p>
    <w:p>
      <w:pPr>
        <w:pStyle w:val="Heading2"/>
        <w:spacing w:after="120" w:before="240"/>
      </w:pPr>
      <w:r>
        <w:rPr>
          <w:rFonts w:ascii="Malgun Gothic" w:cs="Malgun Gothic" w:eastAsia="Malgun Gothic" w:hAnsi="Malgun Gothic"/>
          <w:b/>
          <w:bCs/>
          <w:color w:val="2E5395"/>
          <w:sz w:val="23"/>
          <w:szCs w:val="23"/>
        </w:rPr>
        <w:t xml:space="preserve">2.3 품질진단 및 품질검증</w:t>
      </w:r>
    </w:p>
    <w:p>
      <w:pPr>
        <w:pStyle w:val="ListParagraph"/>
        <w:numPr>
          <w:ilvl w:val="0"/>
          <w:numId w:val="2"/>
        </w:numPr>
        <w:spacing w:after="120" w:line="300"/>
      </w:pPr>
      <w:r>
        <w:rPr>
          <w:rFonts w:ascii="Malgun Gothic" w:cs="Malgun Gothic" w:eastAsia="Malgun Gothic" w:hAnsi="Malgun Gothic"/>
          <w:sz w:val="20"/>
          <w:szCs w:val="20"/>
        </w:rPr>
        <w:t xml:space="preserve">결측치와 이상치를 검출하고, 코드값 준수 여부와 항목 간 정합성을 검증합니다.</w:t>
      </w:r>
    </w:p>
    <w:p>
      <w:pPr>
        <w:pStyle w:val="ListParagraph"/>
        <w:numPr>
          <w:ilvl w:val="0"/>
          <w:numId w:val="2"/>
        </w:numPr>
        <w:spacing w:after="120" w:line="300"/>
      </w:pPr>
      <w:r>
        <w:rPr>
          <w:rFonts w:ascii="Malgun Gothic" w:cs="Malgun Gothic" w:eastAsia="Malgun Gothic" w:hAnsi="Malgun Gothic"/>
          <w:sz w:val="20"/>
          <w:szCs w:val="20"/>
        </w:rPr>
        <w:t xml:space="preserve">정형/비정형 데이터에 대한 품질 검사를 수행하고 그 결과를 품질진단 보고서로 작성합니다.</w:t>
      </w:r>
    </w:p>
    <w:p>
      <w:pPr>
        <w:pStyle w:val="Heading2"/>
        <w:spacing w:after="120" w:before="240"/>
      </w:pPr>
      <w:r>
        <w:rPr>
          <w:rFonts w:ascii="Malgun Gothic" w:cs="Malgun Gothic" w:eastAsia="Malgun Gothic" w:hAnsi="Malgun Gothic"/>
          <w:b/>
          <w:bCs/>
          <w:color w:val="2E5395"/>
          <w:sz w:val="23"/>
          <w:szCs w:val="23"/>
        </w:rPr>
        <w:t xml:space="preserve">2.4 메타통계 생성 및 전송</w:t>
      </w:r>
    </w:p>
    <w:p>
      <w:pPr>
        <w:pStyle w:val="ListParagraph"/>
        <w:numPr>
          <w:ilvl w:val="0"/>
          <w:numId w:val="2"/>
        </w:numPr>
        <w:spacing w:after="120" w:line="300"/>
      </w:pPr>
      <w:r>
        <w:rPr>
          <w:rFonts w:ascii="Malgun Gothic" w:cs="Malgun Gothic" w:eastAsia="Malgun Gothic" w:hAnsi="Malgun Gothic"/>
          <w:sz w:val="20"/>
          <w:szCs w:val="20"/>
        </w:rPr>
        <w:t xml:space="preserve">품질진단이 완료된 데이터에 대한 통계 자료를 작성하여 전송합니다.</w:t>
      </w:r>
    </w:p>
    <w:p>
      <w:pPr>
        <w:pStyle w:val="ListParagraph"/>
        <w:numPr>
          <w:ilvl w:val="0"/>
          <w:numId w:val="2"/>
        </w:numPr>
        <w:spacing w:after="120" w:line="300"/>
      </w:pPr>
      <w:r>
        <w:rPr>
          <w:rFonts w:ascii="Malgun Gothic" w:cs="Malgun Gothic" w:eastAsia="Malgun Gothic" w:hAnsi="Malgun Gothic"/>
          <w:sz w:val="20"/>
          <w:szCs w:val="20"/>
        </w:rPr>
        <w:t xml:space="preserve">전송 현황을 확인할 수 있는 모니터링 기능과 에러 발생 시 알림 기능을 제공합니다.</w:t>
      </w:r>
    </w:p>
    <w:p>
      <w:pPr>
        <w:pStyle w:val="Heading1"/>
        <w:spacing w:after="160" w:before="320"/>
      </w:pPr>
      <w:r>
        <w:rPr>
          <w:rFonts w:ascii="Malgun Gothic" w:cs="Malgun Gothic" w:eastAsia="Malgun Gothic" w:hAnsi="Malgun Gothic"/>
          <w:b/>
          <w:bCs/>
          <w:color w:val="1F3864"/>
          <w:sz w:val="28"/>
          <w:szCs w:val="28"/>
        </w:rPr>
        <w:t xml:space="preserve">3. 시스템 구성(안)</w:t>
      </w:r>
    </w:p>
    <w:p>
      <w:pPr>
        <w:spacing w:after="120" w:line="300"/>
      </w:pPr>
      <w:r>
        <w:rPr>
          <w:rFonts w:ascii="Malgun Gothic" w:cs="Malgun Gothic" w:eastAsia="Malgun Gothic" w:hAnsi="Malgun Gothic"/>
          <w:sz w:val="20"/>
          <w:szCs w:val="20"/>
        </w:rPr>
        <w:t xml:space="preserve">시스템은 크게 데이터 추출 모듈, 변환·가명화 모듈, 품질진단 모듈, 전송·모니터링 모듈로 구성됩니다. 각 모듈은 안정성과 확장성을 고려하여 설계하며, 병원 내부망 환경에서 안전하게 운영될 수 있도록 보안을 고려합니다.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3864" w:val="clear"/>
            <w:tcMar>
              <w:top w:type="dxa" w:w="60"/>
              <w:left w:type="dxa" w:w="100"/>
              <w:bottom w:type="dxa" w:w="60"/>
              <w:right w:type="dxa" w:w="100"/>
            </w:tcMar>
          </w:tcPr>
          <w:p>
            <w:r>
              <w:rPr>
                <w:rFonts w:ascii="Malgun Gothic" w:cs="Malgun Gothic" w:eastAsia="Malgun Gothic" w:hAnsi="Malgun Gothic"/>
                <w:b/>
                <w:bCs/>
                <w:color w:val="FFFFFF"/>
                <w:sz w:val="18"/>
                <w:szCs w:val="18"/>
              </w:rPr>
              <w:t xml:space="preserve">모듈</w:t>
            </w:r>
          </w:p>
        </w:tc>
        <w:tc>
          <w:tcPr>
            <w:tcW w:type="dxa" w:w="6800"/>
            <w:shd w:fill="1F3864" w:val="clear"/>
            <w:tcMar>
              <w:top w:type="dxa" w:w="60"/>
              <w:left w:type="dxa" w:w="100"/>
              <w:bottom w:type="dxa" w:w="60"/>
              <w:right w:type="dxa" w:w="100"/>
            </w:tcMar>
          </w:tcPr>
          <w:p>
            <w:r>
              <w:rPr>
                <w:rFonts w:ascii="Malgun Gothic" w:cs="Malgun Gothic" w:eastAsia="Malgun Gothic" w:hAnsi="Malgun Gothic"/>
                <w:b/>
                <w:bCs/>
                <w:color w:val="FFFFFF"/>
                <w:sz w:val="18"/>
                <w:szCs w:val="18"/>
              </w:rPr>
              <w:t xml:space="preserve">주요 기능</w:t>
            </w:r>
          </w:p>
        </w:tc>
      </w:tr>
      <w:tr>
        <w:tc>
          <w:tcPr>
            <w:tcW w:type="dxa" w:w="2400"/>
            <w:tcMar>
              <w:top w:type="dxa" w:w="60"/>
              <w:left w:type="dxa" w:w="100"/>
              <w:bottom w:type="dxa" w:w="60"/>
              <w:right w:type="dxa" w:w="100"/>
            </w:tcMar>
          </w:tcPr>
          <w:p>
            <w:r>
              <w:rPr>
                <w:rFonts w:ascii="Malgun Gothic" w:cs="Malgun Gothic" w:eastAsia="Malgun Gothic" w:hAnsi="Malgun Gothic"/>
                <w:sz w:val="18"/>
                <w:szCs w:val="18"/>
              </w:rPr>
              <w:t xml:space="preserve">데이터 추출</w:t>
            </w:r>
          </w:p>
        </w:tc>
        <w:tc>
          <w:tcPr>
            <w:tcW w:type="dxa" w:w="6800"/>
            <w:tcMar>
              <w:top w:type="dxa" w:w="60"/>
              <w:left w:type="dxa" w:w="100"/>
              <w:bottom w:type="dxa" w:w="60"/>
              <w:right w:type="dxa" w:w="100"/>
            </w:tcMar>
          </w:tcPr>
          <w:p>
            <w:r>
              <w:rPr>
                <w:rFonts w:ascii="Malgun Gothic" w:cs="Malgun Gothic" w:eastAsia="Malgun Gothic" w:hAnsi="Malgun Gothic"/>
                <w:sz w:val="18"/>
                <w:szCs w:val="18"/>
              </w:rPr>
              <w:t xml:space="preserve">참여자 기반 EMR 데이터 추출, 추출 이력 관리</w:t>
            </w:r>
          </w:p>
        </w:tc>
      </w:tr>
      <w:tr>
        <w:tc>
          <w:tcPr>
            <w:tcW w:type="dxa" w:w="2400"/>
            <w:tcMar>
              <w:top w:type="dxa" w:w="60"/>
              <w:left w:type="dxa" w:w="100"/>
              <w:bottom w:type="dxa" w:w="60"/>
              <w:right w:type="dxa" w:w="100"/>
            </w:tcMar>
          </w:tcPr>
          <w:p>
            <w:r>
              <w:rPr>
                <w:rFonts w:ascii="Malgun Gothic" w:cs="Malgun Gothic" w:eastAsia="Malgun Gothic" w:hAnsi="Malgun Gothic"/>
                <w:sz w:val="18"/>
                <w:szCs w:val="18"/>
              </w:rPr>
              <w:t xml:space="preserve">변환·가명화</w:t>
            </w:r>
          </w:p>
        </w:tc>
        <w:tc>
          <w:tcPr>
            <w:tcW w:type="dxa" w:w="6800"/>
            <w:tcMar>
              <w:top w:type="dxa" w:w="60"/>
              <w:left w:type="dxa" w:w="100"/>
              <w:bottom w:type="dxa" w:w="60"/>
              <w:right w:type="dxa" w:w="100"/>
            </w:tcMar>
          </w:tcPr>
          <w:p>
            <w:r>
              <w:rPr>
                <w:rFonts w:ascii="Malgun Gothic" w:cs="Malgun Gothic" w:eastAsia="Malgun Gothic" w:hAnsi="Malgun Gothic"/>
                <w:sz w:val="18"/>
                <w:szCs w:val="18"/>
              </w:rPr>
              <w:t xml:space="preserve">표준 스키마 매핑, 표준코드 변환, 개인정보 가명화</w:t>
            </w:r>
          </w:p>
        </w:tc>
      </w:tr>
      <w:tr>
        <w:tc>
          <w:tcPr>
            <w:tcW w:type="dxa" w:w="2400"/>
            <w:tcMar>
              <w:top w:type="dxa" w:w="60"/>
              <w:left w:type="dxa" w:w="100"/>
              <w:bottom w:type="dxa" w:w="60"/>
              <w:right w:type="dxa" w:w="100"/>
            </w:tcMar>
          </w:tcPr>
          <w:p>
            <w:r>
              <w:rPr>
                <w:rFonts w:ascii="Malgun Gothic" w:cs="Malgun Gothic" w:eastAsia="Malgun Gothic" w:hAnsi="Malgun Gothic"/>
                <w:sz w:val="18"/>
                <w:szCs w:val="18"/>
              </w:rPr>
              <w:t xml:space="preserve">품질진단</w:t>
            </w:r>
          </w:p>
        </w:tc>
        <w:tc>
          <w:tcPr>
            <w:tcW w:type="dxa" w:w="6800"/>
            <w:tcMar>
              <w:top w:type="dxa" w:w="60"/>
              <w:left w:type="dxa" w:w="100"/>
              <w:bottom w:type="dxa" w:w="60"/>
              <w:right w:type="dxa" w:w="100"/>
            </w:tcMar>
          </w:tcPr>
          <w:p>
            <w:r>
              <w:rPr>
                <w:rFonts w:ascii="Malgun Gothic" w:cs="Malgun Gothic" w:eastAsia="Malgun Gothic" w:hAnsi="Malgun Gothic"/>
                <w:sz w:val="18"/>
                <w:szCs w:val="18"/>
              </w:rPr>
              <w:t xml:space="preserve">결측치·이상치 검출, 코드·정합성 검증, 보고서 생성</w:t>
            </w:r>
          </w:p>
        </w:tc>
      </w:tr>
      <w:tr>
        <w:tc>
          <w:tcPr>
            <w:tcW w:type="dxa" w:w="2400"/>
            <w:tcMar>
              <w:top w:type="dxa" w:w="60"/>
              <w:left w:type="dxa" w:w="100"/>
              <w:bottom w:type="dxa" w:w="60"/>
              <w:right w:type="dxa" w:w="100"/>
            </w:tcMar>
          </w:tcPr>
          <w:p>
            <w:r>
              <w:rPr>
                <w:rFonts w:ascii="Malgun Gothic" w:cs="Malgun Gothic" w:eastAsia="Malgun Gothic" w:hAnsi="Malgun Gothic"/>
                <w:sz w:val="18"/>
                <w:szCs w:val="18"/>
              </w:rPr>
              <w:t xml:space="preserve">전송·모니터링</w:t>
            </w:r>
          </w:p>
        </w:tc>
        <w:tc>
          <w:tcPr>
            <w:tcW w:type="dxa" w:w="6800"/>
            <w:tcMar>
              <w:top w:type="dxa" w:w="60"/>
              <w:left w:type="dxa" w:w="100"/>
              <w:bottom w:type="dxa" w:w="60"/>
              <w:right w:type="dxa" w:w="100"/>
            </w:tcMar>
          </w:tcPr>
          <w:p>
            <w:r>
              <w:rPr>
                <w:rFonts w:ascii="Malgun Gothic" w:cs="Malgun Gothic" w:eastAsia="Malgun Gothic" w:hAnsi="Malgun Gothic"/>
                <w:sz w:val="18"/>
                <w:szCs w:val="18"/>
              </w:rPr>
              <w:t xml:space="preserve">데이터 전송, 전송 현황 모니터링, 에러 알림</w:t>
            </w:r>
          </w:p>
        </w:tc>
      </w:tr>
    </w:tbl>
    <w:p>
      <w:pPr>
        <w:pStyle w:val="Heading1"/>
        <w:spacing w:after="160" w:before="320"/>
      </w:pPr>
      <w:r>
        <w:rPr>
          <w:rFonts w:ascii="Malgun Gothic" w:cs="Malgun Gothic" w:eastAsia="Malgun Gothic" w:hAnsi="Malgun Gothic"/>
          <w:b/>
          <w:bCs/>
          <w:color w:val="1F3864"/>
          <w:sz w:val="28"/>
          <w:szCs w:val="28"/>
        </w:rPr>
        <w:t xml:space="preserve">4. 사업 추진 일정</w:t>
      </w:r>
    </w:p>
    <w:p>
      <w:pPr>
        <w:spacing w:after="120" w:line="300"/>
      </w:pPr>
      <w:r>
        <w:rPr>
          <w:rFonts w:ascii="Malgun Gothic" w:cs="Malgun Gothic" w:eastAsia="Malgun Gothic" w:hAnsi="Malgun Gothic"/>
          <w:sz w:val="20"/>
          <w:szCs w:val="20"/>
        </w:rPr>
        <w:t xml:space="preserve">총 60일의 사업 기간을 3단계로 나누어 추진합니다.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shd w:fill="1F3864" w:val="clear"/>
            <w:tcMar>
              <w:top w:type="dxa" w:w="60"/>
              <w:left w:type="dxa" w:w="100"/>
              <w:bottom w:type="dxa" w:w="60"/>
              <w:right w:type="dxa" w:w="100"/>
            </w:tcMar>
          </w:tcPr>
          <w:p>
            <w:r>
              <w:rPr>
                <w:rFonts w:ascii="Malgun Gothic" w:cs="Malgun Gothic" w:eastAsia="Malgun Gothic" w:hAnsi="Malgun Gothic"/>
                <w:b/>
                <w:bCs/>
                <w:color w:val="FFFFFF"/>
                <w:sz w:val="18"/>
                <w:szCs w:val="18"/>
              </w:rPr>
              <w:t xml:space="preserve">단계</w:t>
            </w:r>
          </w:p>
        </w:tc>
        <w:tc>
          <w:tcPr>
            <w:tcW w:type="dxa" w:w="2200"/>
            <w:shd w:fill="1F3864" w:val="clear"/>
            <w:tcMar>
              <w:top w:type="dxa" w:w="60"/>
              <w:left w:type="dxa" w:w="100"/>
              <w:bottom w:type="dxa" w:w="60"/>
              <w:right w:type="dxa" w:w="100"/>
            </w:tcMar>
          </w:tcPr>
          <w:p>
            <w:r>
              <w:rPr>
                <w:rFonts w:ascii="Malgun Gothic" w:cs="Malgun Gothic" w:eastAsia="Malgun Gothic" w:hAnsi="Malgun Gothic"/>
                <w:b/>
                <w:bCs/>
                <w:color w:val="FFFFFF"/>
                <w:sz w:val="18"/>
                <w:szCs w:val="18"/>
              </w:rPr>
              <w:t xml:space="preserve">기간</w:t>
            </w:r>
          </w:p>
        </w:tc>
        <w:tc>
          <w:tcPr>
            <w:tcW w:type="dxa" w:w="5000"/>
            <w:shd w:fill="1F3864" w:val="clear"/>
            <w:tcMar>
              <w:top w:type="dxa" w:w="60"/>
              <w:left w:type="dxa" w:w="100"/>
              <w:bottom w:type="dxa" w:w="60"/>
              <w:right w:type="dxa" w:w="100"/>
            </w:tcMar>
          </w:tcPr>
          <w:p>
            <w:r>
              <w:rPr>
                <w:rFonts w:ascii="Malgun Gothic" w:cs="Malgun Gothic" w:eastAsia="Malgun Gothic" w:hAnsi="Malgun Gothic"/>
                <w:b/>
                <w:bCs/>
                <w:color w:val="FFFFFF"/>
                <w:sz w:val="18"/>
                <w:szCs w:val="18"/>
              </w:rPr>
              <w:t xml:space="preserve">주요 내용</w:t>
            </w:r>
          </w:p>
        </w:tc>
      </w:tr>
      <w:tr>
        <w:tc>
          <w:tcPr>
            <w:tcW w:type="dxa" w:w="2000"/>
            <w:tcMar>
              <w:top w:type="dxa" w:w="60"/>
              <w:left w:type="dxa" w:w="100"/>
              <w:bottom w:type="dxa" w:w="60"/>
              <w:right w:type="dxa" w:w="100"/>
            </w:tcMar>
          </w:tcPr>
          <w:p>
            <w:r>
              <w:rPr>
                <w:rFonts w:ascii="Malgun Gothic" w:cs="Malgun Gothic" w:eastAsia="Malgun Gothic" w:hAnsi="Malgun Gothic"/>
                <w:sz w:val="18"/>
                <w:szCs w:val="18"/>
              </w:rPr>
              <w:t xml:space="preserve">1단계: 분석·설계</w:t>
            </w:r>
          </w:p>
        </w:tc>
        <w:tc>
          <w:tcPr>
            <w:tcW w:type="dxa" w:w="2200"/>
            <w:tcMar>
              <w:top w:type="dxa" w:w="60"/>
              <w:left w:type="dxa" w:w="100"/>
              <w:bottom w:type="dxa" w:w="60"/>
              <w:right w:type="dxa" w:w="100"/>
            </w:tcMar>
          </w:tcPr>
          <w:p>
            <w:r>
              <w:rPr>
                <w:rFonts w:ascii="Malgun Gothic" w:cs="Malgun Gothic" w:eastAsia="Malgun Gothic" w:hAnsi="Malgun Gothic"/>
                <w:sz w:val="18"/>
                <w:szCs w:val="18"/>
              </w:rPr>
              <w:t xml:space="preserve">약 3주</w:t>
            </w:r>
          </w:p>
        </w:tc>
        <w:tc>
          <w:tcPr>
            <w:tcW w:type="dxa" w:w="5000"/>
            <w:tcMar>
              <w:top w:type="dxa" w:w="60"/>
              <w:left w:type="dxa" w:w="100"/>
              <w:bottom w:type="dxa" w:w="60"/>
              <w:right w:type="dxa" w:w="100"/>
            </w:tcMar>
          </w:tcPr>
          <w:p>
            <w:r>
              <w:rPr>
                <w:rFonts w:ascii="Malgun Gothic" w:cs="Malgun Gothic" w:eastAsia="Malgun Gothic" w:hAnsi="Malgun Gothic"/>
                <w:sz w:val="18"/>
                <w:szCs w:val="18"/>
              </w:rPr>
              <w:t xml:space="preserve">요구사항 분석, EMR 데이터 구조 분석, 시스템 설계</w:t>
            </w:r>
          </w:p>
        </w:tc>
      </w:tr>
      <w:tr>
        <w:tc>
          <w:tcPr>
            <w:tcW w:type="dxa" w:w="2000"/>
            <w:tcMar>
              <w:top w:type="dxa" w:w="60"/>
              <w:left w:type="dxa" w:w="100"/>
              <w:bottom w:type="dxa" w:w="60"/>
              <w:right w:type="dxa" w:w="100"/>
            </w:tcMar>
          </w:tcPr>
          <w:p>
            <w:r>
              <w:rPr>
                <w:rFonts w:ascii="Malgun Gothic" w:cs="Malgun Gothic" w:eastAsia="Malgun Gothic" w:hAnsi="Malgun Gothic"/>
                <w:sz w:val="18"/>
                <w:szCs w:val="18"/>
              </w:rPr>
              <w:t xml:space="preserve">2단계: 개발</w:t>
            </w:r>
          </w:p>
        </w:tc>
        <w:tc>
          <w:tcPr>
            <w:tcW w:type="dxa" w:w="2200"/>
            <w:tcMar>
              <w:top w:type="dxa" w:w="60"/>
              <w:left w:type="dxa" w:w="100"/>
              <w:bottom w:type="dxa" w:w="60"/>
              <w:right w:type="dxa" w:w="100"/>
            </w:tcMar>
          </w:tcPr>
          <w:p>
            <w:r>
              <w:rPr>
                <w:rFonts w:ascii="Malgun Gothic" w:cs="Malgun Gothic" w:eastAsia="Malgun Gothic" w:hAnsi="Malgun Gothic"/>
                <w:sz w:val="18"/>
                <w:szCs w:val="18"/>
              </w:rPr>
              <w:t xml:space="preserve">약 4주</w:t>
            </w:r>
          </w:p>
        </w:tc>
        <w:tc>
          <w:tcPr>
            <w:tcW w:type="dxa" w:w="5000"/>
            <w:tcMar>
              <w:top w:type="dxa" w:w="60"/>
              <w:left w:type="dxa" w:w="100"/>
              <w:bottom w:type="dxa" w:w="60"/>
              <w:right w:type="dxa" w:w="100"/>
            </w:tcMar>
          </w:tcPr>
          <w:p>
            <w:r>
              <w:rPr>
                <w:rFonts w:ascii="Malgun Gothic" w:cs="Malgun Gothic" w:eastAsia="Malgun Gothic" w:hAnsi="Malgun Gothic"/>
                <w:sz w:val="18"/>
                <w:szCs w:val="18"/>
              </w:rPr>
              <w:t xml:space="preserve">ETL 개발, 가명화·품질진단 모듈 개발, 모니터링 개발</w:t>
            </w:r>
          </w:p>
        </w:tc>
      </w:tr>
      <w:tr>
        <w:tc>
          <w:tcPr>
            <w:tcW w:type="dxa" w:w="2000"/>
            <w:tcMar>
              <w:top w:type="dxa" w:w="60"/>
              <w:left w:type="dxa" w:w="100"/>
              <w:bottom w:type="dxa" w:w="60"/>
              <w:right w:type="dxa" w:w="100"/>
            </w:tcMar>
          </w:tcPr>
          <w:p>
            <w:r>
              <w:rPr>
                <w:rFonts w:ascii="Malgun Gothic" w:cs="Malgun Gothic" w:eastAsia="Malgun Gothic" w:hAnsi="Malgun Gothic"/>
                <w:sz w:val="18"/>
                <w:szCs w:val="18"/>
              </w:rPr>
              <w:t xml:space="preserve">3단계: 시험·이행</w:t>
            </w:r>
          </w:p>
        </w:tc>
        <w:tc>
          <w:tcPr>
            <w:tcW w:type="dxa" w:w="2200"/>
            <w:tcMar>
              <w:top w:type="dxa" w:w="60"/>
              <w:left w:type="dxa" w:w="100"/>
              <w:bottom w:type="dxa" w:w="60"/>
              <w:right w:type="dxa" w:w="100"/>
            </w:tcMar>
          </w:tcPr>
          <w:p>
            <w:r>
              <w:rPr>
                <w:rFonts w:ascii="Malgun Gothic" w:cs="Malgun Gothic" w:eastAsia="Malgun Gothic" w:hAnsi="Malgun Gothic"/>
                <w:sz w:val="18"/>
                <w:szCs w:val="18"/>
              </w:rPr>
              <w:t xml:space="preserve">약 2주</w:t>
            </w:r>
          </w:p>
        </w:tc>
        <w:tc>
          <w:tcPr>
            <w:tcW w:type="dxa" w:w="5000"/>
            <w:tcMar>
              <w:top w:type="dxa" w:w="60"/>
              <w:left w:type="dxa" w:w="100"/>
              <w:bottom w:type="dxa" w:w="60"/>
              <w:right w:type="dxa" w:w="100"/>
            </w:tcMar>
          </w:tcPr>
          <w:p>
            <w:r>
              <w:rPr>
                <w:rFonts w:ascii="Malgun Gothic" w:cs="Malgun Gothic" w:eastAsia="Malgun Gothic" w:hAnsi="Malgun Gothic"/>
                <w:sz w:val="18"/>
                <w:szCs w:val="18"/>
              </w:rPr>
              <w:t xml:space="preserve">통합 테스트, 데이터 검증, 산출물 제출 및 검수</w:t>
            </w:r>
          </w:p>
        </w:tc>
      </w:tr>
    </w:tbl>
    <w:p>
      <w:pPr>
        <w:pStyle w:val="Heading1"/>
        <w:spacing w:after="160" w:before="320"/>
      </w:pPr>
      <w:r>
        <w:rPr>
          <w:rFonts w:ascii="Malgun Gothic" w:cs="Malgun Gothic" w:eastAsia="Malgun Gothic" w:hAnsi="Malgun Gothic"/>
          <w:b/>
          <w:bCs/>
          <w:color w:val="1F3864"/>
          <w:sz w:val="28"/>
          <w:szCs w:val="28"/>
        </w:rPr>
        <w:t xml:space="preserve">5. 사업 관리 방안</w:t>
      </w:r>
    </w:p>
    <w:p>
      <w:pPr>
        <w:pStyle w:val="ListParagraph"/>
        <w:numPr>
          <w:ilvl w:val="0"/>
          <w:numId w:val="2"/>
        </w:numPr>
        <w:spacing w:after="120" w:line="300"/>
      </w:pPr>
      <w:r>
        <w:rPr>
          <w:rFonts w:ascii="Malgun Gothic" w:cs="Malgun Gothic" w:eastAsia="Malgun Gothic" w:hAnsi="Malgun Gothic"/>
          <w:sz w:val="20"/>
          <w:szCs w:val="20"/>
        </w:rPr>
        <w:t xml:space="preserve">주간 단위로 진척 보고를 수행하고, 주요 의사결정 사항은 발주처와 협의하여 진행합니다.</w:t>
      </w:r>
    </w:p>
    <w:p>
      <w:pPr>
        <w:pStyle w:val="ListParagraph"/>
        <w:numPr>
          <w:ilvl w:val="0"/>
          <w:numId w:val="2"/>
        </w:numPr>
        <w:spacing w:after="120" w:line="300"/>
      </w:pPr>
      <w:r>
        <w:rPr>
          <w:rFonts w:ascii="Malgun Gothic" w:cs="Malgun Gothic" w:eastAsia="Malgun Gothic" w:hAnsi="Malgun Gothic"/>
          <w:sz w:val="20"/>
          <w:szCs w:val="20"/>
        </w:rPr>
        <w:t xml:space="preserve">개인정보 보호를 위해 관련 법령을 준수하며, 보안 정책에 따라 개발을 수행합니다.</w:t>
      </w:r>
    </w:p>
    <w:p>
      <w:pPr>
        <w:pStyle w:val="ListParagraph"/>
        <w:numPr>
          <w:ilvl w:val="0"/>
          <w:numId w:val="2"/>
        </w:numPr>
        <w:spacing w:after="120" w:line="300"/>
      </w:pPr>
      <w:r>
        <w:rPr>
          <w:rFonts w:ascii="Malgun Gothic" w:cs="Malgun Gothic" w:eastAsia="Malgun Gothic" w:hAnsi="Malgun Gothic"/>
          <w:sz w:val="20"/>
          <w:szCs w:val="20"/>
        </w:rPr>
        <w:t xml:space="preserve">산출물은 과업지시서에 명시된 데이터 보고서, 품질진단 결과보고서, 모니터링 프로그램, 자동화 프로그램을 제출합니다.</w:t>
      </w:r>
    </w:p>
    <w:p>
      <w:pPr>
        <w:pStyle w:val="Heading1"/>
        <w:spacing w:after="160" w:before="320"/>
      </w:pPr>
      <w:r>
        <w:rPr>
          <w:rFonts w:ascii="Malgun Gothic" w:cs="Malgun Gothic" w:eastAsia="Malgun Gothic" w:hAnsi="Malgun Gothic"/>
          <w:b/>
          <w:bCs/>
          <w:color w:val="1F3864"/>
          <w:sz w:val="28"/>
          <w:szCs w:val="28"/>
        </w:rPr>
        <w:t xml:space="preserve">6. 기대 효과</w:t>
      </w:r>
    </w:p>
    <w:p>
      <w:pPr>
        <w:pStyle w:val="ListParagraph"/>
        <w:numPr>
          <w:ilvl w:val="0"/>
          <w:numId w:val="2"/>
        </w:numPr>
        <w:spacing w:after="120" w:line="300"/>
      </w:pPr>
      <w:r>
        <w:rPr>
          <w:rFonts w:ascii="Malgun Gothic" w:cs="Malgun Gothic" w:eastAsia="Malgun Gothic" w:hAnsi="Malgun Gothic"/>
          <w:sz w:val="20"/>
          <w:szCs w:val="20"/>
        </w:rPr>
        <w:t xml:space="preserve">참여자 기반의 데이터 추출·변환·품질관리 체계가 수립되어 국가통합바이오빅데이터 사업에 지속적으로 기여할 수 있습니다.</w:t>
      </w:r>
    </w:p>
    <w:p>
      <w:pPr>
        <w:pStyle w:val="ListParagraph"/>
        <w:numPr>
          <w:ilvl w:val="0"/>
          <w:numId w:val="2"/>
        </w:numPr>
        <w:spacing w:after="120" w:line="300"/>
      </w:pPr>
      <w:r>
        <w:rPr>
          <w:rFonts w:ascii="Malgun Gothic" w:cs="Malgun Gothic" w:eastAsia="Malgun Gothic" w:hAnsi="Malgun Gothic"/>
          <w:sz w:val="20"/>
          <w:szCs w:val="20"/>
        </w:rPr>
        <w:t xml:space="preserve">데이터 추출·변환 자동화로 반복 업무의 효율이 향상됩니다.</w:t>
      </w:r>
    </w:p>
    <w:p>
      <w:pPr>
        <w:pStyle w:val="ListParagraph"/>
        <w:numPr>
          <w:ilvl w:val="0"/>
          <w:numId w:val="2"/>
        </w:numPr>
        <w:spacing w:after="120" w:line="300"/>
      </w:pPr>
      <w:r>
        <w:rPr>
          <w:rFonts w:ascii="Malgun Gothic" w:cs="Malgun Gothic" w:eastAsia="Malgun Gothic" w:hAnsi="Malgun Gothic"/>
          <w:sz w:val="20"/>
          <w:szCs w:val="20"/>
        </w:rPr>
        <w:t xml:space="preserve">안전한 데이터 전송 체계를 통해 의료데이터의 보안성이 강화됩니다.</w:t>
      </w:r>
    </w:p>
    <w:p>
      <w:pPr>
        <w:pStyle w:val="Heading1"/>
        <w:spacing w:after="160" w:before="320"/>
      </w:pPr>
      <w:r>
        <w:rPr>
          <w:rFonts w:ascii="Malgun Gothic" w:cs="Malgun Gothic" w:eastAsia="Malgun Gothic" w:hAnsi="Malgun Gothic"/>
          <w:b/>
          <w:bCs/>
          <w:color w:val="1F3864"/>
          <w:sz w:val="28"/>
          <w:szCs w:val="28"/>
        </w:rPr>
        <w:t xml:space="preserve">7. 맺음말</w:t>
      </w:r>
    </w:p>
    <w:p>
      <w:pPr>
        <w:spacing w:after="120" w:line="300"/>
      </w:pPr>
      <w:r>
        <w:rPr>
          <w:rFonts w:ascii="Malgun Gothic" w:cs="Malgun Gothic" w:eastAsia="Malgun Gothic" w:hAnsi="Malgun Gothic"/>
          <w:sz w:val="20"/>
          <w:szCs w:val="20"/>
        </w:rPr>
        <w:t xml:space="preserve">당사는 본 사업의 목적과 중요성을 깊이 이해하고 있으며, 성실한 수행을 통해 발주기관의 기대에 부응하겠습니다. 감사합니다.</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10"/>
      </w:pPr>
    </w:lvl>
    <w:lvl w:ilvl="1" w15:tentative="1">
      <w:start w:val="1"/>
      <w:numFmt w:val="bullet"/>
      <w:lvlText w:val="–"/>
      <w:lvlJc w:val="start"/>
      <w:pPr>
        <w:ind w:left="78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2026-07-03T05:58:02.062Z</dcterms:created>
  <dcterms:modified xsi:type="dcterms:W3CDTF">2026-07-03T05:58:02.063Z</dcterms:modified>
</cp:coreProperties>
</file>

<file path=docProps/custom.xml><?xml version="1.0" encoding="utf-8"?>
<Properties xmlns="http://schemas.openxmlformats.org/officeDocument/2006/custom-properties" xmlns:vt="http://schemas.openxmlformats.org/officeDocument/2006/docPropsVTypes"/>
</file>