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THAM KHẢO</w:t>
      </w:r>
    </w:p>
    <w:p>
      <w:r>
        <w:t>Danh mục dưới đây liệt kê các nguồn tài liệu được trích dẫn trong báo cáo, trình bày theo</w:t>
        <w:br/>
        <w:t>định dạng IEEE. Các tài liệu được đánh số [1]–[24]; trong toàn văn báo cáo, trích</w:t>
        <w:br/>
        <w:t>dẫn được ghi dưới dạng số trong ngoặc vuông, ví dụ [1], [9], [13].</w:t>
      </w:r>
    </w:p>
    <w:p>
      <w:pPr>
        <w:pStyle w:val="Heading2"/>
      </w:pPr>
      <w:r>
        <w:t>A. Tiêu chuẩn &amp; đặc tả giao thức (IETF)</w:t>
      </w:r>
    </w:p>
    <w:p>
      <w:r>
        <w:t>[1] H. Alvestrand, "Transports for WebRTC," RFC 8835, Internet Engineering Task Force,</w:t>
        <w:br/>
        <w:t xml:space="preserve">    Jan. 2021. [Online]. Available: https://www.rfc-editor.org/rfc/rfc8835</w:t>
      </w:r>
    </w:p>
    <w:p>
      <w:r>
        <w:t>[2] A. Keränen, C. Holmberg, and J. Rosenberg, "Interactive Connectivity Establishment</w:t>
        <w:br/>
        <w:t xml:space="preserve">    (ICE): A Protocol for Network Address Translator (NAT) Traversal," RFC 8445, Internet</w:t>
        <w:br/>
        <w:t xml:space="preserve">    Engineering Task Force, Jul. 2018. [Online]. Available:</w:t>
        <w:br/>
        <w:t xml:space="preserve">    https://www.rfc-editor.org/rfc/rfc8445</w:t>
      </w:r>
    </w:p>
    <w:p>
      <w:r>
        <w:t>[3] E. Ivov, J. Uberti, and P. Saint-Andre, "Trickle ICE: Incremental Provisioning of</w:t>
        <w:br/>
        <w:t xml:space="preserve">    Candidates for the Interactive Connectivity Establishment (ICE) Protocol," RFC 8838,</w:t>
        <w:br/>
        <w:t xml:space="preserve">    Internet Engineering Task Force, Jan. 2021. [Online]. Available:</w:t>
        <w:br/>
        <w:t xml:space="preserve">    https://www.rfc-editor.org/rfc/rfc8838</w:t>
      </w:r>
    </w:p>
    <w:p>
      <w:r>
        <w:t>[4] E. Rescorla and N. Modadugu, "Datagram Transport Layer Security Version 1.2,"</w:t>
        <w:br/>
        <w:t xml:space="preserve">    RFC 6347, Internet Engineering Task Force, Jan. 2012. [Online]. Available:</w:t>
        <w:br/>
        <w:t xml:space="preserve">    https://www.rfc-editor.org/rfc/rfc6347</w:t>
      </w:r>
    </w:p>
    <w:p>
      <w:r>
        <w:t>[5] R. Jesup, S. Loreto, and M. Tüxen, "WebRTC Data Channels," RFC 8831, Internet</w:t>
        <w:br/>
        <w:t xml:space="preserve">    Engineering Task Force, Jan. 2021. [Online]. Available:</w:t>
        <w:br/>
        <w:t xml:space="preserve">    https://www.rfc-editor.org/rfc/rfc8831</w:t>
      </w:r>
    </w:p>
    <w:p>
      <w:r>
        <w:t>[6] R. Jesup, S. Loreto, and M. Tüxen, "WebRTC Data Channel Establishment Protocol,"</w:t>
        <w:br/>
        <w:t xml:space="preserve">    RFC 8832, Internet Engineering Task Force, Jan. 2021. [Online]. Available:</w:t>
        <w:br/>
        <w:t xml:space="preserve">    https://www.rfc-editor.org/rfc/rfc8832</w:t>
      </w:r>
    </w:p>
    <w:p>
      <w:r>
        <w:t>[7] M. Tuexen, R. Stewart, R. Jesup, and S. Loreto, "Datagram Transport Layer Security</w:t>
        <w:br/>
        <w:t xml:space="preserve">    (DTLS) Encapsulation of SCTP Packets," RFC 8261, Internet Engineering Task Force,</w:t>
        <w:br/>
        <w:t xml:space="preserve">    Nov. 2017. [Online]. Available: https://www.rfc-editor.org/rfc/rfc8261</w:t>
      </w:r>
    </w:p>
    <w:p>
      <w:r>
        <w:t>[8] I. Fette and A. Melnikov, "The WebSocket Protocol," RFC 6455, Internet Engineering</w:t>
        <w:br/>
        <w:t xml:space="preserve">    Task Force, Dec. 2011. [Online]. Available: https://www.rfc-editor.org/rfc/rfc6455</w:t>
      </w:r>
    </w:p>
    <w:p>
      <w:r>
        <w:t>[9] H. Alvestrand, "Overview: Real-Time Protocols for Browser-Based Applications,"</w:t>
        <w:br/>
        <w:t xml:space="preserve">    RFC 8825, Internet Engineering Task Force, Jan. 2021. [Online]. Available:</w:t>
        <w:br/>
        <w:t xml:space="preserve">    https://www.rfc-editor.org/rfc/rfc8825</w:t>
      </w:r>
    </w:p>
    <w:p>
      <w:pPr>
        <w:pStyle w:val="Heading2"/>
      </w:pPr>
      <w:r>
        <w:t>B. Đặc tả nền tảng web (W3C) và thư viện</w:t>
      </w:r>
    </w:p>
    <w:p>
      <w:r>
        <w:t>[10] World Wide Web Consortium (W3C), "Service Workers," W3C Working Draft, World Wide</w:t>
        <w:br/>
        <w:t xml:space="preserve">     Web Consortium, 2024. [Online]. Available:</w:t>
        <w:br/>
        <w:t xml:space="preserve">     https://www.w3.org/TR/service-workers/</w:t>
      </w:r>
    </w:p>
    <w:p>
      <w:r>
        <w:t>[11] A. Alabbas and J. Bell (Eds.), "Indexed Database API 3.0," W3C Recommendation,</w:t>
        <w:br/>
        <w:t xml:space="preserve">     World Wide Web Consortium, 2024. [Online]. Available:</w:t>
        <w:br/>
        <w:t xml:space="preserve">     https://www.w3.org/TR/IndexedDB/</w:t>
      </w:r>
    </w:p>
    <w:p>
      <w:r>
        <w:t>[12] Google Chrome Developers, "Workbox Documentation," Google, 2024. [Online]. Available:</w:t>
        <w:br/>
        <w:t xml:space="preserve">     https://developer.chrome.com/docs/workbox</w:t>
      </w:r>
    </w:p>
    <w:p>
      <w:r>
        <w:t>[13] D. Fahlander, "Dexie.js Documentation," 2024. [Online]. Available:</w:t>
        <w:br/>
        <w:t xml:space="preserve">     https://dexie.org/docs</w:t>
      </w:r>
    </w:p>
    <w:p>
      <w:pPr>
        <w:pStyle w:val="Heading2"/>
      </w:pPr>
      <w:r>
        <w:t>C. Nghiên cứu khoa học &amp; kỹ thuật</w:t>
      </w:r>
    </w:p>
    <w:p>
      <w:r>
        <w:t>[14] P. Th. Eugster, R. Guerraoui, A.-M. Kermarrec, and L. Massoulié, "Epidemic</w:t>
        <w:br/>
        <w:t xml:space="preserve">     Information Dissemination in Distributed Systems," IEEE Computer, vol. 37, no. 5,</w:t>
        <w:br/>
        <w:t xml:space="preserve">     pp. 60–67, May 2004, doi: 10.1109/MC.2004.1297243.</w:t>
      </w:r>
    </w:p>
    <w:p>
      <w:r>
        <w:t>[15] A. Vahdat and D. Becker, "Epidemic Routing for Partially-Connected Ad Hoc Networks,"</w:t>
        <w:br/>
        <w:t xml:space="preserve">     Dept. Comput. Sci., Duke University, Durham, NC, USA, Tech. Rep. CS-2000-06, 2000.</w:t>
        <w:br/>
        <w:t xml:space="preserve">     [Online]. Available: https://issg.cs.duke.edu/epidemic/epidemic.pdf</w:t>
      </w:r>
    </w:p>
    <w:p>
      <w:r>
        <w:t>[16] Protocol Labs, "libp2p Specifications." [Online]. Available:</w:t>
        <w:br/>
        <w:t xml:space="preserve">     https://github.com/libp2p/specs</w:t>
      </w:r>
    </w:p>
    <w:p>
      <w:pPr>
        <w:pStyle w:val="Heading2"/>
      </w:pPr>
      <w:r>
        <w:t>D. Hệ thống giáo dục ngoại tuyến liên quan</w:t>
      </w:r>
    </w:p>
    <w:p>
      <w:r>
        <w:t>[17] Learning Equality, "Kolibri: Offline-First Education." [Online]. Available:</w:t>
        <w:br/>
        <w:t xml:space="preserve">     https://learningequality.org/kolibri/</w:t>
      </w:r>
    </w:p>
    <w:p>
      <w:r>
        <w:t>[18] World Possible, "RACHEL — Remote Area Community Hotspot for Education and Learning."</w:t>
        <w:br/>
        <w:t xml:space="preserve">     [Online]. Available: https://rachel.worldpossible.org/</w:t>
      </w:r>
    </w:p>
    <w:p>
      <w:r>
        <w:t>[19] Internet-in-a-Box. [Online]. Available: https://internet-in-a-box.org/</w:t>
      </w:r>
    </w:p>
    <w:p>
      <w:pPr>
        <w:pStyle w:val="Heading2"/>
      </w:pPr>
      <w:r>
        <w:t>E. RFC bổ trợ về WebRTC (quality of service, bảo mật)</w:t>
      </w:r>
    </w:p>
    <w:p>
      <w:r>
        <w:t>[20] R. Jesup and Z. Sarker (Ed.), "Congestion Control Requirements for Interactive</w:t>
        <w:br/>
        <w:t xml:space="preserve">     Real-Time Media," RFC 8836, Internet Engineering Task Force, Jan. 2021. [Online].</w:t>
        <w:br/>
        <w:t xml:space="preserve">     Available: https://www.rfc-editor.org/rfc/rfc8836</w:t>
      </w:r>
    </w:p>
    <w:p>
      <w:r>
        <w:t>[21] P. Jones, S. Dhesikan, C. Jennings, and D. Druta, "Differentiated Services Code</w:t>
        <w:br/>
        <w:t xml:space="preserve">     Point (DSCP) Packet Markings for WebRTC QoS," RFC 8837, Internet Engineering Task</w:t>
        <w:br/>
        <w:t xml:space="preserve">     Force, Jan. 2021. [Online]. Available: https://www.rfc-editor.org/rfc/rfc8837</w:t>
      </w:r>
    </w:p>
    <w:p>
      <w:r>
        <w:t>[22] J. Uberti, C. Jennings, and E. Rescorla, "JavaScript Session Establishment Protocol</w:t>
        <w:br/>
        <w:t xml:space="preserve">     (JSEP)," RFC 8829, Internet Engineering Task Force, Jan. 2021. [Online]. Available:</w:t>
        <w:br/>
        <w:t xml:space="preserve">     https://www.rfc-editor.org/rfc/rfc8829</w:t>
      </w:r>
    </w:p>
    <w:p>
      <w:r>
        <w:t>[23] E. Rescorla, "WebRTC Security Architecture," RFC 8827, Internet Engineering Task</w:t>
        <w:br/>
        <w:t xml:space="preserve">     Force, Jan. 2021. [Online]. Available: https://www.rfc-editor.org/rfc/rfc8827</w:t>
      </w:r>
    </w:p>
    <w:p>
      <w:pPr>
        <w:pStyle w:val="Heading2"/>
      </w:pPr>
      <w:r>
        <w:t>F. Tài liệu nhà phát triển (MDN Web Docs)</w:t>
      </w:r>
    </w:p>
    <w:p>
      <w:r>
        <w:t>[24] MDN Web Docs, "WebRTC API." [Online]. Available:</w:t>
        <w:br/>
        <w:t xml:space="preserve">     https://developer.mozilla.org/en-US/docs/Web/API/WebRTC_API</w:t>
      </w:r>
    </w:p>
    <w:p>
      <w:pPr>
        <w:pStyle w:val="Heading2"/>
      </w:pPr>
      <w:r>
        <w:t>Cách trích dẫn</w:t>
      </w:r>
    </w:p>
    <w:p>
      <w:r>
        <w:t>Phần này quy định cách trích dẫn tài liệu trong toàn bộ báo cáo để bảo đảm tính nhất quán.</w:t>
      </w:r>
    </w:p>
    <w:p>
      <w:pPr>
        <w:pStyle w:val="Heading3"/>
      </w:pPr>
      <w:r>
        <w:t>1. Trích dẫn trong văn bản (in-text)</w:t>
      </w:r>
    </w:p>
    <w:p>
      <w:pPr>
        <w:pStyle w:val="ListBullet"/>
      </w:pPr>
      <w:r>
        <w:t>Trích dẫn một nguồn: đặt số trong ngoặc vuông ngay sau nội dung được tham chiếu, ví dụ</w:t>
        <w:br/>
        <w:t xml:space="preserve">  "giao thức ICE [2]".</w:t>
      </w:r>
    </w:p>
    <w:p>
      <w:pPr>
        <w:pStyle w:val="ListBullet"/>
      </w:pPr>
      <w:r>
        <w:t>Trích dẫn nhiều nguồn: liệt kê các số cách nhau bởi dấu phẩy, ví dụ [1], [3], [5].</w:t>
      </w:r>
    </w:p>
    <w:p>
      <w:pPr>
        <w:pStyle w:val="ListBullet"/>
      </w:pPr>
      <w:r>
        <w:t>Trích dẫn một khoảng: dùng dấu gạch nối, ví dụ [2]–[4].</w:t>
      </w:r>
    </w:p>
    <w:p>
      <w:pPr>
        <w:pStyle w:val="ListBullet"/>
      </w:pPr>
      <w:r>
        <w:t>Số hiệu tham chiếu phải khớp chính xác với số thứ tự trong danh mục ở trên.</w:t>
      </w:r>
    </w:p>
    <w:p>
      <w:pPr>
        <w:pStyle w:val="Heading3"/>
      </w:pPr>
      <w:r>
        <w:t>2. Trích dẫn theo loại tài liệu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Loại</w:t>
            </w:r>
          </w:p>
        </w:tc>
        <w:tc>
          <w:tcPr>
            <w:tcW w:type="dxa" w:w="2880"/>
          </w:tcPr>
          <w:p>
            <w:r>
              <w:t>Mẫu định dạng</w:t>
            </w:r>
          </w:p>
        </w:tc>
        <w:tc>
          <w:tcPr>
            <w:tcW w:type="dxa" w:w="2880"/>
          </w:tcPr>
          <w:p>
            <w:r>
              <w:t>Ví dụ</w:t>
            </w:r>
          </w:p>
        </w:tc>
      </w:tr>
      <w:tr>
        <w:tc>
          <w:tcPr>
            <w:tcW w:type="dxa" w:w="2880"/>
          </w:tcPr>
          <w:p>
            <w:r>
              <w:t>RFC / tiêu chuẩn IETF</w:t>
            </w:r>
          </w:p>
        </w:tc>
        <w:tc>
          <w:tcPr>
            <w:tcW w:type="dxa" w:w="2880"/>
          </w:tcPr>
          <w:p>
            <w:r>
              <w:t>Tác giả, "Tên tài liệu," RFC &lt;số&gt;, IETF, &lt;Tháng Năm&gt;.</w:t>
            </w:r>
          </w:p>
        </w:tc>
        <w:tc>
          <w:tcPr>
            <w:tcW w:type="dxa" w:w="2880"/>
          </w:tcPr>
          <w:p>
            <w:r>
              <w:t>[2]</w:t>
            </w:r>
          </w:p>
        </w:tc>
      </w:tr>
      <w:tr>
        <w:tc>
          <w:tcPr>
            <w:tcW w:type="dxa" w:w="2880"/>
          </w:tcPr>
          <w:p>
            <w:r>
              <w:t>Đặc tả W3C</w:t>
            </w:r>
          </w:p>
        </w:tc>
        <w:tc>
          <w:tcPr>
            <w:tcW w:type="dxa" w:w="2880"/>
          </w:tcPr>
          <w:p>
            <w:r>
              <w:t>Tổ chức, "Tên đặc tả," &lt;Loại tài liệu&gt;, W3C, &lt;Năm&gt;.</w:t>
            </w:r>
          </w:p>
        </w:tc>
        <w:tc>
          <w:tcPr>
            <w:tcW w:type="dxa" w:w="2880"/>
          </w:tcPr>
          <w:p>
            <w:r>
              <w:t>[10] , [11]</w:t>
            </w:r>
          </w:p>
        </w:tc>
      </w:tr>
      <w:tr>
        <w:tc>
          <w:tcPr>
            <w:tcW w:type="dxa" w:w="2880"/>
          </w:tcPr>
          <w:p>
            <w:r>
              <w:t>Bài báo tạp chí</w:t>
            </w:r>
          </w:p>
        </w:tc>
        <w:tc>
          <w:tcPr>
            <w:tcW w:type="dxa" w:w="2880"/>
          </w:tcPr>
          <w:p>
            <w:r>
              <w:t>Tác giả, "Tên bài," Tên tạp chí, vol. &lt;x&gt;, no. &lt;y&gt;, pp. &lt;a&gt;–&lt;b&gt;, &lt;Tháng Năm&gt;.</w:t>
            </w:r>
          </w:p>
        </w:tc>
        <w:tc>
          <w:tcPr>
            <w:tcW w:type="dxa" w:w="2880"/>
          </w:tcPr>
          <w:p>
            <w:r>
              <w:t>[14]</w:t>
            </w:r>
          </w:p>
        </w:tc>
      </w:tr>
      <w:tr>
        <w:tc>
          <w:tcPr>
            <w:tcW w:type="dxa" w:w="2880"/>
          </w:tcPr>
          <w:p>
            <w:r>
              <w:t>Báo cáo kỹ thuật</w:t>
            </w:r>
          </w:p>
        </w:tc>
        <w:tc>
          <w:tcPr>
            <w:tcW w:type="dxa" w:w="2880"/>
          </w:tcPr>
          <w:p>
            <w:r>
              <w:t>Tác giả, "Tên báo cáo," &lt;Đơn vị&gt;, &lt;Địa điểm&gt;, Tech. Rep. &lt;mã&gt;, &lt;Năm&gt;.</w:t>
            </w:r>
          </w:p>
        </w:tc>
        <w:tc>
          <w:tcPr>
            <w:tcW w:type="dxa" w:w="2880"/>
          </w:tcPr>
          <w:p>
            <w:r>
              <w:t>[15]</w:t>
            </w:r>
          </w:p>
        </w:tc>
      </w:tr>
      <w:tr>
        <w:tc>
          <w:tcPr>
            <w:tcW w:type="dxa" w:w="2880"/>
          </w:tcPr>
          <w:p>
            <w:r>
              <w:t>Tài liệu trực tuyến</w:t>
            </w:r>
          </w:p>
        </w:tc>
        <w:tc>
          <w:tcPr>
            <w:tcW w:type="dxa" w:w="2880"/>
          </w:tcPr>
          <w:p>
            <w:r>
              <w:t>Tác giả/Tổ chức, "Tên tài liệu." [Online]. Available: &lt;URL&gt;</w:t>
            </w:r>
          </w:p>
        </w:tc>
        <w:tc>
          <w:tcPr>
            <w:tcW w:type="dxa" w:w="2880"/>
          </w:tcPr>
          <w:p>
            <w:r>
              <w:t>[12] , [13] , [24]</w:t>
            </w:r>
          </w:p>
        </w:tc>
      </w:tr>
    </w:tbl>
    <w:p>
      <w:pPr>
        <w:pStyle w:val="Heading3"/>
      </w:pPr>
      <w:r>
        <w:t>3. Quy ước viết tắt tên tác giả</w:t>
      </w:r>
    </w:p>
    <w:p>
      <w:pPr>
        <w:pStyle w:val="ListBullet"/>
      </w:pPr>
      <w:r>
        <w:t>Tên tác giả được viết tắt chữ đầu, họ giữ nguyên: A. Keränen, P. Th. Eugster.</w:t>
      </w:r>
    </w:p>
    <w:p>
      <w:pPr>
        <w:pStyle w:val="ListBullet"/>
      </w:pPr>
      <w:r>
        <w:t>Từ hai tác giả trở lên, dùng dấu phẩy và and trước tác giả cuối.</w:t>
      </w:r>
    </w:p>
    <w:p>
      <w:pPr>
        <w:pStyle w:val="ListBullet"/>
      </w:pPr>
      <w:r>
        <w:t>Với tài liệu do tổ chức chịu trách nhiệm (W3C, Google, Protocol Labs, Learning</w:t>
        <w:br/>
        <w:t xml:space="preserve">  Equality), ghi tên tổ chức thay cho tác giả cá nhân.</w:t>
      </w:r>
    </w:p>
    <w:p>
      <w:pPr>
        <w:pStyle w:val="Heading3"/>
      </w:pPr>
      <w:r>
        <w:t>4. Quy ước tham chiếu mã nguồn</w:t>
      </w:r>
    </w:p>
    <w:p>
      <w:pPr>
        <w:pStyle w:val="ListBullet"/>
      </w:pPr>
      <w:r>
        <w:t>Tham chiếu mã nguồn trong báo cáo dùng định dạng đường/dẫn/tệp:dòng, ví dụ</w:t>
        <w:br/>
        <w:t xml:space="preserve">  app/src/lib/transfer.ts:264. Chi tiết đường dẫn được liệt kê ở Phụ lục E.</w:t>
      </w:r>
    </w:p>
    <w:p>
      <w:pPr>
        <w:pStyle w:val="ListBullet"/>
      </w:pPr>
      <w:r>
        <w:t>Mã nguồn không đưa vào danh mục tài liệu tham khảo mà được liệt kê riêng trong phụ lục</w:t>
        <w:br/>
        <w:t xml:space="preserve">  để bảo đảm truy vết.</w:t>
      </w:r>
    </w:p>
    <w:p>
      <w:pPr>
        <w:pStyle w:val="Heading3"/>
      </w:pPr>
      <w:r>
        <w:t>5. Quy ước về URL và ngày truy cập</w:t>
      </w:r>
    </w:p>
    <w:p>
      <w:pPr>
        <w:pStyle w:val="ListBullet"/>
      </w:pPr>
      <w:r>
        <w:t>Với tài liệu trực tuyến, ghi URL đầy đủ sau cụm [Online]. Available:.</w:t>
      </w:r>
    </w:p>
    <w:p>
      <w:pPr>
        <w:pStyle w:val="ListBullet"/>
      </w:pPr>
      <w:r>
        <w:t>Khi báo cáo được nộp, nên bổ sung Accessed: &lt;ngày tháng năm&gt; cho các URL có thể thay</w:t>
        <w:br/>
        <w:t xml:space="preserve">  đổi; trong bản này, các liên kết tới RFC là ổn định vĩnh viễn nên không cần ngày truy cập.</w:t>
      </w:r>
    </w:p>
    <w:p>
      <w:r>
        <w:t>(Hết danh mục tài liệu tham khảo.)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