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2632E6B7" w14:textId="745CE7DC" w:rsidR="005903FA" w:rsidRDefault="00F33AA4">
      <w:pPr>
        <w:pStyle w:val="TOC1"/>
        <w:tabs>
          <w:tab w:val="left" w:pos="1540"/>
        </w:tabs>
        <w:rPr>
          <w:rFonts w:asciiTheme="minorHAnsi" w:hAnsiTheme="minorHAnsi"/>
          <w:b w:val="0"/>
          <w:kern w:val="2"/>
          <w:szCs w:val="30"/>
          <w:lang w:val="en-US" w:bidi="th-TH"/>
          <w14:ligatures w14:val="standardContextual"/>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5903FA">
        <w:t>Chapter 1</w:t>
      </w:r>
      <w:r w:rsidR="005903FA">
        <w:rPr>
          <w:rFonts w:asciiTheme="minorHAnsi" w:hAnsiTheme="minorHAnsi"/>
          <w:b w:val="0"/>
          <w:kern w:val="2"/>
          <w:szCs w:val="30"/>
          <w:lang w:val="en-US" w:bidi="th-TH"/>
          <w14:ligatures w14:val="standardContextual"/>
        </w:rPr>
        <w:tab/>
      </w:r>
      <w:r w:rsidR="005903FA">
        <w:t>Introduction</w:t>
      </w:r>
      <w:r w:rsidR="005903FA">
        <w:tab/>
      </w:r>
      <w:r w:rsidR="005903FA">
        <w:fldChar w:fldCharType="begin"/>
      </w:r>
      <w:r w:rsidR="005903FA">
        <w:instrText xml:space="preserve"> PAGEREF _Toc204515556 \h </w:instrText>
      </w:r>
      <w:r w:rsidR="005903FA">
        <w:fldChar w:fldCharType="separate"/>
      </w:r>
      <w:r w:rsidR="005903FA">
        <w:t>1</w:t>
      </w:r>
      <w:r w:rsidR="005903FA">
        <w:fldChar w:fldCharType="end"/>
      </w:r>
    </w:p>
    <w:p w14:paraId="09C9B5AD" w14:textId="187EA67B" w:rsidR="005903FA" w:rsidRDefault="005903FA">
      <w:pPr>
        <w:pStyle w:val="TOC2"/>
        <w:rPr>
          <w:b w:val="0"/>
          <w:noProof/>
          <w:kern w:val="2"/>
          <w:sz w:val="24"/>
          <w:szCs w:val="30"/>
          <w:lang w:val="en-US" w:bidi="th-TH"/>
          <w14:ligatures w14:val="standardContextual"/>
        </w:rPr>
      </w:pPr>
      <w:r>
        <w:rPr>
          <w:noProof/>
        </w:rPr>
        <w:t>1.1</w:t>
      </w:r>
      <w:r>
        <w:rPr>
          <w:b w:val="0"/>
          <w:noProof/>
          <w:kern w:val="2"/>
          <w:sz w:val="24"/>
          <w:szCs w:val="30"/>
          <w:lang w:val="en-US" w:bidi="th-TH"/>
          <w14:ligatures w14:val="standardContextual"/>
        </w:rPr>
        <w:tab/>
      </w:r>
      <w:r>
        <w:rPr>
          <w:noProof/>
        </w:rPr>
        <w:t>Motivation</w:t>
      </w:r>
      <w:r>
        <w:rPr>
          <w:noProof/>
        </w:rPr>
        <w:tab/>
      </w:r>
      <w:r>
        <w:rPr>
          <w:noProof/>
        </w:rPr>
        <w:fldChar w:fldCharType="begin"/>
      </w:r>
      <w:r>
        <w:rPr>
          <w:noProof/>
        </w:rPr>
        <w:instrText xml:space="preserve"> PAGEREF _Toc204515557 \h </w:instrText>
      </w:r>
      <w:r>
        <w:rPr>
          <w:noProof/>
        </w:rPr>
      </w:r>
      <w:r>
        <w:rPr>
          <w:noProof/>
        </w:rPr>
        <w:fldChar w:fldCharType="separate"/>
      </w:r>
      <w:r>
        <w:rPr>
          <w:noProof/>
        </w:rPr>
        <w:t>1</w:t>
      </w:r>
      <w:r>
        <w:rPr>
          <w:noProof/>
        </w:rPr>
        <w:fldChar w:fldCharType="end"/>
      </w:r>
    </w:p>
    <w:p w14:paraId="1A4B745C" w14:textId="2BA038BB" w:rsidR="005903FA" w:rsidRDefault="005903FA">
      <w:pPr>
        <w:pStyle w:val="TOC2"/>
        <w:rPr>
          <w:b w:val="0"/>
          <w:noProof/>
          <w:kern w:val="2"/>
          <w:sz w:val="24"/>
          <w:szCs w:val="30"/>
          <w:lang w:val="en-US" w:bidi="th-TH"/>
          <w14:ligatures w14:val="standardContextual"/>
        </w:rPr>
      </w:pPr>
      <w:r>
        <w:rPr>
          <w:noProof/>
        </w:rPr>
        <w:t>1.2</w:t>
      </w:r>
      <w:r>
        <w:rPr>
          <w:b w:val="0"/>
          <w:noProof/>
          <w:kern w:val="2"/>
          <w:sz w:val="24"/>
          <w:szCs w:val="30"/>
          <w:lang w:val="en-US" w:bidi="th-TH"/>
          <w14:ligatures w14:val="standardContextual"/>
        </w:rPr>
        <w:tab/>
      </w:r>
      <w:r>
        <w:rPr>
          <w:noProof/>
        </w:rPr>
        <w:t>Purpose</w:t>
      </w:r>
      <w:r>
        <w:rPr>
          <w:noProof/>
        </w:rPr>
        <w:tab/>
      </w:r>
      <w:r>
        <w:rPr>
          <w:noProof/>
        </w:rPr>
        <w:fldChar w:fldCharType="begin"/>
      </w:r>
      <w:r>
        <w:rPr>
          <w:noProof/>
        </w:rPr>
        <w:instrText xml:space="preserve"> PAGEREF _Toc204515558 \h </w:instrText>
      </w:r>
      <w:r>
        <w:rPr>
          <w:noProof/>
        </w:rPr>
      </w:r>
      <w:r>
        <w:rPr>
          <w:noProof/>
        </w:rPr>
        <w:fldChar w:fldCharType="separate"/>
      </w:r>
      <w:r>
        <w:rPr>
          <w:noProof/>
        </w:rPr>
        <w:t>1</w:t>
      </w:r>
      <w:r>
        <w:rPr>
          <w:noProof/>
        </w:rPr>
        <w:fldChar w:fldCharType="end"/>
      </w:r>
    </w:p>
    <w:p w14:paraId="5BBB9DF9" w14:textId="5958FA19" w:rsidR="005903FA" w:rsidRDefault="005903FA">
      <w:pPr>
        <w:pStyle w:val="TOC1"/>
        <w:tabs>
          <w:tab w:val="left" w:pos="1540"/>
        </w:tabs>
        <w:rPr>
          <w:rFonts w:asciiTheme="minorHAnsi" w:hAnsiTheme="minorHAnsi"/>
          <w:b w:val="0"/>
          <w:kern w:val="2"/>
          <w:szCs w:val="30"/>
          <w:lang w:val="en-US" w:bidi="th-TH"/>
          <w14:ligatures w14:val="standardContextual"/>
        </w:rPr>
      </w:pPr>
      <w:r>
        <w:t>Chapter 2</w:t>
      </w:r>
      <w:r>
        <w:rPr>
          <w:rFonts w:asciiTheme="minorHAnsi" w:hAnsiTheme="minorHAnsi"/>
          <w:b w:val="0"/>
          <w:kern w:val="2"/>
          <w:szCs w:val="30"/>
          <w:lang w:val="en-US" w:bidi="th-TH"/>
          <w14:ligatures w14:val="standardContextual"/>
        </w:rPr>
        <w:tab/>
      </w:r>
      <w:r>
        <w:t>Survey</w:t>
      </w:r>
      <w:r>
        <w:tab/>
      </w:r>
      <w:r>
        <w:fldChar w:fldCharType="begin"/>
      </w:r>
      <w:r>
        <w:instrText xml:space="preserve"> PAGEREF _Toc204515559 \h </w:instrText>
      </w:r>
      <w:r>
        <w:fldChar w:fldCharType="separate"/>
      </w:r>
      <w:r>
        <w:t>2</w:t>
      </w:r>
      <w:r>
        <w:fldChar w:fldCharType="end"/>
      </w:r>
    </w:p>
    <w:p w14:paraId="47A84E45" w14:textId="431EDDF3" w:rsidR="005903FA" w:rsidRDefault="005903FA">
      <w:pPr>
        <w:pStyle w:val="TOC2"/>
        <w:rPr>
          <w:b w:val="0"/>
          <w:noProof/>
          <w:kern w:val="2"/>
          <w:sz w:val="24"/>
          <w:szCs w:val="30"/>
          <w:lang w:val="en-US" w:bidi="th-TH"/>
          <w14:ligatures w14:val="standardContextual"/>
        </w:rPr>
      </w:pPr>
      <w:r>
        <w:rPr>
          <w:noProof/>
        </w:rPr>
        <w:t>2.1</w:t>
      </w:r>
      <w:r>
        <w:rPr>
          <w:b w:val="0"/>
          <w:noProof/>
          <w:kern w:val="2"/>
          <w:sz w:val="24"/>
          <w:szCs w:val="30"/>
          <w:lang w:val="en-US" w:bidi="th-TH"/>
          <w14:ligatures w14:val="standardContextual"/>
        </w:rPr>
        <w:tab/>
      </w:r>
      <w:r>
        <w:rPr>
          <w:noProof/>
        </w:rPr>
        <w:t>Background Survey</w:t>
      </w:r>
      <w:r>
        <w:rPr>
          <w:noProof/>
        </w:rPr>
        <w:tab/>
      </w:r>
      <w:r>
        <w:rPr>
          <w:noProof/>
        </w:rPr>
        <w:fldChar w:fldCharType="begin"/>
      </w:r>
      <w:r>
        <w:rPr>
          <w:noProof/>
        </w:rPr>
        <w:instrText xml:space="preserve"> PAGEREF _Toc204515560 \h </w:instrText>
      </w:r>
      <w:r>
        <w:rPr>
          <w:noProof/>
        </w:rPr>
      </w:r>
      <w:r>
        <w:rPr>
          <w:noProof/>
        </w:rPr>
        <w:fldChar w:fldCharType="separate"/>
      </w:r>
      <w:r>
        <w:rPr>
          <w:noProof/>
        </w:rPr>
        <w:t>2</w:t>
      </w:r>
      <w:r>
        <w:rPr>
          <w:noProof/>
        </w:rPr>
        <w:fldChar w:fldCharType="end"/>
      </w:r>
    </w:p>
    <w:p w14:paraId="1ECF8DBA" w14:textId="2DCC4E8B" w:rsidR="005903FA" w:rsidRDefault="005903FA">
      <w:pPr>
        <w:pStyle w:val="TOC3"/>
        <w:tabs>
          <w:tab w:val="left" w:pos="1320"/>
          <w:tab w:val="right" w:leader="dot" w:pos="8290"/>
        </w:tabs>
        <w:rPr>
          <w:noProof/>
          <w:kern w:val="2"/>
          <w:sz w:val="24"/>
          <w:szCs w:val="30"/>
          <w:lang w:val="en-US" w:bidi="th-TH"/>
          <w14:ligatures w14:val="standardContextual"/>
        </w:rPr>
      </w:pPr>
      <w:r>
        <w:rPr>
          <w:noProof/>
        </w:rPr>
        <w:t>2.1.1</w:t>
      </w:r>
      <w:r>
        <w:rPr>
          <w:noProof/>
          <w:kern w:val="2"/>
          <w:sz w:val="24"/>
          <w:szCs w:val="30"/>
          <w:lang w:val="en-US" w:bidi="th-TH"/>
          <w14:ligatures w14:val="standardContextual"/>
        </w:rPr>
        <w:tab/>
      </w:r>
      <w:r>
        <w:rPr>
          <w:noProof/>
        </w:rPr>
        <w:t>Current Methods for Early Warning Systems (EWS)</w:t>
      </w:r>
      <w:r>
        <w:rPr>
          <w:noProof/>
        </w:rPr>
        <w:tab/>
      </w:r>
      <w:r>
        <w:rPr>
          <w:noProof/>
        </w:rPr>
        <w:fldChar w:fldCharType="begin"/>
      </w:r>
      <w:r>
        <w:rPr>
          <w:noProof/>
        </w:rPr>
        <w:instrText xml:space="preserve"> PAGEREF _Toc204515561 \h </w:instrText>
      </w:r>
      <w:r>
        <w:rPr>
          <w:noProof/>
        </w:rPr>
      </w:r>
      <w:r>
        <w:rPr>
          <w:noProof/>
        </w:rPr>
        <w:fldChar w:fldCharType="separate"/>
      </w:r>
      <w:r>
        <w:rPr>
          <w:noProof/>
        </w:rPr>
        <w:t>2</w:t>
      </w:r>
      <w:r>
        <w:rPr>
          <w:noProof/>
        </w:rPr>
        <w:fldChar w:fldCharType="end"/>
      </w:r>
    </w:p>
    <w:p w14:paraId="1B7CD830" w14:textId="707FE790" w:rsidR="005903FA" w:rsidRDefault="005903FA">
      <w:pPr>
        <w:pStyle w:val="TOC3"/>
        <w:tabs>
          <w:tab w:val="left" w:pos="1320"/>
          <w:tab w:val="right" w:leader="dot" w:pos="8290"/>
        </w:tabs>
        <w:rPr>
          <w:noProof/>
          <w:kern w:val="2"/>
          <w:sz w:val="24"/>
          <w:szCs w:val="30"/>
          <w:lang w:val="en-US" w:bidi="th-TH"/>
          <w14:ligatures w14:val="standardContextual"/>
        </w:rPr>
      </w:pPr>
      <w:r>
        <w:rPr>
          <w:noProof/>
        </w:rPr>
        <w:t>2.1.2</w:t>
      </w:r>
      <w:r>
        <w:rPr>
          <w:noProof/>
          <w:kern w:val="2"/>
          <w:sz w:val="24"/>
          <w:szCs w:val="30"/>
          <w:lang w:val="en-US" w:bidi="th-TH"/>
          <w14:ligatures w14:val="standardContextual"/>
        </w:rPr>
        <w:tab/>
      </w:r>
      <w:r>
        <w:rPr>
          <w:noProof/>
        </w:rPr>
        <w:t>Various Choices of Feature Extraction and Machine Learning Methods for Stock Price Prediction</w:t>
      </w:r>
      <w:r>
        <w:rPr>
          <w:noProof/>
        </w:rPr>
        <w:tab/>
      </w:r>
      <w:r>
        <w:rPr>
          <w:noProof/>
        </w:rPr>
        <w:fldChar w:fldCharType="begin"/>
      </w:r>
      <w:r>
        <w:rPr>
          <w:noProof/>
        </w:rPr>
        <w:instrText xml:space="preserve"> PAGEREF _Toc204515562 \h </w:instrText>
      </w:r>
      <w:r>
        <w:rPr>
          <w:noProof/>
        </w:rPr>
      </w:r>
      <w:r>
        <w:rPr>
          <w:noProof/>
        </w:rPr>
        <w:fldChar w:fldCharType="separate"/>
      </w:r>
      <w:r>
        <w:rPr>
          <w:noProof/>
        </w:rPr>
        <w:t>3</w:t>
      </w:r>
      <w:r>
        <w:rPr>
          <w:noProof/>
        </w:rPr>
        <w:fldChar w:fldCharType="end"/>
      </w:r>
    </w:p>
    <w:p w14:paraId="1F7E6515" w14:textId="3072413A" w:rsidR="005903FA" w:rsidRDefault="005903FA">
      <w:pPr>
        <w:pStyle w:val="TOC3"/>
        <w:tabs>
          <w:tab w:val="left" w:pos="1320"/>
          <w:tab w:val="right" w:leader="dot" w:pos="8290"/>
        </w:tabs>
        <w:rPr>
          <w:noProof/>
          <w:kern w:val="2"/>
          <w:sz w:val="24"/>
          <w:szCs w:val="30"/>
          <w:lang w:val="en-US" w:bidi="th-TH"/>
          <w14:ligatures w14:val="standardContextual"/>
        </w:rPr>
      </w:pPr>
      <w:r>
        <w:rPr>
          <w:noProof/>
        </w:rPr>
        <w:t>2.1.3</w:t>
      </w:r>
      <w:r>
        <w:rPr>
          <w:noProof/>
          <w:kern w:val="2"/>
          <w:sz w:val="24"/>
          <w:szCs w:val="30"/>
          <w:lang w:val="en-US" w:bidi="th-TH"/>
          <w14:ligatures w14:val="standardContextual"/>
        </w:rPr>
        <w:tab/>
      </w:r>
      <w:r>
        <w:rPr>
          <w:noProof/>
        </w:rPr>
        <w:t>Key Crash Indicator</w:t>
      </w:r>
      <w:r>
        <w:rPr>
          <w:noProof/>
        </w:rPr>
        <w:tab/>
      </w:r>
      <w:r>
        <w:rPr>
          <w:noProof/>
        </w:rPr>
        <w:fldChar w:fldCharType="begin"/>
      </w:r>
      <w:r>
        <w:rPr>
          <w:noProof/>
        </w:rPr>
        <w:instrText xml:space="preserve"> PAGEREF _Toc204515563 \h </w:instrText>
      </w:r>
      <w:r>
        <w:rPr>
          <w:noProof/>
        </w:rPr>
      </w:r>
      <w:r>
        <w:rPr>
          <w:noProof/>
        </w:rPr>
        <w:fldChar w:fldCharType="separate"/>
      </w:r>
      <w:r>
        <w:rPr>
          <w:noProof/>
        </w:rPr>
        <w:t>3</w:t>
      </w:r>
      <w:r>
        <w:rPr>
          <w:noProof/>
        </w:rPr>
        <w:fldChar w:fldCharType="end"/>
      </w:r>
    </w:p>
    <w:p w14:paraId="4EF8A095" w14:textId="03B00FAC" w:rsidR="005903FA" w:rsidRDefault="005903FA">
      <w:pPr>
        <w:pStyle w:val="TOC3"/>
        <w:tabs>
          <w:tab w:val="left" w:pos="1320"/>
          <w:tab w:val="right" w:leader="dot" w:pos="8290"/>
        </w:tabs>
        <w:rPr>
          <w:noProof/>
          <w:kern w:val="2"/>
          <w:sz w:val="24"/>
          <w:szCs w:val="30"/>
          <w:lang w:val="en-US" w:bidi="th-TH"/>
          <w14:ligatures w14:val="standardContextual"/>
        </w:rPr>
      </w:pPr>
      <w:r>
        <w:rPr>
          <w:noProof/>
        </w:rPr>
        <w:t>2.1.4</w:t>
      </w:r>
      <w:r>
        <w:rPr>
          <w:noProof/>
          <w:kern w:val="2"/>
          <w:sz w:val="24"/>
          <w:szCs w:val="30"/>
          <w:lang w:val="en-US" w:bidi="th-TH"/>
          <w14:ligatures w14:val="standardContextual"/>
        </w:rPr>
        <w:tab/>
      </w:r>
      <w:r>
        <w:rPr>
          <w:noProof/>
        </w:rPr>
        <w:t>Lags Selection</w:t>
      </w:r>
      <w:r>
        <w:rPr>
          <w:noProof/>
        </w:rPr>
        <w:tab/>
      </w:r>
      <w:r>
        <w:rPr>
          <w:noProof/>
        </w:rPr>
        <w:fldChar w:fldCharType="begin"/>
      </w:r>
      <w:r>
        <w:rPr>
          <w:noProof/>
        </w:rPr>
        <w:instrText xml:space="preserve"> PAGEREF _Toc204515564 \h </w:instrText>
      </w:r>
      <w:r>
        <w:rPr>
          <w:noProof/>
        </w:rPr>
      </w:r>
      <w:r>
        <w:rPr>
          <w:noProof/>
        </w:rPr>
        <w:fldChar w:fldCharType="separate"/>
      </w:r>
      <w:r>
        <w:rPr>
          <w:noProof/>
        </w:rPr>
        <w:t>4</w:t>
      </w:r>
      <w:r>
        <w:rPr>
          <w:noProof/>
        </w:rPr>
        <w:fldChar w:fldCharType="end"/>
      </w:r>
    </w:p>
    <w:p w14:paraId="333558AF" w14:textId="3C964BE3" w:rsidR="005903FA" w:rsidRDefault="005903FA">
      <w:pPr>
        <w:pStyle w:val="TOC3"/>
        <w:tabs>
          <w:tab w:val="left" w:pos="1320"/>
          <w:tab w:val="right" w:leader="dot" w:pos="8290"/>
        </w:tabs>
        <w:rPr>
          <w:noProof/>
          <w:kern w:val="2"/>
          <w:sz w:val="24"/>
          <w:szCs w:val="30"/>
          <w:lang w:val="en-US" w:bidi="th-TH"/>
          <w14:ligatures w14:val="standardContextual"/>
        </w:rPr>
      </w:pPr>
      <w:r>
        <w:rPr>
          <w:noProof/>
        </w:rPr>
        <w:t>2.1.5</w:t>
      </w:r>
      <w:r>
        <w:rPr>
          <w:noProof/>
          <w:kern w:val="2"/>
          <w:sz w:val="24"/>
          <w:szCs w:val="30"/>
          <w:lang w:val="en-US" w:bidi="th-TH"/>
          <w14:ligatures w14:val="standardContextual"/>
        </w:rPr>
        <w:tab/>
      </w:r>
      <w:r>
        <w:rPr>
          <w:noProof/>
        </w:rPr>
        <w:t>Rationale for Focusing on Index-Level Predictions</w:t>
      </w:r>
      <w:r>
        <w:rPr>
          <w:noProof/>
        </w:rPr>
        <w:tab/>
      </w:r>
      <w:r>
        <w:rPr>
          <w:noProof/>
        </w:rPr>
        <w:fldChar w:fldCharType="begin"/>
      </w:r>
      <w:r>
        <w:rPr>
          <w:noProof/>
        </w:rPr>
        <w:instrText xml:space="preserve"> PAGEREF _Toc204515565 \h </w:instrText>
      </w:r>
      <w:r>
        <w:rPr>
          <w:noProof/>
        </w:rPr>
      </w:r>
      <w:r>
        <w:rPr>
          <w:noProof/>
        </w:rPr>
        <w:fldChar w:fldCharType="separate"/>
      </w:r>
      <w:r>
        <w:rPr>
          <w:noProof/>
        </w:rPr>
        <w:t>4</w:t>
      </w:r>
      <w:r>
        <w:rPr>
          <w:noProof/>
        </w:rPr>
        <w:fldChar w:fldCharType="end"/>
      </w:r>
    </w:p>
    <w:p w14:paraId="20980246" w14:textId="6E0578E6" w:rsidR="005903FA" w:rsidRDefault="005903FA">
      <w:pPr>
        <w:pStyle w:val="TOC3"/>
        <w:tabs>
          <w:tab w:val="left" w:pos="1320"/>
          <w:tab w:val="right" w:leader="dot" w:pos="8290"/>
        </w:tabs>
        <w:rPr>
          <w:noProof/>
          <w:kern w:val="2"/>
          <w:sz w:val="24"/>
          <w:szCs w:val="30"/>
          <w:lang w:val="en-US" w:bidi="th-TH"/>
          <w14:ligatures w14:val="standardContextual"/>
        </w:rPr>
      </w:pPr>
      <w:r>
        <w:rPr>
          <w:noProof/>
        </w:rPr>
        <w:t>2.1.6</w:t>
      </w:r>
      <w:r>
        <w:rPr>
          <w:noProof/>
          <w:kern w:val="2"/>
          <w:sz w:val="24"/>
          <w:szCs w:val="30"/>
          <w:lang w:val="en-US" w:bidi="th-TH"/>
          <w14:ligatures w14:val="standardContextual"/>
        </w:rPr>
        <w:tab/>
      </w:r>
      <w:r>
        <w:rPr>
          <w:noProof/>
        </w:rPr>
        <w:t>Limitations in Crash Prediction</w:t>
      </w:r>
      <w:r>
        <w:rPr>
          <w:noProof/>
        </w:rPr>
        <w:tab/>
      </w:r>
      <w:r>
        <w:rPr>
          <w:noProof/>
        </w:rPr>
        <w:fldChar w:fldCharType="begin"/>
      </w:r>
      <w:r>
        <w:rPr>
          <w:noProof/>
        </w:rPr>
        <w:instrText xml:space="preserve"> PAGEREF _Toc204515566 \h </w:instrText>
      </w:r>
      <w:r>
        <w:rPr>
          <w:noProof/>
        </w:rPr>
      </w:r>
      <w:r>
        <w:rPr>
          <w:noProof/>
        </w:rPr>
        <w:fldChar w:fldCharType="separate"/>
      </w:r>
      <w:r>
        <w:rPr>
          <w:noProof/>
        </w:rPr>
        <w:t>4</w:t>
      </w:r>
      <w:r>
        <w:rPr>
          <w:noProof/>
        </w:rPr>
        <w:fldChar w:fldCharType="end"/>
      </w:r>
    </w:p>
    <w:p w14:paraId="029C02F6" w14:textId="7AB05A53" w:rsidR="005903FA" w:rsidRDefault="005903FA">
      <w:pPr>
        <w:pStyle w:val="TOC2"/>
        <w:rPr>
          <w:b w:val="0"/>
          <w:noProof/>
          <w:kern w:val="2"/>
          <w:sz w:val="24"/>
          <w:szCs w:val="30"/>
          <w:lang w:val="en-US" w:bidi="th-TH"/>
          <w14:ligatures w14:val="standardContextual"/>
        </w:rPr>
      </w:pPr>
      <w:r>
        <w:rPr>
          <w:noProof/>
        </w:rPr>
        <w:t>2.2</w:t>
      </w:r>
      <w:r>
        <w:rPr>
          <w:b w:val="0"/>
          <w:noProof/>
          <w:kern w:val="2"/>
          <w:sz w:val="24"/>
          <w:szCs w:val="30"/>
          <w:lang w:val="en-US" w:bidi="th-TH"/>
          <w14:ligatures w14:val="standardContextual"/>
        </w:rPr>
        <w:tab/>
      </w:r>
      <w:r>
        <w:rPr>
          <w:noProof/>
        </w:rPr>
        <w:t>Research Objectives</w:t>
      </w:r>
      <w:r>
        <w:rPr>
          <w:noProof/>
        </w:rPr>
        <w:tab/>
      </w:r>
      <w:r>
        <w:rPr>
          <w:noProof/>
        </w:rPr>
        <w:fldChar w:fldCharType="begin"/>
      </w:r>
      <w:r>
        <w:rPr>
          <w:noProof/>
        </w:rPr>
        <w:instrText xml:space="preserve"> PAGEREF _Toc204515567 \h </w:instrText>
      </w:r>
      <w:r>
        <w:rPr>
          <w:noProof/>
        </w:rPr>
      </w:r>
      <w:r>
        <w:rPr>
          <w:noProof/>
        </w:rPr>
        <w:fldChar w:fldCharType="separate"/>
      </w:r>
      <w:r>
        <w:rPr>
          <w:noProof/>
        </w:rPr>
        <w:t>5</w:t>
      </w:r>
      <w:r>
        <w:rPr>
          <w:noProof/>
        </w:rPr>
        <w:fldChar w:fldCharType="end"/>
      </w:r>
    </w:p>
    <w:p w14:paraId="362A4E71" w14:textId="656DFF90" w:rsidR="005903FA" w:rsidRDefault="005903FA">
      <w:pPr>
        <w:pStyle w:val="TOC2"/>
        <w:rPr>
          <w:b w:val="0"/>
          <w:noProof/>
          <w:kern w:val="2"/>
          <w:sz w:val="24"/>
          <w:szCs w:val="30"/>
          <w:lang w:val="en-US" w:bidi="th-TH"/>
          <w14:ligatures w14:val="standardContextual"/>
        </w:rPr>
      </w:pPr>
      <w:r>
        <w:rPr>
          <w:noProof/>
        </w:rPr>
        <w:t>2.3</w:t>
      </w:r>
      <w:r>
        <w:rPr>
          <w:b w:val="0"/>
          <w:noProof/>
          <w:kern w:val="2"/>
          <w:sz w:val="24"/>
          <w:szCs w:val="30"/>
          <w:lang w:val="en-US" w:bidi="th-TH"/>
          <w14:ligatures w14:val="standardContextual"/>
        </w:rPr>
        <w:tab/>
      </w:r>
      <w:r>
        <w:rPr>
          <w:noProof/>
        </w:rPr>
        <w:t>Research Questions</w:t>
      </w:r>
      <w:r>
        <w:rPr>
          <w:noProof/>
        </w:rPr>
        <w:tab/>
      </w:r>
      <w:r>
        <w:rPr>
          <w:noProof/>
        </w:rPr>
        <w:fldChar w:fldCharType="begin"/>
      </w:r>
      <w:r>
        <w:rPr>
          <w:noProof/>
        </w:rPr>
        <w:instrText xml:space="preserve"> PAGEREF _Toc204515568 \h </w:instrText>
      </w:r>
      <w:r>
        <w:rPr>
          <w:noProof/>
        </w:rPr>
      </w:r>
      <w:r>
        <w:rPr>
          <w:noProof/>
        </w:rPr>
        <w:fldChar w:fldCharType="separate"/>
      </w:r>
      <w:r>
        <w:rPr>
          <w:noProof/>
        </w:rPr>
        <w:t>5</w:t>
      </w:r>
      <w:r>
        <w:rPr>
          <w:noProof/>
        </w:rPr>
        <w:fldChar w:fldCharType="end"/>
      </w:r>
    </w:p>
    <w:p w14:paraId="10100BF0" w14:textId="2DBC6901" w:rsidR="005903FA" w:rsidRDefault="005903FA">
      <w:pPr>
        <w:pStyle w:val="TOC1"/>
        <w:tabs>
          <w:tab w:val="left" w:pos="1540"/>
        </w:tabs>
        <w:rPr>
          <w:rFonts w:asciiTheme="minorHAnsi" w:hAnsiTheme="minorHAnsi"/>
          <w:b w:val="0"/>
          <w:kern w:val="2"/>
          <w:szCs w:val="30"/>
          <w:lang w:val="en-US" w:bidi="th-TH"/>
          <w14:ligatures w14:val="standardContextual"/>
        </w:rPr>
      </w:pPr>
      <w:r>
        <w:t>Chapter 3</w:t>
      </w:r>
      <w:r>
        <w:rPr>
          <w:rFonts w:asciiTheme="minorHAnsi" w:hAnsiTheme="minorHAnsi"/>
          <w:b w:val="0"/>
          <w:kern w:val="2"/>
          <w:szCs w:val="30"/>
          <w:lang w:val="en-US" w:bidi="th-TH"/>
          <w14:ligatures w14:val="standardContextual"/>
        </w:rPr>
        <w:tab/>
      </w:r>
      <w:r>
        <w:t>Design and Implementation</w:t>
      </w:r>
      <w:r>
        <w:tab/>
      </w:r>
      <w:r>
        <w:fldChar w:fldCharType="begin"/>
      </w:r>
      <w:r>
        <w:instrText xml:space="preserve"> PAGEREF _Toc204515569 \h </w:instrText>
      </w:r>
      <w:r>
        <w:fldChar w:fldCharType="separate"/>
      </w:r>
      <w:r>
        <w:t>7</w:t>
      </w:r>
      <w:r>
        <w:fldChar w:fldCharType="end"/>
      </w:r>
    </w:p>
    <w:p w14:paraId="52A6BA39" w14:textId="33588F0F" w:rsidR="005903FA" w:rsidRDefault="005903FA">
      <w:pPr>
        <w:pStyle w:val="TOC2"/>
        <w:rPr>
          <w:b w:val="0"/>
          <w:noProof/>
          <w:kern w:val="2"/>
          <w:sz w:val="24"/>
          <w:szCs w:val="30"/>
          <w:lang w:val="en-US" w:bidi="th-TH"/>
          <w14:ligatures w14:val="standardContextual"/>
        </w:rPr>
      </w:pPr>
      <w:r>
        <w:rPr>
          <w:noProof/>
        </w:rPr>
        <w:t>3.1</w:t>
      </w:r>
      <w:r>
        <w:rPr>
          <w:b w:val="0"/>
          <w:noProof/>
          <w:kern w:val="2"/>
          <w:sz w:val="24"/>
          <w:szCs w:val="30"/>
          <w:lang w:val="en-US" w:bidi="th-TH"/>
          <w14:ligatures w14:val="standardContextual"/>
        </w:rPr>
        <w:tab/>
      </w:r>
      <w:r>
        <w:rPr>
          <w:noProof/>
        </w:rPr>
        <w:t>Data Collection and Preprocessing</w:t>
      </w:r>
      <w:r>
        <w:rPr>
          <w:noProof/>
        </w:rPr>
        <w:tab/>
      </w:r>
      <w:r>
        <w:rPr>
          <w:noProof/>
        </w:rPr>
        <w:fldChar w:fldCharType="begin"/>
      </w:r>
      <w:r>
        <w:rPr>
          <w:noProof/>
        </w:rPr>
        <w:instrText xml:space="preserve"> PAGEREF _Toc204515570 \h </w:instrText>
      </w:r>
      <w:r>
        <w:rPr>
          <w:noProof/>
        </w:rPr>
      </w:r>
      <w:r>
        <w:rPr>
          <w:noProof/>
        </w:rPr>
        <w:fldChar w:fldCharType="separate"/>
      </w:r>
      <w:r>
        <w:rPr>
          <w:noProof/>
        </w:rPr>
        <w:t>7</w:t>
      </w:r>
      <w:r>
        <w:rPr>
          <w:noProof/>
        </w:rPr>
        <w:fldChar w:fldCharType="end"/>
      </w:r>
    </w:p>
    <w:p w14:paraId="6142F3D9" w14:textId="0F4E711A" w:rsidR="005903FA" w:rsidRDefault="005903FA">
      <w:pPr>
        <w:pStyle w:val="TOC3"/>
        <w:tabs>
          <w:tab w:val="left" w:pos="1320"/>
          <w:tab w:val="right" w:leader="dot" w:pos="8290"/>
        </w:tabs>
        <w:rPr>
          <w:noProof/>
          <w:kern w:val="2"/>
          <w:sz w:val="24"/>
          <w:szCs w:val="30"/>
          <w:lang w:val="en-US" w:bidi="th-TH"/>
          <w14:ligatures w14:val="standardContextual"/>
        </w:rPr>
      </w:pPr>
      <w:r>
        <w:rPr>
          <w:noProof/>
        </w:rPr>
        <w:t>3.1.1</w:t>
      </w:r>
      <w:r>
        <w:rPr>
          <w:noProof/>
          <w:kern w:val="2"/>
          <w:sz w:val="24"/>
          <w:szCs w:val="30"/>
          <w:lang w:val="en-US" w:bidi="th-TH"/>
          <w14:ligatures w14:val="standardContextual"/>
        </w:rPr>
        <w:tab/>
      </w:r>
      <w:r>
        <w:rPr>
          <w:noProof/>
        </w:rPr>
        <w:t>Dataset Structure and Columns</w:t>
      </w:r>
      <w:r>
        <w:rPr>
          <w:noProof/>
        </w:rPr>
        <w:tab/>
      </w:r>
      <w:r>
        <w:rPr>
          <w:noProof/>
        </w:rPr>
        <w:fldChar w:fldCharType="begin"/>
      </w:r>
      <w:r>
        <w:rPr>
          <w:noProof/>
        </w:rPr>
        <w:instrText xml:space="preserve"> PAGEREF _Toc204515571 \h </w:instrText>
      </w:r>
      <w:r>
        <w:rPr>
          <w:noProof/>
        </w:rPr>
      </w:r>
      <w:r>
        <w:rPr>
          <w:noProof/>
        </w:rPr>
        <w:fldChar w:fldCharType="separate"/>
      </w:r>
      <w:r>
        <w:rPr>
          <w:noProof/>
        </w:rPr>
        <w:t>7</w:t>
      </w:r>
      <w:r>
        <w:rPr>
          <w:noProof/>
        </w:rPr>
        <w:fldChar w:fldCharType="end"/>
      </w:r>
    </w:p>
    <w:p w14:paraId="6091AF2F" w14:textId="2623E561" w:rsidR="005903FA" w:rsidRDefault="005903FA">
      <w:pPr>
        <w:pStyle w:val="TOC3"/>
        <w:tabs>
          <w:tab w:val="left" w:pos="1320"/>
          <w:tab w:val="right" w:leader="dot" w:pos="8290"/>
        </w:tabs>
        <w:rPr>
          <w:noProof/>
          <w:kern w:val="2"/>
          <w:sz w:val="24"/>
          <w:szCs w:val="30"/>
          <w:lang w:val="en-US" w:bidi="th-TH"/>
          <w14:ligatures w14:val="standardContextual"/>
        </w:rPr>
      </w:pPr>
      <w:r>
        <w:rPr>
          <w:noProof/>
        </w:rPr>
        <w:t>3.1.2</w:t>
      </w:r>
      <w:r>
        <w:rPr>
          <w:noProof/>
          <w:kern w:val="2"/>
          <w:sz w:val="24"/>
          <w:szCs w:val="30"/>
          <w:lang w:val="en-US" w:bidi="th-TH"/>
          <w14:ligatures w14:val="standardContextual"/>
        </w:rPr>
        <w:tab/>
      </w:r>
      <w:r>
        <w:rPr>
          <w:noProof/>
        </w:rPr>
        <w:t>Labelling Crash Events</w:t>
      </w:r>
      <w:r>
        <w:rPr>
          <w:noProof/>
        </w:rPr>
        <w:tab/>
      </w:r>
      <w:r>
        <w:rPr>
          <w:noProof/>
        </w:rPr>
        <w:fldChar w:fldCharType="begin"/>
      </w:r>
      <w:r>
        <w:rPr>
          <w:noProof/>
        </w:rPr>
        <w:instrText xml:space="preserve"> PAGEREF _Toc204515572 \h </w:instrText>
      </w:r>
      <w:r>
        <w:rPr>
          <w:noProof/>
        </w:rPr>
      </w:r>
      <w:r>
        <w:rPr>
          <w:noProof/>
        </w:rPr>
        <w:fldChar w:fldCharType="separate"/>
      </w:r>
      <w:r>
        <w:rPr>
          <w:noProof/>
        </w:rPr>
        <w:t>7</w:t>
      </w:r>
      <w:r>
        <w:rPr>
          <w:noProof/>
        </w:rPr>
        <w:fldChar w:fldCharType="end"/>
      </w:r>
    </w:p>
    <w:p w14:paraId="4FFA98BB" w14:textId="4F4B5396" w:rsidR="005903FA" w:rsidRDefault="005903FA">
      <w:pPr>
        <w:pStyle w:val="TOC3"/>
        <w:tabs>
          <w:tab w:val="left" w:pos="1320"/>
          <w:tab w:val="right" w:leader="dot" w:pos="8290"/>
        </w:tabs>
        <w:rPr>
          <w:noProof/>
          <w:kern w:val="2"/>
          <w:sz w:val="24"/>
          <w:szCs w:val="30"/>
          <w:lang w:val="en-US" w:bidi="th-TH"/>
          <w14:ligatures w14:val="standardContextual"/>
        </w:rPr>
      </w:pPr>
      <w:r>
        <w:rPr>
          <w:noProof/>
        </w:rPr>
        <w:t>3.1.3</w:t>
      </w:r>
      <w:r>
        <w:rPr>
          <w:noProof/>
          <w:kern w:val="2"/>
          <w:sz w:val="24"/>
          <w:szCs w:val="30"/>
          <w:lang w:val="en-US" w:bidi="th-TH"/>
          <w14:ligatures w14:val="standardContextual"/>
        </w:rPr>
        <w:tab/>
      </w:r>
      <w:r>
        <w:rPr>
          <w:noProof/>
        </w:rPr>
        <w:t>Data Splitting and Class Imbalance Handling</w:t>
      </w:r>
      <w:r>
        <w:rPr>
          <w:noProof/>
        </w:rPr>
        <w:tab/>
      </w:r>
      <w:r>
        <w:rPr>
          <w:noProof/>
        </w:rPr>
        <w:fldChar w:fldCharType="begin"/>
      </w:r>
      <w:r>
        <w:rPr>
          <w:noProof/>
        </w:rPr>
        <w:instrText xml:space="preserve"> PAGEREF _Toc204515573 \h </w:instrText>
      </w:r>
      <w:r>
        <w:rPr>
          <w:noProof/>
        </w:rPr>
      </w:r>
      <w:r>
        <w:rPr>
          <w:noProof/>
        </w:rPr>
        <w:fldChar w:fldCharType="separate"/>
      </w:r>
      <w:r>
        <w:rPr>
          <w:noProof/>
        </w:rPr>
        <w:t>8</w:t>
      </w:r>
      <w:r>
        <w:rPr>
          <w:noProof/>
        </w:rPr>
        <w:fldChar w:fldCharType="end"/>
      </w:r>
    </w:p>
    <w:p w14:paraId="5BC22509" w14:textId="03647FF0" w:rsidR="005903FA" w:rsidRDefault="005903FA">
      <w:pPr>
        <w:pStyle w:val="TOC3"/>
        <w:tabs>
          <w:tab w:val="left" w:pos="1320"/>
          <w:tab w:val="right" w:leader="dot" w:pos="8290"/>
        </w:tabs>
        <w:rPr>
          <w:noProof/>
          <w:kern w:val="2"/>
          <w:sz w:val="24"/>
          <w:szCs w:val="30"/>
          <w:lang w:val="en-US" w:bidi="th-TH"/>
          <w14:ligatures w14:val="standardContextual"/>
        </w:rPr>
      </w:pPr>
      <w:r>
        <w:rPr>
          <w:noProof/>
        </w:rPr>
        <w:t>3.1.4</w:t>
      </w:r>
      <w:r>
        <w:rPr>
          <w:noProof/>
          <w:kern w:val="2"/>
          <w:sz w:val="24"/>
          <w:szCs w:val="30"/>
          <w:lang w:val="en-US" w:bidi="th-TH"/>
          <w14:ligatures w14:val="standardContextual"/>
        </w:rPr>
        <w:tab/>
      </w:r>
      <w:r>
        <w:rPr>
          <w:noProof/>
        </w:rPr>
        <w:t>Custom Sentiment Scoring using FinBERT</w:t>
      </w:r>
      <w:r>
        <w:rPr>
          <w:noProof/>
        </w:rPr>
        <w:tab/>
      </w:r>
      <w:r>
        <w:rPr>
          <w:noProof/>
        </w:rPr>
        <w:fldChar w:fldCharType="begin"/>
      </w:r>
      <w:r>
        <w:rPr>
          <w:noProof/>
        </w:rPr>
        <w:instrText xml:space="preserve"> PAGEREF _Toc204515574 \h </w:instrText>
      </w:r>
      <w:r>
        <w:rPr>
          <w:noProof/>
        </w:rPr>
      </w:r>
      <w:r>
        <w:rPr>
          <w:noProof/>
        </w:rPr>
        <w:fldChar w:fldCharType="separate"/>
      </w:r>
      <w:r>
        <w:rPr>
          <w:noProof/>
        </w:rPr>
        <w:t>8</w:t>
      </w:r>
      <w:r>
        <w:rPr>
          <w:noProof/>
        </w:rPr>
        <w:fldChar w:fldCharType="end"/>
      </w:r>
    </w:p>
    <w:p w14:paraId="4213A1B6" w14:textId="53F6CAB1" w:rsidR="005903FA" w:rsidRDefault="005903FA">
      <w:pPr>
        <w:pStyle w:val="TOC3"/>
        <w:tabs>
          <w:tab w:val="left" w:pos="1320"/>
          <w:tab w:val="right" w:leader="dot" w:pos="8290"/>
        </w:tabs>
        <w:rPr>
          <w:noProof/>
          <w:kern w:val="2"/>
          <w:sz w:val="24"/>
          <w:szCs w:val="30"/>
          <w:lang w:val="en-US" w:bidi="th-TH"/>
          <w14:ligatures w14:val="standardContextual"/>
        </w:rPr>
      </w:pPr>
      <w:r w:rsidRPr="00835151">
        <w:rPr>
          <w:noProof/>
          <w:lang w:val="en-US"/>
        </w:rPr>
        <w:t>3.1.5</w:t>
      </w:r>
      <w:r>
        <w:rPr>
          <w:noProof/>
          <w:kern w:val="2"/>
          <w:sz w:val="24"/>
          <w:szCs w:val="30"/>
          <w:lang w:val="en-US" w:bidi="th-TH"/>
          <w14:ligatures w14:val="standardContextual"/>
        </w:rPr>
        <w:tab/>
      </w:r>
      <w:r w:rsidRPr="00835151">
        <w:rPr>
          <w:noProof/>
          <w:lang w:val="en-US"/>
        </w:rPr>
        <w:t>VaR and ES Features</w:t>
      </w:r>
      <w:r>
        <w:rPr>
          <w:noProof/>
        </w:rPr>
        <w:tab/>
      </w:r>
      <w:r>
        <w:rPr>
          <w:noProof/>
        </w:rPr>
        <w:fldChar w:fldCharType="begin"/>
      </w:r>
      <w:r>
        <w:rPr>
          <w:noProof/>
        </w:rPr>
        <w:instrText xml:space="preserve"> PAGEREF _Toc204515575 \h </w:instrText>
      </w:r>
      <w:r>
        <w:rPr>
          <w:noProof/>
        </w:rPr>
      </w:r>
      <w:r>
        <w:rPr>
          <w:noProof/>
        </w:rPr>
        <w:fldChar w:fldCharType="separate"/>
      </w:r>
      <w:r>
        <w:rPr>
          <w:noProof/>
        </w:rPr>
        <w:t>9</w:t>
      </w:r>
      <w:r>
        <w:rPr>
          <w:noProof/>
        </w:rPr>
        <w:fldChar w:fldCharType="end"/>
      </w:r>
    </w:p>
    <w:p w14:paraId="062F9BFC" w14:textId="2A0A6846" w:rsidR="005903FA" w:rsidRDefault="005903FA">
      <w:pPr>
        <w:pStyle w:val="TOC2"/>
        <w:rPr>
          <w:b w:val="0"/>
          <w:noProof/>
          <w:kern w:val="2"/>
          <w:sz w:val="24"/>
          <w:szCs w:val="30"/>
          <w:lang w:val="en-US" w:bidi="th-TH"/>
          <w14:ligatures w14:val="standardContextual"/>
        </w:rPr>
      </w:pPr>
      <w:r>
        <w:rPr>
          <w:noProof/>
        </w:rPr>
        <w:t>3.2</w:t>
      </w:r>
      <w:r>
        <w:rPr>
          <w:b w:val="0"/>
          <w:noProof/>
          <w:kern w:val="2"/>
          <w:sz w:val="24"/>
          <w:szCs w:val="30"/>
          <w:lang w:val="en-US" w:bidi="th-TH"/>
          <w14:ligatures w14:val="standardContextual"/>
        </w:rPr>
        <w:tab/>
      </w:r>
      <w:r>
        <w:rPr>
          <w:noProof/>
        </w:rPr>
        <w:t>Architecture Design</w:t>
      </w:r>
      <w:r>
        <w:rPr>
          <w:noProof/>
        </w:rPr>
        <w:tab/>
      </w:r>
      <w:r>
        <w:rPr>
          <w:noProof/>
        </w:rPr>
        <w:fldChar w:fldCharType="begin"/>
      </w:r>
      <w:r>
        <w:rPr>
          <w:noProof/>
        </w:rPr>
        <w:instrText xml:space="preserve"> PAGEREF _Toc204515576 \h </w:instrText>
      </w:r>
      <w:r>
        <w:rPr>
          <w:noProof/>
        </w:rPr>
      </w:r>
      <w:r>
        <w:rPr>
          <w:noProof/>
        </w:rPr>
        <w:fldChar w:fldCharType="separate"/>
      </w:r>
      <w:r>
        <w:rPr>
          <w:noProof/>
        </w:rPr>
        <w:t>9</w:t>
      </w:r>
      <w:r>
        <w:rPr>
          <w:noProof/>
        </w:rPr>
        <w:fldChar w:fldCharType="end"/>
      </w:r>
    </w:p>
    <w:p w14:paraId="6B7FD65B" w14:textId="2EC935C5" w:rsidR="005903FA" w:rsidRDefault="005903FA">
      <w:pPr>
        <w:pStyle w:val="TOC2"/>
        <w:rPr>
          <w:b w:val="0"/>
          <w:noProof/>
          <w:kern w:val="2"/>
          <w:sz w:val="24"/>
          <w:szCs w:val="30"/>
          <w:lang w:val="en-US" w:bidi="th-TH"/>
          <w14:ligatures w14:val="standardContextual"/>
        </w:rPr>
      </w:pPr>
      <w:r>
        <w:rPr>
          <w:noProof/>
        </w:rPr>
        <w:t>3.3</w:t>
      </w:r>
      <w:r>
        <w:rPr>
          <w:b w:val="0"/>
          <w:noProof/>
          <w:kern w:val="2"/>
          <w:sz w:val="24"/>
          <w:szCs w:val="30"/>
          <w:lang w:val="en-US" w:bidi="th-TH"/>
          <w14:ligatures w14:val="standardContextual"/>
        </w:rPr>
        <w:tab/>
      </w:r>
      <w:r>
        <w:rPr>
          <w:noProof/>
        </w:rPr>
        <w:t>Model Training</w:t>
      </w:r>
      <w:r>
        <w:rPr>
          <w:noProof/>
        </w:rPr>
        <w:tab/>
      </w:r>
      <w:r>
        <w:rPr>
          <w:noProof/>
        </w:rPr>
        <w:fldChar w:fldCharType="begin"/>
      </w:r>
      <w:r>
        <w:rPr>
          <w:noProof/>
        </w:rPr>
        <w:instrText xml:space="preserve"> PAGEREF _Toc204515577 \h </w:instrText>
      </w:r>
      <w:r>
        <w:rPr>
          <w:noProof/>
        </w:rPr>
      </w:r>
      <w:r>
        <w:rPr>
          <w:noProof/>
        </w:rPr>
        <w:fldChar w:fldCharType="separate"/>
      </w:r>
      <w:r>
        <w:rPr>
          <w:noProof/>
        </w:rPr>
        <w:t>9</w:t>
      </w:r>
      <w:r>
        <w:rPr>
          <w:noProof/>
        </w:rPr>
        <w:fldChar w:fldCharType="end"/>
      </w:r>
    </w:p>
    <w:p w14:paraId="224F49A9" w14:textId="1626CDEC" w:rsidR="005903FA" w:rsidRDefault="005903FA">
      <w:pPr>
        <w:pStyle w:val="TOC2"/>
        <w:rPr>
          <w:b w:val="0"/>
          <w:noProof/>
          <w:kern w:val="2"/>
          <w:sz w:val="24"/>
          <w:szCs w:val="30"/>
          <w:lang w:val="en-US" w:bidi="th-TH"/>
          <w14:ligatures w14:val="standardContextual"/>
        </w:rPr>
      </w:pPr>
      <w:r>
        <w:rPr>
          <w:noProof/>
        </w:rPr>
        <w:t>3.4</w:t>
      </w:r>
      <w:r>
        <w:rPr>
          <w:b w:val="0"/>
          <w:noProof/>
          <w:kern w:val="2"/>
          <w:sz w:val="24"/>
          <w:szCs w:val="30"/>
          <w:lang w:val="en-US" w:bidi="th-TH"/>
          <w14:ligatures w14:val="standardContextual"/>
        </w:rPr>
        <w:tab/>
      </w:r>
      <w:r>
        <w:rPr>
          <w:noProof/>
        </w:rPr>
        <w:t>Evaluation Metrics</w:t>
      </w:r>
      <w:r>
        <w:rPr>
          <w:noProof/>
        </w:rPr>
        <w:tab/>
      </w:r>
      <w:r>
        <w:rPr>
          <w:noProof/>
        </w:rPr>
        <w:fldChar w:fldCharType="begin"/>
      </w:r>
      <w:r>
        <w:rPr>
          <w:noProof/>
        </w:rPr>
        <w:instrText xml:space="preserve"> PAGEREF _Toc204515578 \h </w:instrText>
      </w:r>
      <w:r>
        <w:rPr>
          <w:noProof/>
        </w:rPr>
      </w:r>
      <w:r>
        <w:rPr>
          <w:noProof/>
        </w:rPr>
        <w:fldChar w:fldCharType="separate"/>
      </w:r>
      <w:r>
        <w:rPr>
          <w:noProof/>
        </w:rPr>
        <w:t>10</w:t>
      </w:r>
      <w:r>
        <w:rPr>
          <w:noProof/>
        </w:rPr>
        <w:fldChar w:fldCharType="end"/>
      </w:r>
    </w:p>
    <w:p w14:paraId="56C9A1C0" w14:textId="1CF1F37F" w:rsidR="005903FA" w:rsidRDefault="005903FA">
      <w:pPr>
        <w:pStyle w:val="TOC3"/>
        <w:tabs>
          <w:tab w:val="left" w:pos="1320"/>
          <w:tab w:val="right" w:leader="dot" w:pos="8290"/>
        </w:tabs>
        <w:rPr>
          <w:noProof/>
          <w:kern w:val="2"/>
          <w:sz w:val="24"/>
          <w:szCs w:val="30"/>
          <w:lang w:val="en-US" w:bidi="th-TH"/>
          <w14:ligatures w14:val="standardContextual"/>
        </w:rPr>
      </w:pPr>
      <w:r>
        <w:rPr>
          <w:noProof/>
        </w:rPr>
        <w:t>3.4.1</w:t>
      </w:r>
      <w:r>
        <w:rPr>
          <w:noProof/>
          <w:kern w:val="2"/>
          <w:sz w:val="24"/>
          <w:szCs w:val="30"/>
          <w:lang w:val="en-US" w:bidi="th-TH"/>
          <w14:ligatures w14:val="standardContextual"/>
        </w:rPr>
        <w:tab/>
      </w:r>
      <w:r>
        <w:rPr>
          <w:noProof/>
        </w:rPr>
        <w:t>AUC</w:t>
      </w:r>
      <w:r>
        <w:rPr>
          <w:noProof/>
        </w:rPr>
        <w:tab/>
      </w:r>
      <w:r>
        <w:rPr>
          <w:noProof/>
        </w:rPr>
        <w:fldChar w:fldCharType="begin"/>
      </w:r>
      <w:r>
        <w:rPr>
          <w:noProof/>
        </w:rPr>
        <w:instrText xml:space="preserve"> PAGEREF _Toc204515579 \h </w:instrText>
      </w:r>
      <w:r>
        <w:rPr>
          <w:noProof/>
        </w:rPr>
      </w:r>
      <w:r>
        <w:rPr>
          <w:noProof/>
        </w:rPr>
        <w:fldChar w:fldCharType="separate"/>
      </w:r>
      <w:r>
        <w:rPr>
          <w:noProof/>
        </w:rPr>
        <w:t>10</w:t>
      </w:r>
      <w:r>
        <w:rPr>
          <w:noProof/>
        </w:rPr>
        <w:fldChar w:fldCharType="end"/>
      </w:r>
    </w:p>
    <w:p w14:paraId="104F15EC" w14:textId="5413C3F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3.4.2</w:t>
      </w:r>
      <w:r>
        <w:rPr>
          <w:noProof/>
          <w:kern w:val="2"/>
          <w:sz w:val="24"/>
          <w:szCs w:val="30"/>
          <w:lang w:val="en-US" w:bidi="th-TH"/>
          <w14:ligatures w14:val="standardContextual"/>
        </w:rPr>
        <w:tab/>
      </w:r>
      <w:r>
        <w:rPr>
          <w:noProof/>
        </w:rPr>
        <w:t>Confusion Matrix</w:t>
      </w:r>
      <w:r>
        <w:rPr>
          <w:noProof/>
        </w:rPr>
        <w:tab/>
      </w:r>
      <w:r>
        <w:rPr>
          <w:noProof/>
        </w:rPr>
        <w:fldChar w:fldCharType="begin"/>
      </w:r>
      <w:r>
        <w:rPr>
          <w:noProof/>
        </w:rPr>
        <w:instrText xml:space="preserve"> PAGEREF _Toc204515580 \h </w:instrText>
      </w:r>
      <w:r>
        <w:rPr>
          <w:noProof/>
        </w:rPr>
      </w:r>
      <w:r>
        <w:rPr>
          <w:noProof/>
        </w:rPr>
        <w:fldChar w:fldCharType="separate"/>
      </w:r>
      <w:r>
        <w:rPr>
          <w:noProof/>
        </w:rPr>
        <w:t>10</w:t>
      </w:r>
      <w:r>
        <w:rPr>
          <w:noProof/>
        </w:rPr>
        <w:fldChar w:fldCharType="end"/>
      </w:r>
    </w:p>
    <w:p w14:paraId="4508CA0A" w14:textId="790DA7C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3.4.3</w:t>
      </w:r>
      <w:r>
        <w:rPr>
          <w:noProof/>
          <w:kern w:val="2"/>
          <w:sz w:val="24"/>
          <w:szCs w:val="30"/>
          <w:lang w:val="en-US" w:bidi="th-TH"/>
          <w14:ligatures w14:val="standardContextual"/>
        </w:rPr>
        <w:tab/>
      </w:r>
      <w:r>
        <w:rPr>
          <w:noProof/>
        </w:rPr>
        <w:t>Sensitivity</w:t>
      </w:r>
      <w:r>
        <w:rPr>
          <w:noProof/>
        </w:rPr>
        <w:tab/>
      </w:r>
      <w:r>
        <w:rPr>
          <w:noProof/>
        </w:rPr>
        <w:fldChar w:fldCharType="begin"/>
      </w:r>
      <w:r>
        <w:rPr>
          <w:noProof/>
        </w:rPr>
        <w:instrText xml:space="preserve"> PAGEREF _Toc204515581 \h </w:instrText>
      </w:r>
      <w:r>
        <w:rPr>
          <w:noProof/>
        </w:rPr>
      </w:r>
      <w:r>
        <w:rPr>
          <w:noProof/>
        </w:rPr>
        <w:fldChar w:fldCharType="separate"/>
      </w:r>
      <w:r>
        <w:rPr>
          <w:noProof/>
        </w:rPr>
        <w:t>10</w:t>
      </w:r>
      <w:r>
        <w:rPr>
          <w:noProof/>
        </w:rPr>
        <w:fldChar w:fldCharType="end"/>
      </w:r>
    </w:p>
    <w:p w14:paraId="7D3BAA29" w14:textId="0ED477C4" w:rsidR="005903FA" w:rsidRDefault="005903FA">
      <w:pPr>
        <w:pStyle w:val="TOC2"/>
        <w:rPr>
          <w:b w:val="0"/>
          <w:noProof/>
          <w:kern w:val="2"/>
          <w:sz w:val="24"/>
          <w:szCs w:val="30"/>
          <w:lang w:val="en-US" w:bidi="th-TH"/>
          <w14:ligatures w14:val="standardContextual"/>
        </w:rPr>
      </w:pPr>
      <w:r>
        <w:rPr>
          <w:noProof/>
        </w:rPr>
        <w:t>3.5</w:t>
      </w:r>
      <w:r>
        <w:rPr>
          <w:b w:val="0"/>
          <w:noProof/>
          <w:kern w:val="2"/>
          <w:sz w:val="24"/>
          <w:szCs w:val="30"/>
          <w:lang w:val="en-US" w:bidi="th-TH"/>
          <w14:ligatures w14:val="standardContextual"/>
        </w:rPr>
        <w:tab/>
      </w:r>
      <w:r>
        <w:rPr>
          <w:noProof/>
        </w:rPr>
        <w:t>Out of Sample Analysis</w:t>
      </w:r>
      <w:r>
        <w:rPr>
          <w:noProof/>
        </w:rPr>
        <w:tab/>
      </w:r>
      <w:r>
        <w:rPr>
          <w:noProof/>
        </w:rPr>
        <w:fldChar w:fldCharType="begin"/>
      </w:r>
      <w:r>
        <w:rPr>
          <w:noProof/>
        </w:rPr>
        <w:instrText xml:space="preserve"> PAGEREF _Toc204515582 \h </w:instrText>
      </w:r>
      <w:r>
        <w:rPr>
          <w:noProof/>
        </w:rPr>
      </w:r>
      <w:r>
        <w:rPr>
          <w:noProof/>
        </w:rPr>
        <w:fldChar w:fldCharType="separate"/>
      </w:r>
      <w:r>
        <w:rPr>
          <w:noProof/>
        </w:rPr>
        <w:t>10</w:t>
      </w:r>
      <w:r>
        <w:rPr>
          <w:noProof/>
        </w:rPr>
        <w:fldChar w:fldCharType="end"/>
      </w:r>
    </w:p>
    <w:p w14:paraId="74FBE080" w14:textId="0163426A" w:rsidR="005903FA" w:rsidRDefault="005903FA">
      <w:pPr>
        <w:pStyle w:val="TOC1"/>
        <w:tabs>
          <w:tab w:val="left" w:pos="1540"/>
        </w:tabs>
        <w:rPr>
          <w:rFonts w:asciiTheme="minorHAnsi" w:hAnsiTheme="minorHAnsi"/>
          <w:b w:val="0"/>
          <w:kern w:val="2"/>
          <w:szCs w:val="30"/>
          <w:lang w:val="en-US" w:bidi="th-TH"/>
          <w14:ligatures w14:val="standardContextual"/>
        </w:rPr>
      </w:pPr>
      <w:r>
        <w:t>Chapter 4</w:t>
      </w:r>
      <w:r>
        <w:rPr>
          <w:rFonts w:asciiTheme="minorHAnsi" w:hAnsiTheme="minorHAnsi"/>
          <w:b w:val="0"/>
          <w:kern w:val="2"/>
          <w:szCs w:val="30"/>
          <w:lang w:val="en-US" w:bidi="th-TH"/>
          <w14:ligatures w14:val="standardContextual"/>
        </w:rPr>
        <w:tab/>
      </w:r>
      <w:r>
        <w:t>Conclusion</w:t>
      </w:r>
      <w:r>
        <w:tab/>
      </w:r>
      <w:r>
        <w:fldChar w:fldCharType="begin"/>
      </w:r>
      <w:r>
        <w:instrText xml:space="preserve"> PAGEREF _Toc204515583 \h </w:instrText>
      </w:r>
      <w:r>
        <w:fldChar w:fldCharType="separate"/>
      </w:r>
      <w:r>
        <w:t>12</w:t>
      </w:r>
      <w:r>
        <w:fldChar w:fldCharType="end"/>
      </w:r>
    </w:p>
    <w:p w14:paraId="7DE08735" w14:textId="4DE8B8E7" w:rsidR="005903FA" w:rsidRDefault="005903FA">
      <w:pPr>
        <w:pStyle w:val="TOC6"/>
        <w:rPr>
          <w:rFonts w:asciiTheme="minorHAnsi" w:hAnsiTheme="minorHAnsi"/>
          <w:b w:val="0"/>
          <w:kern w:val="2"/>
          <w:szCs w:val="30"/>
          <w:lang w:val="en-US" w:bidi="th-TH"/>
          <w14:ligatures w14:val="standardContextual"/>
        </w:rPr>
      </w:pPr>
      <w:r>
        <w:t>Appendix A</w:t>
      </w:r>
      <w:r>
        <w:rPr>
          <w:rFonts w:asciiTheme="minorHAnsi" w:hAnsiTheme="minorHAnsi"/>
          <w:b w:val="0"/>
          <w:kern w:val="2"/>
          <w:szCs w:val="30"/>
          <w:lang w:val="en-US" w:bidi="th-TH"/>
          <w14:ligatures w14:val="standardContextual"/>
        </w:rPr>
        <w:tab/>
      </w:r>
      <w:r>
        <w:t>&lt;Name of appendix&gt;</w:t>
      </w:r>
      <w:r>
        <w:tab/>
      </w:r>
      <w:r>
        <w:fldChar w:fldCharType="begin"/>
      </w:r>
      <w:r>
        <w:instrText xml:space="preserve"> PAGEREF _Toc204515584 \h </w:instrText>
      </w:r>
      <w:r>
        <w:fldChar w:fldCharType="separate"/>
      </w:r>
      <w:r>
        <w:t>1</w:t>
      </w:r>
      <w:r>
        <w:fldChar w:fldCharType="end"/>
      </w:r>
    </w:p>
    <w:p w14:paraId="29AFEE12" w14:textId="4B774D94" w:rsidR="005903FA" w:rsidRDefault="005903FA">
      <w:pPr>
        <w:pStyle w:val="TOC6"/>
        <w:rPr>
          <w:rFonts w:asciiTheme="minorHAnsi" w:hAnsiTheme="minorHAnsi"/>
          <w:b w:val="0"/>
          <w:kern w:val="2"/>
          <w:szCs w:val="30"/>
          <w:lang w:val="en-US" w:bidi="th-TH"/>
          <w14:ligatures w14:val="standardContextual"/>
        </w:rPr>
      </w:pPr>
      <w:r>
        <w:t>Appendix B</w:t>
      </w:r>
      <w:r>
        <w:rPr>
          <w:rFonts w:asciiTheme="minorHAnsi" w:hAnsiTheme="minorHAnsi"/>
          <w:b w:val="0"/>
          <w:kern w:val="2"/>
          <w:szCs w:val="30"/>
          <w:lang w:val="en-US" w:bidi="th-TH"/>
          <w14:ligatures w14:val="standardContextual"/>
        </w:rPr>
        <w:tab/>
      </w:r>
      <w:r>
        <w:t>&lt;Another appendix&gt;</w:t>
      </w:r>
      <w:r>
        <w:tab/>
      </w:r>
      <w:r>
        <w:fldChar w:fldCharType="begin"/>
      </w:r>
      <w:r>
        <w:instrText xml:space="preserve"> PAGEREF _Toc204515585 \h </w:instrText>
      </w:r>
      <w:r>
        <w:fldChar w:fldCharType="separate"/>
      </w:r>
      <w:r>
        <w:t>2</w:t>
      </w:r>
      <w:r>
        <w:fldChar w:fldCharType="end"/>
      </w:r>
    </w:p>
    <w:p w14:paraId="5D4CFF14" w14:textId="71A58964" w:rsidR="005903FA" w:rsidRDefault="005903FA">
      <w:pPr>
        <w:pStyle w:val="TOC1"/>
        <w:rPr>
          <w:rFonts w:asciiTheme="minorHAnsi" w:hAnsiTheme="minorHAnsi"/>
          <w:b w:val="0"/>
          <w:kern w:val="2"/>
          <w:szCs w:val="30"/>
          <w:lang w:val="en-US" w:bidi="th-TH"/>
          <w14:ligatures w14:val="standardContextual"/>
        </w:rPr>
      </w:pPr>
      <w:r>
        <w:t>Bibliography</w:t>
      </w:r>
      <w:r>
        <w:tab/>
      </w:r>
      <w:r>
        <w:fldChar w:fldCharType="begin"/>
      </w:r>
      <w:r>
        <w:instrText xml:space="preserve"> PAGEREF _Toc204515586 \h </w:instrText>
      </w:r>
      <w:r>
        <w:fldChar w:fldCharType="separate"/>
      </w:r>
      <w:r>
        <w:t>3</w:t>
      </w:r>
      <w:r>
        <w:fldChar w:fldCharType="end"/>
      </w:r>
    </w:p>
    <w:p w14:paraId="2966930C" w14:textId="6DE29A99"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204515556"/>
      <w:r w:rsidRPr="007C0AB9">
        <w:lastRenderedPageBreak/>
        <w:t>Introduction</w:t>
      </w:r>
      <w:bookmarkEnd w:id="0"/>
    </w:p>
    <w:p w14:paraId="394DD059" w14:textId="73FDE1D5" w:rsidR="00FE7445" w:rsidRPr="007C0AB9" w:rsidRDefault="00FE7445" w:rsidP="00FE7445">
      <w:pPr>
        <w:pStyle w:val="Heading2"/>
      </w:pPr>
      <w:bookmarkStart w:id="1" w:name="_Toc204515557"/>
      <w:r w:rsidRPr="007C0AB9">
        <w:t>Motivation</w:t>
      </w:r>
      <w:bookmarkEnd w:id="1"/>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44B9C549"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bookmarkStart w:id="2" w:name="_Toc204515558"/>
      <w:r>
        <w:t>Purpose</w:t>
      </w:r>
      <w:bookmarkEnd w:id="2"/>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6F5BAC68"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w:t>
      </w:r>
      <w:r w:rsidR="00955A16">
        <w:t xml:space="preserve">headlines </w:t>
      </w:r>
      <w:r w:rsidR="004C2C76">
        <w:t>to</w:t>
      </w:r>
      <w:r w:rsidRPr="00AD5149">
        <w:t xml:space="preserve"> extract relevant sentiment signals. These sentiment indicators will then be combined with traditional market-based volatility measures</w:t>
      </w:r>
      <w:r w:rsidR="00B7746A">
        <w:t>, using the S&amp;P500 closing prices,</w:t>
      </w:r>
      <w:r w:rsidRPr="00AD5149">
        <w:t xml:space="preserve">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3" w:name="_Toc204515559"/>
      <w:bookmarkStart w:id="4" w:name="_Hlk204173981"/>
      <w:r w:rsidRPr="007C0AB9">
        <w:lastRenderedPageBreak/>
        <w:t>Survey</w:t>
      </w:r>
      <w:bookmarkEnd w:id="3"/>
      <w:r w:rsidRPr="007C0AB9">
        <w:t xml:space="preserve"> </w:t>
      </w:r>
    </w:p>
    <w:p w14:paraId="5DE6544F" w14:textId="77777777" w:rsidR="0013082B" w:rsidRDefault="00FE7445" w:rsidP="0013082B">
      <w:pPr>
        <w:pStyle w:val="Heading2"/>
      </w:pPr>
      <w:bookmarkStart w:id="5" w:name="_Toc204515560"/>
      <w:r w:rsidRPr="007C0AB9">
        <w:t>Background Survey</w:t>
      </w:r>
      <w:bookmarkEnd w:id="5"/>
    </w:p>
    <w:p w14:paraId="04A0081C" w14:textId="36A11D1B" w:rsidR="0013082B" w:rsidRDefault="0013082B" w:rsidP="0013082B">
      <w:pPr>
        <w:pStyle w:val="Heading3"/>
      </w:pPr>
      <w:bookmarkStart w:id="6" w:name="_Toc204515561"/>
      <w:r>
        <w:t>Current Methods for Early Warning Systems (EWS)</w:t>
      </w:r>
      <w:bookmarkEnd w:id="6"/>
    </w:p>
    <w:p w14:paraId="2BD57063" w14:textId="13DFEC87"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w:t>
      </w:r>
    </w:p>
    <w:p w14:paraId="540D7CF2" w14:textId="09D9BBC0"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Liu, Leu, and Holst (2023) proposed a method using FinBERT</w:t>
      </w:r>
      <w:r w:rsidR="00654550">
        <w:rPr>
          <w:rStyle w:val="FootnoteReference"/>
        </w:rPr>
        <w:footnoteReference w:id="1"/>
      </w:r>
      <w:r w:rsidR="00DF7EF8">
        <w:t xml:space="preserve"> combined with an ensemble SVM to </w:t>
      </w:r>
      <w:r w:rsidR="0013082B">
        <w:t>reduce noise and filter out irrelevant content from social media discussions.</w:t>
      </w:r>
    </w:p>
    <w:p w14:paraId="02DCFFF5" w14:textId="0B481D03" w:rsidR="00295647" w:rsidRDefault="00295647" w:rsidP="00D214F0">
      <w:r w:rsidRPr="00295647">
        <w:t>Huang et al. (2020)</w:t>
      </w:r>
      <w:r>
        <w:t xml:space="preserve"> </w:t>
      </w:r>
      <w:r w:rsidRPr="00295647">
        <w:t xml:space="preserve">showed that FinBERT,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2020)</w:t>
      </w:r>
      <w:r w:rsidRPr="00295647">
        <w:t>.</w:t>
      </w:r>
      <w:r w:rsidR="00C23FE3">
        <w:t xml:space="preserve"> </w:t>
      </w:r>
      <w:r w:rsidR="00C23FE3" w:rsidRPr="00C23FE3">
        <w:t xml:space="preserve">However, it is important to note that FinBERT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471D215F" w14:textId="6255E1F8" w:rsidR="00D8089C" w:rsidRDefault="00D8089C" w:rsidP="00D214F0">
      <w:r w:rsidRPr="00D8089C">
        <w:t xml:space="preserve">As noted by Parras-Gutiérrez et al. (2014), forecasting models </w:t>
      </w:r>
      <w:r w:rsidR="00254C29">
        <w:t>usually</w:t>
      </w:r>
      <w:r w:rsidRPr="00D8089C">
        <w:t xml:space="preserve"> designed for short-term or one-step-ahead predictions due to the increasing</w:t>
      </w:r>
      <w:r w:rsidR="00254C29">
        <w:t xml:space="preserve"> in</w:t>
      </w:r>
      <w:r w:rsidRPr="00D8089C">
        <w:t xml:space="preserve"> difficulty and unreliability of medium- and long-term forecasts caused by error propagation over time.</w:t>
      </w:r>
      <w:r>
        <w:t xml:space="preserve"> </w:t>
      </w:r>
      <w:r w:rsidR="00254C29">
        <w:t>To c</w:t>
      </w:r>
      <w:r w:rsidR="00202C33" w:rsidRPr="00202C33">
        <w:t>omplemen</w:t>
      </w:r>
      <w:r w:rsidR="00254C29">
        <w:t>t</w:t>
      </w:r>
      <w:r w:rsidR="00202C33" w:rsidRPr="00202C33">
        <w:t xml:space="preserve"> this perspective, Allaj and Sanfelici (2023) introduced a time-</w:t>
      </w:r>
      <w:r w:rsidR="00202C33" w:rsidRPr="00202C33">
        <w:lastRenderedPageBreak/>
        <w:t xml:space="preserve">varying window (e.g., </w:t>
      </w:r>
      <m:oMath>
        <m:r>
          <w:rPr>
            <w:rFonts w:ascii="Cambria Math" w:hAnsi="Cambria Math"/>
          </w:rPr>
          <m:t>T</m:t>
        </m:r>
      </m:oMath>
      <w:r w:rsidR="00202C33" w:rsidRPr="00202C33">
        <w:t xml:space="preserve"> = 22, 66, 132 days) in the context of early warning systems</w:t>
      </w:r>
      <w:r w:rsidR="00202C33">
        <w:t xml:space="preserve"> </w:t>
      </w:r>
      <w:r w:rsidR="00202C33" w:rsidRPr="00202C33">
        <w:t xml:space="preserve">for financial instability. This approach acknowledges the </w:t>
      </w:r>
      <w:r w:rsidR="00A24ADC">
        <w:t>changing</w:t>
      </w:r>
      <w:r w:rsidR="00202C33" w:rsidRPr="00202C33">
        <w:t xml:space="preserve"> nature of financial markets and allows models to capture different temporal dynamics</w:t>
      </w:r>
      <w:r w:rsidR="001811B6">
        <w:t xml:space="preserve"> </w:t>
      </w:r>
      <w:r w:rsidR="00202C33" w:rsidRPr="00202C33">
        <w:t xml:space="preserve">ranging within a unified structure. Together, these insights </w:t>
      </w:r>
      <w:r w:rsidR="00C75B61">
        <w:t>lead to</w:t>
      </w:r>
      <w:r w:rsidR="00202C33" w:rsidRPr="00202C33">
        <w:t xml:space="preserve"> a multi-horizon </w:t>
      </w:r>
      <w:r w:rsidR="001811B6" w:rsidRPr="00202C33">
        <w:t>modelling</w:t>
      </w:r>
      <w:r w:rsidR="00202C33" w:rsidRPr="00202C33">
        <w:t xml:space="preserve"> </w:t>
      </w:r>
      <w:r w:rsidR="00C75B61">
        <w:t>method</w:t>
      </w:r>
      <w:r w:rsidR="00202C33" w:rsidRPr="00202C33">
        <w:t xml:space="preserve"> that balances predictive accuracy with </w:t>
      </w:r>
      <w:r w:rsidR="00C75B61">
        <w:t>a greater understanding of time.</w:t>
      </w:r>
    </w:p>
    <w:p w14:paraId="145D67D8" w14:textId="6F61F149" w:rsidR="00597ED3" w:rsidRDefault="00BE5D10" w:rsidP="00597ED3">
      <w:pPr>
        <w:pStyle w:val="Heading3"/>
      </w:pPr>
      <w:bookmarkStart w:id="7" w:name="_Toc204515562"/>
      <w:r>
        <w:t>Various</w:t>
      </w:r>
      <w:r w:rsidR="00A71D00">
        <w:t xml:space="preserve"> Choices of </w:t>
      </w:r>
      <w:r w:rsidR="00597ED3" w:rsidRPr="00597ED3">
        <w:t>Feature Extraction and Machine Learning Methods for Stock Price Prediction</w:t>
      </w:r>
      <w:bookmarkEnd w:id="7"/>
    </w:p>
    <w:p w14:paraId="4749EB6E" w14:textId="5C2CAC54" w:rsidR="00597ED3" w:rsidRDefault="00597ED3" w:rsidP="00597ED3">
      <w:r w:rsidRPr="00597ED3">
        <w:t xml:space="preserve">Bonde </w:t>
      </w:r>
      <w:r>
        <w:t xml:space="preserve">and Khaled </w:t>
      </w:r>
      <w:r w:rsidRPr="00597ED3">
        <w:t>(2012) explores the effectiveness of various feature extraction strategies and machine learning algorithms in forecasting stock prices</w:t>
      </w:r>
      <w:r>
        <w:t xml:space="preserve"> from financial markets, </w:t>
      </w:r>
      <w:r w:rsidRPr="00597ED3">
        <w:t xml:space="preserve">evaluates a combination of features and classifiers to identify the most predictive configurations. </w:t>
      </w:r>
      <w:r w:rsidR="00B33D32">
        <w:t xml:space="preserve">The study </w:t>
      </w:r>
      <w:r w:rsidRPr="00597ED3">
        <w:t>examines eight different feature sets</w:t>
      </w:r>
      <w:r w:rsidR="00A22F33">
        <w:t xml:space="preserve"> that </w:t>
      </w:r>
      <w:r w:rsidR="009D1B9F" w:rsidRPr="009D1B9F">
        <w:t>represent different levels of contextual and historical integration, ranging from minimalist (</w:t>
      </w:r>
      <w:r w:rsidR="00FA1D82">
        <w:t>C</w:t>
      </w:r>
      <w:r w:rsidR="009D1B9F" w:rsidRPr="009D1B9F">
        <w:t>ompany alone) to comprehensive market-informed (NASDAQ + S&amp;P + Company).</w:t>
      </w:r>
      <w:r w:rsidR="00E87FD0">
        <w:t xml:space="preserve"> </w:t>
      </w:r>
      <w:r w:rsidR="00E87FD0" w:rsidRPr="00E87FD0">
        <w:t xml:space="preserve">and evaluates four machine learning techniques to assess their effectiveness: </w:t>
      </w:r>
      <w:r w:rsidR="009D3385">
        <w:t>n</w:t>
      </w:r>
      <w:r w:rsidR="00E87FD0" w:rsidRPr="00E87FD0">
        <w:t xml:space="preserve">eural </w:t>
      </w:r>
      <w:r w:rsidR="009D3385">
        <w:t>n</w:t>
      </w:r>
      <w:r w:rsidR="00E87FD0" w:rsidRPr="00E87FD0">
        <w:t xml:space="preserve">etworks, Sequential Minimal Optimization (SMO), </w:t>
      </w:r>
      <w:r w:rsidR="009D3385">
        <w:t>b</w:t>
      </w:r>
      <w:r w:rsidR="00E87FD0" w:rsidRPr="00E87FD0">
        <w:t>agging using SMO, and M5P.</w:t>
      </w:r>
    </w:p>
    <w:p w14:paraId="2D40AD22" w14:textId="6C392CCD" w:rsidR="00E87FD0" w:rsidRDefault="00E87FD0" w:rsidP="00E87FD0">
      <w:r>
        <w:t xml:space="preserve">Among these, SMO and </w:t>
      </w:r>
      <w:r w:rsidR="00290BB9">
        <w:t>b</w:t>
      </w:r>
      <w:r>
        <w:t>agging using SMO demonstrated superior performance, especially when combined with rich feature sets like Volume + Company and NASDAQ + S&amp;P + Company. The ensemble approach of bagging helped improve generalization and robustness against overfitting.</w:t>
      </w:r>
    </w:p>
    <w:p w14:paraId="2DCDF6DC" w14:textId="2097915E" w:rsidR="00E87FD0" w:rsidRPr="00597ED3" w:rsidRDefault="00E87FD0" w:rsidP="00E87FD0">
      <w:r>
        <w:t xml:space="preserve">In contrast, while neural networks are often </w:t>
      </w:r>
      <w:r w:rsidR="009C4FDE">
        <w:t>favoured</w:t>
      </w:r>
      <w:r>
        <w:t xml:space="preserve"> for financial </w:t>
      </w:r>
      <w:r w:rsidR="009C4FDE">
        <w:t>modelling</w:t>
      </w:r>
      <w:r>
        <w:t xml:space="preserve"> due to their flexibility, their performance in this study was subpar. The authors attributed this to insufficient tuning and a potential mismatch with the chosen features or architecture. They suggested that, with proper hyperparameter optimization, neural networks could perform competitively</w:t>
      </w:r>
      <w:r w:rsidR="002243D0">
        <w:t xml:space="preserve"> (Bonde et al., 2012)</w:t>
      </w:r>
      <w:r>
        <w:t>.</w:t>
      </w:r>
    </w:p>
    <w:p w14:paraId="21E1BC77" w14:textId="77C0D40B" w:rsidR="0013082B" w:rsidRDefault="007105ED" w:rsidP="0013082B">
      <w:pPr>
        <w:pStyle w:val="Heading3"/>
      </w:pPr>
      <w:bookmarkStart w:id="8" w:name="_Toc204515563"/>
      <w:r>
        <w:t>Key Crash Indicator</w:t>
      </w:r>
      <w:bookmarkEnd w:id="8"/>
    </w:p>
    <w:p w14:paraId="78B6F57A" w14:textId="7C97E29F"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w:t>
      </w:r>
      <w:r w:rsidR="003012B6" w:rsidRPr="009A3A51">
        <w:t>.</w:t>
      </w:r>
      <w:r w:rsidR="00307312">
        <w:t xml:space="preserve"> </w:t>
      </w:r>
      <w:r w:rsidR="009C3892">
        <w:t>Nonetheless</w:t>
      </w:r>
      <w:r w:rsidR="00307312" w:rsidRPr="00307312">
        <w:t>, early warning models also extend to other types of financial crises,</w:t>
      </w:r>
      <w:r w:rsidR="007873D8">
        <w:t xml:space="preserve"> </w:t>
      </w:r>
      <w:r w:rsidR="00307312" w:rsidRPr="00307312">
        <w:t xml:space="preserve">such as currency and sovereign debt. Kaminsky and Reinhart (1999), for example, define currency crises </w:t>
      </w:r>
      <w:r w:rsidR="007873D8">
        <w:t>based on</w:t>
      </w:r>
      <w:r w:rsidR="00307312" w:rsidRPr="00307312">
        <w:t xml:space="preserve"> a sharp depreciation of the exchange rate coupled with reserve losses, using an exchange market pressure index. Bussière and Fratzscher (2006) extend this framework to sovereign debt crises by incorporating a wide range of macroeconomic variables, flagging a crisis when key thresholds are breached.</w:t>
      </w:r>
    </w:p>
    <w:p w14:paraId="1231C340" w14:textId="51260C86" w:rsidR="0013082B" w:rsidRDefault="002D122D" w:rsidP="0013082B">
      <w:r>
        <w:t>In addition, v</w:t>
      </w:r>
      <w:r w:rsidR="007105ED">
        <w:t xml:space="preserve">olatility </w:t>
      </w:r>
      <w:r>
        <w:t xml:space="preserve">also </w:t>
      </w:r>
      <w:r w:rsidR="007105ED">
        <w:t>remains one of the most important indicators in crash prediction research. To flag the potential financial instability, both realized volatility (</w:t>
      </w:r>
      <w:r w:rsidR="007105ED" w:rsidRPr="007105ED">
        <w:t>observed historical price variability</w:t>
      </w:r>
      <w:r w:rsidR="007105ED">
        <w:t xml:space="preserve">) and </w:t>
      </w:r>
      <w:r w:rsidR="00A82547">
        <w:t>price-volatility feedback rate</w:t>
      </w:r>
      <w:r w:rsidR="007105ED">
        <w:t xml:space="preserve"> have been used </w:t>
      </w:r>
      <w:r w:rsidR="007105ED" w:rsidRPr="007105ED">
        <w:t>(Allaj &amp; Sanfelici, 2023)</w:t>
      </w:r>
      <w:r w:rsidR="007105ED">
        <w:t>. Pattern of increased volatility generally precede market downturns, making it useful for</w:t>
      </w:r>
      <w:r w:rsidR="00A91FA6">
        <w:t xml:space="preserve"> early warning system </w:t>
      </w:r>
      <w:r w:rsidR="007105ED">
        <w:t>frameworks.</w:t>
      </w:r>
    </w:p>
    <w:p w14:paraId="1AFA561C" w14:textId="26801D64" w:rsidR="00F92A86" w:rsidRDefault="00F92A86" w:rsidP="0013082B">
      <w:r>
        <w:lastRenderedPageBreak/>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722CDBD9" w:rsidR="009A3A51" w:rsidRDefault="00574B03" w:rsidP="009A3A51">
      <w:r>
        <w:t xml:space="preserve">A </w:t>
      </w:r>
      <w:r w:rsidR="002E0BD3">
        <w:t xml:space="preserve">recent </w:t>
      </w:r>
      <w:r>
        <w:t xml:space="preserve">study by Le (2024) examined the effectiveness of combining multiple VaR and ES forecasting models in the context of the Vietnamese stock market. The research found that </w:t>
      </w:r>
      <w:r w:rsidRPr="003012B6">
        <w:t>forecast combination techniques</w:t>
      </w:r>
      <w:r>
        <w:t>, such as weighted averaging of outputs from different models (e.g., GARCH</w:t>
      </w:r>
      <w:r w:rsidR="00356EEE">
        <w:t xml:space="preserve"> (</w:t>
      </w:r>
      <w:r w:rsidR="00356EEE" w:rsidRPr="00BA6232">
        <w:t>Bollerslev, 1986</w:t>
      </w:r>
      <w:r w:rsidR="00356EEE">
        <w:rPr>
          <w:sz w:val="20"/>
          <w:szCs w:val="20"/>
        </w:rPr>
        <w:t>)</w:t>
      </w:r>
      <w:r>
        <w:t xml:space="preserve">, </w:t>
      </w:r>
      <w:r w:rsidR="001E03E7">
        <w:t xml:space="preserve">and </w:t>
      </w:r>
      <w:r>
        <w:t>CAViaR</w:t>
      </w:r>
      <w:r w:rsidR="00964BE1">
        <w:t xml:space="preserve"> (</w:t>
      </w:r>
      <w:r w:rsidR="00964BE1" w:rsidRPr="00BA6232">
        <w:t>Engle et al., 2004</w:t>
      </w:r>
      <w:r>
        <w:t xml:space="preserve">),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(Le, 2024)</w:t>
      </w:r>
      <w:r>
        <w:t>.</w:t>
      </w:r>
    </w:p>
    <w:p w14:paraId="6BAEFB04" w14:textId="225557B2" w:rsidR="00D8089C" w:rsidRDefault="00D8089C" w:rsidP="00D8089C">
      <w:pPr>
        <w:pStyle w:val="Heading3"/>
      </w:pPr>
      <w:bookmarkStart w:id="9" w:name="_Toc204515564"/>
      <w:r>
        <w:t>Lags</w:t>
      </w:r>
      <w:r w:rsidR="003A4EAB">
        <w:t xml:space="preserve"> Selection</w:t>
      </w:r>
      <w:bookmarkEnd w:id="9"/>
    </w:p>
    <w:p w14:paraId="56DF71EF" w14:textId="1540BF25" w:rsidR="00B42270" w:rsidRPr="00B42270" w:rsidRDefault="00B42270" w:rsidP="00B42270">
      <w:r w:rsidRPr="00B42270">
        <w:t xml:space="preserve">In time series analysis, lags </w:t>
      </w:r>
      <w:r w:rsidR="00E5162E">
        <w:t>involve using</w:t>
      </w:r>
      <w:r w:rsidRPr="00B42270">
        <w:t xml:space="preserve"> past </w:t>
      </w:r>
      <w:r w:rsidR="00E5162E">
        <w:t>data points</w:t>
      </w:r>
      <w:r w:rsidRPr="00B42270">
        <w:t xml:space="preserve"> </w:t>
      </w:r>
      <w:r w:rsidR="00E5162E">
        <w:t>to</w:t>
      </w:r>
      <w:r w:rsidRPr="00B42270">
        <w:t xml:space="preserve"> predict </w:t>
      </w:r>
      <w:r w:rsidR="00E5162E">
        <w:t>the</w:t>
      </w:r>
      <w:r w:rsidRPr="00B42270">
        <w:t xml:space="preserve"> future values. Specifically, a lagged variable is a prior value of the same variable, shifted backward in time by a specific number of time steps. The purpose of </w:t>
      </w:r>
      <w:r w:rsidR="006C7A10">
        <w:t xml:space="preserve">including </w:t>
      </w:r>
      <w:r w:rsidRPr="00B42270">
        <w:t xml:space="preserve">lags is to capture the temporal dependencies, persistence, or </w:t>
      </w:r>
      <w:r w:rsidR="006C7A10">
        <w:t>self-</w:t>
      </w:r>
      <w:r w:rsidRPr="00B42270">
        <w:t xml:space="preserve">correlation </w:t>
      </w:r>
      <w:r w:rsidR="006C7A10">
        <w:t xml:space="preserve">which commonly found </w:t>
      </w:r>
      <w:r w:rsidRPr="00B42270">
        <w:t xml:space="preserve">in sequential data such as </w:t>
      </w:r>
      <w:r w:rsidR="00D17FF4">
        <w:t>stock</w:t>
      </w:r>
      <w:r w:rsidRPr="00B42270">
        <w:t xml:space="preserve"> returns, volatility, or macroeconomic indicators (Box, Jenkins, &amp; Reinsel, 2008).</w:t>
      </w:r>
    </w:p>
    <w:p w14:paraId="67E62DD3" w14:textId="3F777B84" w:rsidR="00D8089C" w:rsidRPr="00D8089C" w:rsidRDefault="007646BF" w:rsidP="00D8089C">
      <w:r w:rsidRPr="007646BF">
        <w:t>The choice of how many</w:t>
      </w:r>
      <w:r w:rsidR="00ED79D3">
        <w:t xml:space="preserve"> lags</w:t>
      </w:r>
      <w:r w:rsidRPr="007646BF">
        <w:t xml:space="preserve"> to include directly impacts a model’s ability to capture relevant temporal dependencies. Parras-Gutiérrez et al. (2014) addressed this issue in the context of short-, medium-, and long-term time series forecasting using the L-Co-R algorithm, which incorporates a cooperative</w:t>
      </w:r>
      <w:r>
        <w:t>-</w:t>
      </w:r>
      <w:r w:rsidRPr="007646BF">
        <w:t xml:space="preserve">competitive evolutionary strategy to automatically select appropriate lags. Their approach revealed that lag structures </w:t>
      </w:r>
      <w:r w:rsidR="00E5188C" w:rsidRPr="007646BF">
        <w:t>reflect</w:t>
      </w:r>
      <w:r w:rsidRPr="007646BF">
        <w:t xml:space="preserve"> a broader challenge in time series </w:t>
      </w:r>
      <w:r w:rsidR="00526217" w:rsidRPr="007646BF">
        <w:t>modelling</w:t>
      </w:r>
      <w:r w:rsidRPr="007646BF">
        <w:t xml:space="preserve">: too few lags may underfit, missing important dependencies, while too many lags may lead to overfitting or increased computational complexity. The study emphasizes that adaptive or data-driven lag selection methods, such as genetic algorithms or information-theoretic criteria (e.g., </w:t>
      </w:r>
      <w:r w:rsidR="00FA1276" w:rsidRPr="00FA1276">
        <w:t xml:space="preserve">Akaike </w:t>
      </w:r>
      <w:r w:rsidR="00AA4BFE">
        <w:t>I</w:t>
      </w:r>
      <w:r w:rsidR="00FA1276" w:rsidRPr="00FA1276">
        <w:t xml:space="preserve">nformation </w:t>
      </w:r>
      <w:r w:rsidR="00AA4BFE">
        <w:t>C</w:t>
      </w:r>
      <w:r w:rsidR="00FA1276" w:rsidRPr="00FA1276">
        <w:t>riterion (AIC)</w:t>
      </w:r>
      <w:r w:rsidRPr="007646BF">
        <w:t>,</w:t>
      </w:r>
      <w:r w:rsidR="00AF347B">
        <w:t xml:space="preserve"> </w:t>
      </w:r>
      <w:r w:rsidR="00F85F65" w:rsidRPr="00F85F65">
        <w:t>Bayesian Information Criterion (BIC)</w:t>
      </w:r>
      <w:r w:rsidRPr="007646BF">
        <w:t>), can enhance model generalizability.</w:t>
      </w:r>
    </w:p>
    <w:p w14:paraId="4B0647B6" w14:textId="0111A4C5" w:rsidR="007105ED" w:rsidRDefault="007105ED" w:rsidP="007105ED">
      <w:pPr>
        <w:pStyle w:val="Heading3"/>
      </w:pPr>
      <w:bookmarkStart w:id="10" w:name="_Toc204515565"/>
      <w:r>
        <w:t>Rationale for Focusing on Index-Level Predictions</w:t>
      </w:r>
      <w:bookmarkEnd w:id="10"/>
    </w:p>
    <w:p w14:paraId="4D76CF83" w14:textId="4F248C80"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w:t>
      </w:r>
      <w:r w:rsidR="00BC7E9F">
        <w:t>According to Park et al. (2024), the research</w:t>
      </w:r>
      <w:r w:rsidRPr="00F92A86">
        <w:t xml:space="preserve"> has shown that top-down index forecasts tend to be more accurate and informative than bottom-up aggregation of individual stock predictions, particularly for systemic risk assessmen</w:t>
      </w:r>
      <w:r w:rsidR="00B22851">
        <w:t>t</w:t>
      </w:r>
      <w:r w:rsidRPr="00F92A86">
        <w:t xml:space="preserve">. By concentrating on index-level sentiment and market volatility, the model can better capture macro-level signals that reflect </w:t>
      </w:r>
      <w:r w:rsidR="00590AB5">
        <w:t>wide-range</w:t>
      </w:r>
      <w:r w:rsidRPr="00F92A86">
        <w:t xml:space="preserve"> market conditions</w:t>
      </w:r>
      <w:r w:rsidR="003C6245">
        <w:t xml:space="preserve"> (Park et al., 2024)</w:t>
      </w:r>
      <w:r w:rsidRPr="00F92A86">
        <w:t>.</w:t>
      </w:r>
    </w:p>
    <w:p w14:paraId="70DDFD7C" w14:textId="26D7D913" w:rsidR="009A291A" w:rsidRDefault="009A291A" w:rsidP="009A291A">
      <w:pPr>
        <w:pStyle w:val="Heading3"/>
      </w:pPr>
      <w:bookmarkStart w:id="11" w:name="_Toc204515566"/>
      <w:r>
        <w:t>L</w:t>
      </w:r>
      <w:r w:rsidRPr="009A291A">
        <w:t>imitations in Crash Prediction</w:t>
      </w:r>
      <w:bookmarkEnd w:id="11"/>
    </w:p>
    <w:p w14:paraId="058A72B7" w14:textId="163B04E2" w:rsidR="009A291A" w:rsidRDefault="005B4F7E" w:rsidP="009A291A">
      <w:r>
        <w:t>A</w:t>
      </w:r>
      <w:r w:rsidR="009A291A">
        <w:t>s highlighted by Andreou</w:t>
      </w:r>
      <w:r>
        <w:t xml:space="preserve"> et al.</w:t>
      </w:r>
      <w:r w:rsidR="009A291A">
        <w:t xml:space="preserve"> (2019)</w:t>
      </w:r>
      <w:r>
        <w:t>, a</w:t>
      </w:r>
      <w:r w:rsidR="009A291A">
        <w:t xml:space="preserve"> major concern is the widespread reliance on annual distress risk measures, which may overlook short-term fluctuations that are more relevant to crash events. By using monthly data, the authors </w:t>
      </w:r>
      <w:r w:rsidR="009A291A">
        <w:lastRenderedPageBreak/>
        <w:t>demonstrate that short-term increases in distress risk significantly predict future crashes</w:t>
      </w:r>
      <w:r w:rsidR="00D519C4">
        <w:t>,</w:t>
      </w:r>
      <w:r w:rsidR="009A291A">
        <w:t xml:space="preserve"> </w:t>
      </w:r>
      <w:r w:rsidR="00D519C4">
        <w:t xml:space="preserve">which </w:t>
      </w:r>
      <w:r w:rsidR="009A291A">
        <w:t xml:space="preserve">earlier studies likely missed due to insufficient temporal resolution. </w:t>
      </w:r>
      <w:r w:rsidR="00FF4A47" w:rsidRPr="00FF4A47">
        <w:t>Another key limitation is the lack of proper treatment for endogeneity, including reverse causality and missing variable bias, which the authors address through instrumental variable methods and a quasi-experimental design using the Sarbanes–Oxley Act</w:t>
      </w:r>
      <w:r w:rsidR="00AF70CC">
        <w:t xml:space="preserve"> of 2002</w:t>
      </w:r>
      <w:r w:rsidR="00396910">
        <w:t xml:space="preserve"> (Lander, 2002)</w:t>
      </w:r>
      <w:r w:rsidR="00FF4A47" w:rsidRPr="00FF4A47">
        <w:t>.</w:t>
      </w:r>
    </w:p>
    <w:p w14:paraId="37A238B2" w14:textId="6558EE6F" w:rsidR="009A291A" w:rsidRDefault="004B405E" w:rsidP="009A291A">
      <w:r w:rsidRPr="004B405E">
        <w:t>The literature also falls short in explaining the basic mechanisms of crash risk, particularly the role of managers hiding bad news during difficult periods. While financial opacity and information gaps have been recognized, their interaction with distress risk has rarely been tested in practice. Moreover, crash risk is often undervalued in real-world situations, despite being non-diversifiable</w:t>
      </w:r>
      <w:r>
        <w:t xml:space="preserve">, </w:t>
      </w:r>
      <w:r w:rsidRPr="004B405E">
        <w:t>a crucial difference from volatility risk that poses significant threats especially to poorly diversified retail investors</w:t>
      </w:r>
      <w:r w:rsidR="009A291A">
        <w:t xml:space="preserve">. The limited attention to earnings smoothing strategies and </w:t>
      </w:r>
      <w:r w:rsidRPr="004B405E">
        <w:t>unclear financial reporting</w:t>
      </w:r>
      <w:r>
        <w:t xml:space="preserve"> </w:t>
      </w:r>
      <w:r w:rsidR="009A291A">
        <w:t>further weakens the explanatory power of many models</w:t>
      </w:r>
      <w:r w:rsidR="00DF2A88">
        <w:t xml:space="preserve"> </w:t>
      </w:r>
      <w:r w:rsidR="00782B14">
        <w:t>(Andreou et al., 2019)</w:t>
      </w:r>
      <w:r w:rsidR="00661FFA" w:rsidRPr="00661FFA">
        <w:t>.</w:t>
      </w:r>
    </w:p>
    <w:p w14:paraId="4FD78441" w14:textId="5F014798" w:rsidR="00933CD9" w:rsidRPr="00991ADD" w:rsidRDefault="00E0335B" w:rsidP="00933CD9">
      <w:pPr>
        <w:pStyle w:val="Heading2"/>
      </w:pPr>
      <w:bookmarkStart w:id="12" w:name="_Toc204515567"/>
      <w:r>
        <w:t>Research Objectives</w:t>
      </w:r>
      <w:bookmarkEnd w:id="12"/>
    </w:p>
    <w:p w14:paraId="2A92161B" w14:textId="26FF6041" w:rsidR="00E0335B" w:rsidRDefault="00AD5149" w:rsidP="00E0335B">
      <w:r w:rsidRPr="00AD5149">
        <w:t xml:space="preserve">The goal of this project is to assess the following </w:t>
      </w:r>
      <w:r>
        <w:t>objectives</w:t>
      </w:r>
      <w:r w:rsidR="00E0335B">
        <w:t>:</w:t>
      </w:r>
    </w:p>
    <w:p w14:paraId="57ECD91A" w14:textId="7565D340" w:rsidR="00933CD9" w:rsidRDefault="00ED70E6" w:rsidP="00ED70E6">
      <w:pPr>
        <w:pStyle w:val="ListParagraph"/>
        <w:numPr>
          <w:ilvl w:val="0"/>
          <w:numId w:val="39"/>
        </w:numPr>
      </w:pPr>
      <w:r w:rsidRPr="00ED70E6">
        <w:t>To investigate the contribution of both market-based and sentiment-based volatility indicators to financial crash prediction by evaluating their feature importance</w:t>
      </w:r>
      <w:r w:rsidR="00933CD9">
        <w:t>.</w:t>
      </w:r>
    </w:p>
    <w:p w14:paraId="68FEE2A1" w14:textId="104D4DE9" w:rsidR="00933CD9" w:rsidRDefault="00933CD9" w:rsidP="00933CD9">
      <w:pPr>
        <w:pStyle w:val="ListParagraph"/>
        <w:numPr>
          <w:ilvl w:val="0"/>
          <w:numId w:val="39"/>
        </w:numPr>
      </w:pPr>
      <w:r w:rsidRPr="005F1A9F">
        <w:t>To develop a dynamic modelling framework</w:t>
      </w:r>
      <w:r>
        <w:t xml:space="preserve"> to capture the evolving relationship between sentiment-driven and market-based volatility indicators.</w:t>
      </w:r>
    </w:p>
    <w:p w14:paraId="3166B7A0" w14:textId="4A9190F5" w:rsidR="00933CD9" w:rsidRDefault="00933CD9" w:rsidP="00933CD9">
      <w:pPr>
        <w:pStyle w:val="ListParagraph"/>
        <w:numPr>
          <w:ilvl w:val="0"/>
          <w:numId w:val="39"/>
        </w:numPr>
      </w:pPr>
      <w:r w:rsidRPr="005F1A9F">
        <w:t>To evaluate and compare</w:t>
      </w:r>
      <w:r>
        <w:t xml:space="preserve"> the predictive performance of the proposed dynamic </w:t>
      </w:r>
      <w:r w:rsidR="00192A7A">
        <w:t>early warning system</w:t>
      </w:r>
      <w:r>
        <w:t xml:space="preserve">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5F1A9F">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bookmarkStart w:id="13" w:name="_Toc204515568"/>
      <w:r>
        <w:t>Research Questions</w:t>
      </w:r>
      <w:bookmarkEnd w:id="13"/>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119231F1" w:rsidR="00991ADD" w:rsidRDefault="00991ADD" w:rsidP="00991ADD">
      <w:pPr>
        <w:pStyle w:val="ListParagraph"/>
        <w:numPr>
          <w:ilvl w:val="0"/>
          <w:numId w:val="42"/>
        </w:numPr>
      </w:pPr>
      <w:r>
        <w:t>Can a dynamic early warning system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30B25204" w14:textId="64F8D1F7" w:rsidR="00D21090" w:rsidRDefault="00991ADD" w:rsidP="00D22E00">
      <w:pPr>
        <w:pStyle w:val="ListParagraph"/>
        <w:numPr>
          <w:ilvl w:val="0"/>
          <w:numId w:val="42"/>
        </w:numPr>
      </w:pPr>
      <w:r>
        <w:t xml:space="preserve">Is the proposed dynamic </w:t>
      </w:r>
      <w:r w:rsidR="009936E9">
        <w:t>early warning system</w:t>
      </w:r>
      <w:r>
        <w:t xml:space="preserve"> model robust and generalizable across different market conditions and historical crisis periods?</w:t>
      </w:r>
    </w:p>
    <w:bookmarkEnd w:id="4"/>
    <w:p w14:paraId="30EE3BC4" w14:textId="77777777" w:rsidR="00EC6EBE" w:rsidRPr="007C0AB9" w:rsidRDefault="00EC6EBE" w:rsidP="00EC6EBE"/>
    <w:p w14:paraId="2AFDCCA7" w14:textId="29A8CD9C" w:rsidR="008B6CA7" w:rsidRPr="007C0AB9" w:rsidRDefault="00EB5245" w:rsidP="00F72F7C">
      <w:pPr>
        <w:pStyle w:val="Heading1"/>
      </w:pPr>
      <w:bookmarkStart w:id="14" w:name="_Toc204515569"/>
      <w:r>
        <w:lastRenderedPageBreak/>
        <w:t>Design and Implementation</w:t>
      </w:r>
      <w:bookmarkEnd w:id="14"/>
    </w:p>
    <w:p w14:paraId="5503C140" w14:textId="2AE6AA79" w:rsidR="00686C74" w:rsidRDefault="00686C74" w:rsidP="00686C74">
      <w:pPr>
        <w:pStyle w:val="Heading2"/>
      </w:pPr>
      <w:bookmarkStart w:id="15" w:name="_Toc204515570"/>
      <w:r>
        <w:t>Data Collection and Prep</w:t>
      </w:r>
      <w:r w:rsidR="009D3525">
        <w:t>rocessing</w:t>
      </w:r>
      <w:bookmarkEnd w:id="15"/>
    </w:p>
    <w:p w14:paraId="5AE324CB" w14:textId="40DBBF4C" w:rsidR="00463C2A" w:rsidRDefault="00463C2A" w:rsidP="00463C2A">
      <w:r>
        <w:t>For this study, the dataset S&amp;P 500 with Financial News Headlines (2008-2024)</w:t>
      </w:r>
      <w:r w:rsidR="008116D3">
        <w:rPr>
          <w:rStyle w:val="FootnoteReference"/>
        </w:rPr>
        <w:footnoteReference w:id="2"/>
      </w:r>
      <w:r>
        <w:t xml:space="preserve"> was utilized, which is publicly available on Kaggle. This dataset combines daily S&amp;P 500 stock market data with corresponding financial news headlines, enabling the analysis of market </w:t>
      </w:r>
      <w:r w:rsidR="00EC6EBE">
        <w:t>behaviour</w:t>
      </w:r>
      <w:r>
        <w:t xml:space="preserve"> alongside sentiment-driven news information.</w:t>
      </w:r>
      <w:r w:rsidR="00EC6EBE">
        <w:t xml:space="preserve"> </w:t>
      </w:r>
      <w:r>
        <w:t>The dataset covers the period from August 2008 through 2024, providing a comprehensive view of the S&amp;P 500's price movements along with market-relevant news during this period.</w:t>
      </w:r>
    </w:p>
    <w:p w14:paraId="57075CE2" w14:textId="77777777" w:rsidR="00463C2A" w:rsidRDefault="00463C2A" w:rsidP="00463C2A">
      <w:pPr>
        <w:pStyle w:val="Heading3"/>
      </w:pPr>
      <w:bookmarkStart w:id="16" w:name="_Toc204515571"/>
      <w:r>
        <w:t>Dataset Structure and Columns</w:t>
      </w:r>
      <w:bookmarkEnd w:id="16"/>
    </w:p>
    <w:p w14:paraId="55171274" w14:textId="77777777" w:rsidR="00463C2A" w:rsidRDefault="00463C2A" w:rsidP="00463C2A">
      <w:r>
        <w:t>The dataset consists of multiple columns, which can be broadly categorized into market data and news headlines:</w:t>
      </w:r>
    </w:p>
    <w:p w14:paraId="331B3388" w14:textId="3594C34C" w:rsidR="002260D9" w:rsidRDefault="002260D9" w:rsidP="002260D9">
      <w:pPr>
        <w:pStyle w:val="ListParagraph"/>
        <w:numPr>
          <w:ilvl w:val="0"/>
          <w:numId w:val="44"/>
        </w:numPr>
      </w:pPr>
      <w:r>
        <w:t>Title: This column includes the financial news headline(s) published on the respective trading date. These headlines reflect the key news events, market sentiments, or significant announcements that could potentially influence investor behaviour and market movements.</w:t>
      </w:r>
    </w:p>
    <w:p w14:paraId="575C2249" w14:textId="05E16638" w:rsidR="00463C2A" w:rsidRDefault="00463C2A" w:rsidP="002260D9">
      <w:pPr>
        <w:pStyle w:val="ListParagraph"/>
        <w:numPr>
          <w:ilvl w:val="0"/>
          <w:numId w:val="44"/>
        </w:numPr>
      </w:pPr>
      <w:r>
        <w:t xml:space="preserve">Date: This column records the trading date in the format YYYY-MM-DD. It corresponds to the actual days when the S&amp;P 500 market was </w:t>
      </w:r>
      <w:r w:rsidR="00EC6EBE">
        <w:t>open,</w:t>
      </w:r>
      <w:r>
        <w:t xml:space="preserve"> and trading took place.</w:t>
      </w:r>
    </w:p>
    <w:p w14:paraId="7DE00C80" w14:textId="40F783A0" w:rsidR="00463C2A" w:rsidRDefault="00463C2A" w:rsidP="00463C2A">
      <w:pPr>
        <w:pStyle w:val="ListParagraph"/>
        <w:numPr>
          <w:ilvl w:val="0"/>
          <w:numId w:val="44"/>
        </w:numPr>
      </w:pPr>
      <w:r>
        <w:t>C</w:t>
      </w:r>
      <w:r w:rsidR="00B3624E">
        <w:t>P</w:t>
      </w:r>
      <w:r>
        <w:t>: This column provides the closing price of the S&amp;P 500 index on the given trading date</w:t>
      </w:r>
      <w:r w:rsidR="00EC6EBE">
        <w:t>,</w:t>
      </w:r>
      <w:r>
        <w:t xml:space="preserve"> representing the final price at which the index traded on that day</w:t>
      </w:r>
      <w:r w:rsidR="00EC6EBE">
        <w:t>.</w:t>
      </w:r>
    </w:p>
    <w:p w14:paraId="0F3445F5" w14:textId="7B793E0E" w:rsidR="00322351" w:rsidRDefault="00322351" w:rsidP="00322351">
      <w:pPr>
        <w:pStyle w:val="Heading3"/>
      </w:pPr>
      <w:bookmarkStart w:id="17" w:name="_Toc204515572"/>
      <w:r>
        <w:t>Labelling Crash Events</w:t>
      </w:r>
      <w:bookmarkEnd w:id="17"/>
    </w:p>
    <w:p w14:paraId="62226425" w14:textId="2349A4D5" w:rsidR="00322351" w:rsidRDefault="00322351" w:rsidP="00322351">
      <w:r w:rsidRPr="00322351">
        <w:t>To identify potential future market crashes within the dataset, we introduce a labelling method that flags whether a significant drop in the S&amp;P 500 closing price occurs within a defined future period. This approach allows us to create a binary target variable indicating the presence or absence of a market crash after a given trading day.</w:t>
      </w:r>
    </w:p>
    <w:p w14:paraId="255BB97B" w14:textId="552E4ABD" w:rsidR="001D6245" w:rsidRDefault="001D6245" w:rsidP="001D6245">
      <w:r>
        <w:t>The key parameters in this labelling process are:</w:t>
      </w:r>
    </w:p>
    <w:p w14:paraId="7A7BB02A" w14:textId="08D28778" w:rsidR="001D6245" w:rsidRDefault="001D6245" w:rsidP="001D6245">
      <w:pPr>
        <w:pStyle w:val="ListParagraph"/>
        <w:numPr>
          <w:ilvl w:val="0"/>
          <w:numId w:val="45"/>
        </w:numPr>
      </w:pPr>
      <w:r>
        <w:t xml:space="preserve">Look-ahead period: The number of trading days into the future over which we examine the price drop. Given approximately 252 trading days in a year, this value is set to 252 to </w:t>
      </w:r>
      <w:r w:rsidR="00133BF2">
        <w:t>analyse</w:t>
      </w:r>
      <w:r>
        <w:t xml:space="preserve"> a one-year ahead horizon.</w:t>
      </w:r>
    </w:p>
    <w:p w14:paraId="35BF727A" w14:textId="4342BAEE" w:rsidR="001D6245" w:rsidRDefault="001D6245" w:rsidP="001D6245">
      <w:pPr>
        <w:pStyle w:val="ListParagraph"/>
        <w:numPr>
          <w:ilvl w:val="0"/>
          <w:numId w:val="45"/>
        </w:numPr>
      </w:pPr>
      <w:r>
        <w:t xml:space="preserve">Drop threshold: The fractional threshold that defines a crash. If the future closing price drops below this fraction of the current closing price, a crash is </w:t>
      </w:r>
      <w:r w:rsidR="00133BF2">
        <w:t>labelled</w:t>
      </w:r>
      <w:r>
        <w:t>. For example, a threshold of 0.9 corresponds to a 10% decline.</w:t>
      </w:r>
    </w:p>
    <w:p w14:paraId="2F34E77A" w14:textId="05BF08CE" w:rsidR="0033396C" w:rsidRDefault="00BE6F54" w:rsidP="009D3525">
      <w:pPr>
        <w:pStyle w:val="Heading3"/>
      </w:pPr>
      <w:bookmarkStart w:id="18" w:name="_Toc204515573"/>
      <w:r>
        <w:t xml:space="preserve">Data Splitting and </w:t>
      </w:r>
      <w:r w:rsidR="007A55F8" w:rsidRPr="007A55F8">
        <w:t>Class Imbalance</w:t>
      </w:r>
      <w:r w:rsidR="00C41707">
        <w:t xml:space="preserve"> Handling</w:t>
      </w:r>
      <w:bookmarkEnd w:id="18"/>
    </w:p>
    <w:p w14:paraId="3741BEF7" w14:textId="20CAC189" w:rsidR="004B71D9" w:rsidRDefault="00155D49" w:rsidP="0033396C">
      <w:r w:rsidRPr="00155D49">
        <w:t xml:space="preserve">The dataset was divided into training and testing portions using a time-based approach to maintain proper temporal sequence and prevent information leakage. </w:t>
      </w:r>
      <w:r w:rsidRPr="00155D49">
        <w:lastRenderedPageBreak/>
        <w:t xml:space="preserve">Data collected from </w:t>
      </w:r>
      <w:r w:rsidR="005650F0">
        <w:t>02/01/2008</w:t>
      </w:r>
      <w:r w:rsidRPr="00155D49">
        <w:t xml:space="preserve"> to</w:t>
      </w:r>
      <w:r w:rsidR="005650F0">
        <w:t xml:space="preserve"> 31/12/2021</w:t>
      </w:r>
      <w:r w:rsidRPr="00155D49">
        <w:t xml:space="preserve"> formed the training dataset, while </w:t>
      </w:r>
      <w:r w:rsidR="00147298">
        <w:t>data</w:t>
      </w:r>
      <w:r w:rsidRPr="00155D49">
        <w:t xml:space="preserve"> from </w:t>
      </w:r>
      <w:r w:rsidR="005650F0">
        <w:t xml:space="preserve">01/01/2022 to 04/03/2024 </w:t>
      </w:r>
      <w:r w:rsidRPr="00155D49">
        <w:t xml:space="preserve">constituted the test dataset. However, there is a notable temporal skew in the distribution of crash events within this split. Of the 807 total crash instances, 539 (66.79%) occurred in the pre-2022 training period, while only 268 crashes were recorded in the post-2022 testing period. This imbalance is particularly significant considering that the post-2022 period represents 41.37% of the total data (7,912 out of 19,127 observations). The lower frequency of crash labels in more recent data poses a challenge for time-based evaluation methods, as test sets drawn from the post-2022 period may contain insufficient crash events, potentially leading to undefined performance metrics (e.g., </w:t>
      </w:r>
      <w:r w:rsidR="00FB7475">
        <w:t xml:space="preserve">Area Under the </w:t>
      </w:r>
      <w:r w:rsidR="008F2B4E">
        <w:t xml:space="preserve">ROC </w:t>
      </w:r>
      <w:r w:rsidR="00FB7475">
        <w:t>Curve (</w:t>
      </w:r>
      <w:r w:rsidRPr="00155D49">
        <w:t>AUC</w:t>
      </w:r>
      <w:r w:rsidR="00FB7475">
        <w:t>)</w:t>
      </w:r>
      <w:r w:rsidRPr="00155D49">
        <w:t>) and biased assessments of model performance. To address this issue and ensure valid evaluation, the train-test split was carefully adjusted to guarantee that the test set contains adequate instances of the minority class.</w:t>
      </w:r>
    </w:p>
    <w:p w14:paraId="5C0B5B56" w14:textId="031E0775" w:rsidR="00BB5179" w:rsidRDefault="00BB5179" w:rsidP="0033396C">
      <w:r>
        <w:t xml:space="preserve">In addition, </w:t>
      </w:r>
      <w:r w:rsidR="00A837B6">
        <w:t>t</w:t>
      </w:r>
      <w:r w:rsidRPr="0033396C">
        <w:t xml:space="preserve">o mitigate </w:t>
      </w:r>
      <w:r w:rsidR="00A837B6">
        <w:t>the highly imbalanced</w:t>
      </w:r>
      <w:r w:rsidRPr="0033396C">
        <w:t xml:space="preserve"> issue</w:t>
      </w:r>
      <w:r w:rsidR="00A837B6">
        <w:t xml:space="preserve"> with only 4.22% of crash instances</w:t>
      </w:r>
      <w:r w:rsidRPr="0033396C">
        <w:t>, we apply the Synthetic Minority Over-sampling Technique (SMOTE)</w:t>
      </w:r>
      <w:r w:rsidR="00C32A20">
        <w:t xml:space="preserve"> from imbalanced learn package</w:t>
      </w:r>
      <w:r w:rsidR="00E7340B">
        <w:rPr>
          <w:rStyle w:val="FootnoteReference"/>
        </w:rPr>
        <w:footnoteReference w:id="3"/>
      </w:r>
      <w:r w:rsidRPr="0033396C">
        <w:t>, a widely used resampling method that generates synthetic examples of the minority class based on feature space similarities between existing minority instances</w:t>
      </w:r>
      <w:r>
        <w:t xml:space="preserve"> (</w:t>
      </w:r>
      <w:r w:rsidRPr="00824480">
        <w:t>Chawla et al.</w:t>
      </w:r>
      <w:r>
        <w:t>,</w:t>
      </w:r>
      <w:r w:rsidRPr="00824480">
        <w:t xml:space="preserve"> 2002</w:t>
      </w:r>
      <w:r>
        <w:t>)</w:t>
      </w:r>
      <w:r w:rsidRPr="0033396C">
        <w:t>. By interpolating new samples rather than simply duplicating existing ones, SMOTE improves the generalizability of the model and helps it learn decision boundaries that are more representative of both classes</w:t>
      </w:r>
      <w:r>
        <w:t xml:space="preserve"> </w:t>
      </w:r>
      <w:r w:rsidRPr="00824480">
        <w:t>(Budhidharma et al., 2023)</w:t>
      </w:r>
      <w:r w:rsidRPr="0033396C">
        <w:t>.</w:t>
      </w:r>
    </w:p>
    <w:p w14:paraId="62EB6A60" w14:textId="650976B8" w:rsidR="00B57362" w:rsidRDefault="00B57362" w:rsidP="00B57362">
      <w:pPr>
        <w:pStyle w:val="Heading3"/>
      </w:pPr>
      <w:r>
        <w:t>Market Volatility</w:t>
      </w:r>
    </w:p>
    <w:p w14:paraId="1126A283" w14:textId="77777777" w:rsidR="00B57362" w:rsidRPr="0079223B" w:rsidRDefault="00B57362" w:rsidP="00B57362">
      <w:pPr>
        <w:rPr>
          <w:lang w:val="en-US"/>
        </w:rPr>
      </w:pPr>
      <w:r w:rsidRPr="0079223B">
        <w:rPr>
          <w:lang w:val="en-US"/>
        </w:rPr>
        <w:t xml:space="preserve">To capture the market’s price variability over different time horizons, we calculate the n-day market volatility </w:t>
      </w:r>
      <m:oMath>
        <m:sSubSup>
          <m:sSubSupPr>
            <m:ctrlPr>
              <w:rPr>
                <w:rFonts w:ascii="Cambria Math" w:hAnsi="Cambria Math"/>
                <w:i/>
                <w:lang w:val="en-US"/>
              </w:rPr>
            </m:ctrlPr>
          </m:sSubSupPr>
          <m:e>
            <m:r>
              <w:rPr>
                <w:rFonts w:ascii="Cambria Math" w:hAnsi="Cambria Math"/>
                <w:lang w:val="en-US"/>
              </w:rPr>
              <m:t>MV</m:t>
            </m:r>
          </m:e>
          <m:sub>
            <m:r>
              <w:rPr>
                <w:rFonts w:ascii="Cambria Math" w:hAnsi="Cambria Math"/>
                <w:lang w:val="en-US"/>
              </w:rPr>
              <m:t>t</m:t>
            </m:r>
          </m:sub>
          <m:sup>
            <m:r>
              <w:rPr>
                <w:rFonts w:ascii="Cambria Math" w:hAnsi="Cambria Math"/>
                <w:lang w:val="en-US"/>
              </w:rPr>
              <m:t>(n)</m:t>
            </m:r>
          </m:sup>
        </m:sSubSup>
      </m:oMath>
      <w:r w:rsidRPr="0079223B">
        <w:rPr>
          <w:lang w:val="en-US"/>
        </w:rPr>
        <w:t xml:space="preserve"> based on the rolling standard deviation of daily returns scaled by the square root of the window length</w:t>
      </w:r>
      <w:r>
        <w:rPr>
          <w:lang w:val="en-US"/>
        </w:rPr>
        <w:t xml:space="preserve"> </w:t>
      </w:r>
      <m:oMath>
        <m:r>
          <w:rPr>
            <w:rFonts w:ascii="Cambria Math" w:hAnsi="Cambria Math"/>
            <w:lang w:val="en-US"/>
          </w:rPr>
          <m:t>n</m:t>
        </m:r>
      </m:oMath>
      <w:r>
        <w:rPr>
          <w:lang w:val="en-US"/>
        </w:rPr>
        <w:t xml:space="preserve">. </w:t>
      </w:r>
      <w:r w:rsidRPr="0079223B">
        <w:rPr>
          <w:lang w:val="en-US"/>
        </w:rPr>
        <w:t>This scaling converts the volatility estimate to the</w:t>
      </w:r>
      <w:r>
        <w:rPr>
          <w:lang w:val="en-US"/>
        </w:rPr>
        <w:t xml:space="preserve"> </w:t>
      </w:r>
      <m:oMath>
        <m:r>
          <w:rPr>
            <w:rFonts w:ascii="Cambria Math" w:hAnsi="Cambria Math"/>
            <w:lang w:val="en-US"/>
          </w:rPr>
          <m:t>n</m:t>
        </m:r>
      </m:oMath>
      <w:r w:rsidRPr="0079223B">
        <w:rPr>
          <w:lang w:val="en-US"/>
        </w:rPr>
        <w:t>-day horizon, assuming returns are independent and identically distributed.</w:t>
      </w:r>
    </w:p>
    <w:p w14:paraId="12354925" w14:textId="77777777" w:rsidR="00B57362" w:rsidRDefault="00B57362" w:rsidP="00B57362">
      <w:pPr>
        <w:rPr>
          <w:lang w:val="en-US"/>
        </w:rPr>
      </w:pPr>
      <w:r w:rsidRPr="0079223B">
        <w:rPr>
          <w:lang w:val="en-US"/>
        </w:rPr>
        <w:t xml:space="preserve">Given daily returns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Pr>
          <w:lang w:val="en-US"/>
        </w:rPr>
        <w:t xml:space="preserve"> </w:t>
      </w:r>
      <w:r w:rsidRPr="0079223B">
        <w:rPr>
          <w:lang w:val="en-US"/>
        </w:rPr>
        <w:t>calculated as the percentage change in closing prices</w:t>
      </w:r>
      <w:r>
        <w:rPr>
          <w:lang w:val="en-US"/>
        </w:rPr>
        <w:t xml:space="preserve"> </w:t>
      </w:r>
      <m:oMath>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oMath>
      <w:r w:rsidRPr="0079223B">
        <w:rPr>
          <w:lang w:val="en-US"/>
        </w:rPr>
        <w:t>:</w:t>
      </w:r>
    </w:p>
    <w:p w14:paraId="2143C3D8" w14:textId="77777777" w:rsidR="00B57362" w:rsidRPr="009E1693" w:rsidRDefault="00000000" w:rsidP="00B57362">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den>
          </m:f>
          <m:r>
            <w:rPr>
              <w:rFonts w:ascii="Cambria Math" w:hAnsi="Cambria Math"/>
              <w:lang w:val="en-US"/>
            </w:rPr>
            <m:t xml:space="preserve"> ×100</m:t>
          </m:r>
        </m:oMath>
      </m:oMathPara>
    </w:p>
    <w:p w14:paraId="3FBD002C" w14:textId="174FC324" w:rsidR="00B57362" w:rsidRDefault="00B57362" w:rsidP="00B57362">
      <w:pPr>
        <w:rPr>
          <w:lang w:val="en-US"/>
        </w:rPr>
      </w:pPr>
      <w:r w:rsidRPr="00D20635">
        <w:rPr>
          <w:lang w:val="en-US"/>
        </w:rPr>
        <w:t>Market volatility is typically computed from returns, which are often modeled as a random walk or a Brownian motion</w:t>
      </w:r>
      <w:r w:rsidR="004B2E5B">
        <w:rPr>
          <w:lang w:val="en-US"/>
        </w:rPr>
        <w:t xml:space="preserve"> </w:t>
      </w:r>
      <w:r w:rsidR="006161F3">
        <w:rPr>
          <w:lang w:val="en-US"/>
        </w:rPr>
        <w:t>(</w:t>
      </w:r>
      <w:r w:rsidR="006161F3" w:rsidRPr="002B35C0">
        <w:t>Osborne, 1959</w:t>
      </w:r>
      <w:r w:rsidR="006161F3">
        <w:rPr>
          <w:lang w:val="en-US"/>
        </w:rPr>
        <w:t>)</w:t>
      </w:r>
      <w:r w:rsidRPr="00D20635">
        <w:rPr>
          <w:lang w:val="en-US"/>
        </w:rPr>
        <w:t xml:space="preserve"> process where daily returns are assumed to be independent and identically distributed (i.i.d.)</w:t>
      </w:r>
      <w:r>
        <w:rPr>
          <w:lang w:val="en-US"/>
        </w:rPr>
        <w:t xml:space="preserve"> </w:t>
      </w:r>
      <w:r w:rsidR="001F54A5">
        <w:rPr>
          <w:lang w:val="en-US"/>
        </w:rPr>
        <w:t>(</w:t>
      </w:r>
      <w:r w:rsidR="001F54A5" w:rsidRPr="002B35C0">
        <w:t>Ren et al., 2017</w:t>
      </w:r>
      <w:r w:rsidR="001F54A5">
        <w:rPr>
          <w:lang w:val="en-US"/>
        </w:rPr>
        <w:t>)</w:t>
      </w:r>
      <w:r w:rsidRPr="00D20635">
        <w:rPr>
          <w:lang w:val="en-US"/>
        </w:rPr>
        <w:t>. Under this assumption, the variance of returns over</w:t>
      </w:r>
      <w:r>
        <w:rPr>
          <w:lang w:val="en-US"/>
        </w:rPr>
        <w:t xml:space="preserve"> </w:t>
      </w:r>
      <m:oMath>
        <m:r>
          <w:rPr>
            <w:rFonts w:ascii="Cambria Math" w:hAnsi="Cambria Math"/>
            <w:lang w:val="en-US"/>
          </w:rPr>
          <m:t>n</m:t>
        </m:r>
      </m:oMath>
      <w:r w:rsidRPr="00D20635">
        <w:rPr>
          <w:lang w:val="en-US"/>
        </w:rPr>
        <w:t xml:space="preserve"> days scales linearly with</w:t>
      </w:r>
      <w:r>
        <w:rPr>
          <w:lang w:val="en-US"/>
        </w:rPr>
        <w:t xml:space="preserve"> </w:t>
      </w:r>
      <m:oMath>
        <m:r>
          <w:rPr>
            <w:rFonts w:ascii="Cambria Math" w:hAnsi="Cambria Math"/>
            <w:lang w:val="en-US"/>
          </w:rPr>
          <m:t>n</m:t>
        </m:r>
      </m:oMath>
      <w:r w:rsidRPr="00D20635">
        <w:rPr>
          <w:lang w:val="en-US"/>
        </w:rPr>
        <w:t>:</w:t>
      </w:r>
    </w:p>
    <w:p w14:paraId="50BC757F" w14:textId="77777777" w:rsidR="00B57362" w:rsidRPr="001057A2" w:rsidRDefault="00000000" w:rsidP="00B57362">
      <w:pPr>
        <w:rPr>
          <w:lang w:val="en-US"/>
        </w:rPr>
      </w:pPr>
      <m:oMathPara>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n</m:t>
                      </m:r>
                    </m:e>
                  </m:d>
                </m:sup>
              </m:sSubSup>
            </m:e>
          </m:d>
          <m:r>
            <w:rPr>
              <w:rFonts w:ascii="Cambria Math" w:hAnsi="Cambria Math"/>
              <w:lang w:val="en-US"/>
            </w:rPr>
            <m:t xml:space="preserve">=n ×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1</m:t>
                      </m:r>
                    </m:e>
                  </m:d>
                </m:sup>
              </m:sSubSup>
            </m:e>
          </m:d>
        </m:oMath>
      </m:oMathPara>
    </w:p>
    <w:p w14:paraId="68F456FC" w14:textId="77777777" w:rsidR="00B57362" w:rsidRDefault="00B57362" w:rsidP="00B57362">
      <w:pPr>
        <w:rPr>
          <w:lang w:val="en-US"/>
        </w:rPr>
      </w:pPr>
      <w:r w:rsidRPr="001057A2">
        <w:rPr>
          <w:lang w:val="en-US"/>
        </w:rPr>
        <w:t>Since standard deviation is the square root of variance, the</w:t>
      </w:r>
      <w:r>
        <w:rPr>
          <w:lang w:val="en-US"/>
        </w:rPr>
        <w:t xml:space="preserve"> </w:t>
      </w:r>
      <m:oMath>
        <m:r>
          <w:rPr>
            <w:rFonts w:ascii="Cambria Math" w:hAnsi="Cambria Math"/>
            <w:lang w:val="en-US"/>
          </w:rPr>
          <m:t>n</m:t>
        </m:r>
      </m:oMath>
      <w:r w:rsidRPr="001057A2">
        <w:rPr>
          <w:lang w:val="en-US"/>
        </w:rPr>
        <w:t xml:space="preserve">-day standard deviation scales with </w:t>
      </w:r>
      <m:oMath>
        <m:rad>
          <m:radPr>
            <m:degHide m:val="1"/>
            <m:ctrlPr>
              <w:rPr>
                <w:rFonts w:ascii="Cambria Math" w:hAnsi="Cambria Math"/>
                <w:i/>
                <w:lang w:val="en-US"/>
              </w:rPr>
            </m:ctrlPr>
          </m:radPr>
          <m:deg/>
          <m:e>
            <m:r>
              <w:rPr>
                <w:rFonts w:ascii="Cambria Math" w:hAnsi="Cambria Math"/>
                <w:lang w:val="en-US"/>
              </w:rPr>
              <m:t>n</m:t>
            </m:r>
          </m:e>
        </m:rad>
      </m:oMath>
      <w:r>
        <w:rPr>
          <w:lang w:val="en-US"/>
        </w:rPr>
        <w:t xml:space="preserve">. </w:t>
      </w:r>
      <w:r w:rsidRPr="001057A2">
        <w:rPr>
          <w:lang w:val="en-US"/>
        </w:rPr>
        <w:t>This scaling allows us to compare volatility estimates over different time frames on a consistent basis.</w:t>
      </w:r>
    </w:p>
    <w:p w14:paraId="00B9F730" w14:textId="77777777" w:rsidR="00B57362" w:rsidRDefault="00B57362" w:rsidP="00B57362">
      <w:pPr>
        <w:rPr>
          <w:lang w:val="en-US"/>
        </w:rPr>
      </w:pPr>
      <w:r>
        <w:rPr>
          <w:lang w:val="en-US"/>
        </w:rPr>
        <w:t xml:space="preserve">At this point, the </w:t>
      </w:r>
      <m:oMath>
        <m:r>
          <w:rPr>
            <w:rFonts w:ascii="Cambria Math" w:hAnsi="Cambria Math"/>
            <w:lang w:val="en-US"/>
          </w:rPr>
          <m:t>n</m:t>
        </m:r>
      </m:oMath>
      <w:r w:rsidRPr="0079223B">
        <w:rPr>
          <w:lang w:val="en-US"/>
        </w:rPr>
        <w:t>-day</w:t>
      </w:r>
      <w:r>
        <w:rPr>
          <w:lang w:val="en-US"/>
        </w:rPr>
        <w:t xml:space="preserve"> market volatility at day </w:t>
      </w:r>
      <m:oMath>
        <m:r>
          <w:rPr>
            <w:rFonts w:ascii="Cambria Math" w:hAnsi="Cambria Math"/>
            <w:lang w:val="en-US"/>
          </w:rPr>
          <m:t>t</m:t>
        </m:r>
      </m:oMath>
      <w:r>
        <w:rPr>
          <w:lang w:val="en-US"/>
        </w:rPr>
        <w:t xml:space="preserve"> defined as:</w:t>
      </w:r>
    </w:p>
    <w:p w14:paraId="794CA6A7" w14:textId="77777777" w:rsidR="00B57362" w:rsidRPr="00372A57" w:rsidRDefault="00000000" w:rsidP="00B57362">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MV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32C6D6AE" w14:textId="0CA25A0C" w:rsidR="00B57362" w:rsidRPr="00B57362" w:rsidRDefault="00B57362" w:rsidP="00B57362">
      <w:r>
        <w:rPr>
          <w:lang w:val="en-US"/>
        </w:rPr>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R</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Pr>
          <w:lang w:val="en-US"/>
        </w:rPr>
        <w:t>.</w:t>
      </w:r>
    </w:p>
    <w:p w14:paraId="33A73309" w14:textId="032FCF7F" w:rsidR="009D3525" w:rsidRDefault="003871C3" w:rsidP="009D3525">
      <w:pPr>
        <w:pStyle w:val="Heading3"/>
      </w:pPr>
      <w:bookmarkStart w:id="19" w:name="_Toc204515574"/>
      <w:r>
        <w:t xml:space="preserve">Sentiment </w:t>
      </w:r>
      <w:bookmarkEnd w:id="19"/>
      <w:r w:rsidR="00171AEA">
        <w:t>Volatility</w:t>
      </w:r>
    </w:p>
    <w:p w14:paraId="00F07E26" w14:textId="3C8AB94E" w:rsidR="003871C3" w:rsidRDefault="003871C3" w:rsidP="003871C3">
      <w:pPr>
        <w:rPr>
          <w:lang w:val="en-US"/>
        </w:rPr>
      </w:pPr>
      <w:r w:rsidRPr="003871C3">
        <w:rPr>
          <w:lang w:val="en-US"/>
        </w:rPr>
        <w:t>To quantify the sentiment expressed in financial news headlines, we employ a custom sentiment score derived from the FinBERT model's output probabilities. FinBERT classifies each input text into three sentiment categories: negative,</w:t>
      </w:r>
      <w:r>
        <w:rPr>
          <w:lang w:val="en-US"/>
        </w:rPr>
        <w:t xml:space="preserve"> </w:t>
      </w:r>
      <w:r w:rsidRPr="003871C3">
        <w:rPr>
          <w:lang w:val="en-US"/>
        </w:rPr>
        <w:t xml:space="preserve">neutral, and positive, producing corresponding probabilities. Rather than relying solely on discrete class labels, we calculate a continuous sentiment score </w:t>
      </w:r>
      <m:oMath>
        <m:r>
          <w:rPr>
            <w:rFonts w:ascii="Cambria Math" w:hAnsi="Cambria Math"/>
            <w:lang w:val="en-US"/>
          </w:rPr>
          <m:t>S</m:t>
        </m:r>
      </m:oMath>
      <w:r w:rsidRPr="003871C3">
        <w:rPr>
          <w:lang w:val="en-US"/>
        </w:rPr>
        <w:t xml:space="preserve"> defined as the difference between the positive and negative probabilities</w:t>
      </w:r>
      <w:r w:rsidR="00132845">
        <w:rPr>
          <w:lang w:val="en-US"/>
        </w:rPr>
        <w:t xml:space="preserve"> (Hiew et al., 2019)</w:t>
      </w:r>
      <w:r w:rsidRPr="003871C3">
        <w:rPr>
          <w:lang w:val="en-US"/>
        </w:rPr>
        <w:t>:</w:t>
      </w:r>
    </w:p>
    <w:p w14:paraId="48ACE1ED" w14:textId="30AFC4E8" w:rsidR="004D69B1" w:rsidRPr="003871C3" w:rsidRDefault="00000000" w:rsidP="003871C3">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m:oMathPara>
    </w:p>
    <w:p w14:paraId="00D3E7C7" w14:textId="602282F7" w:rsidR="003871C3" w:rsidRDefault="009C0A30" w:rsidP="003871C3">
      <w:pPr>
        <w:rPr>
          <w:lang w:val="en-US"/>
        </w:rPr>
      </w:pPr>
      <w:r>
        <w:rPr>
          <w:lang w:val="en-US"/>
        </w:rPr>
        <w:t>w</w:t>
      </w:r>
      <w:r w:rsidR="004F3D6C">
        <w:rPr>
          <w:lang w:val="en-US"/>
        </w:rPr>
        <w:t xml:space="preserve">here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oMath>
      <w:r w:rsidR="00132845">
        <w:rPr>
          <w:lang w:val="en-US"/>
        </w:rPr>
        <w:t xml:space="preserve"> are the number of positive, neutral</w:t>
      </w:r>
      <w:r w:rsidR="0025499C">
        <w:rPr>
          <w:lang w:val="en-US"/>
        </w:rPr>
        <w:t>, and negative texts within the period</w:t>
      </w:r>
      <w:r>
        <w:rPr>
          <w:lang w:val="en-US"/>
        </w:rPr>
        <w:t>, w</w:t>
      </w:r>
      <w:r w:rsidR="0025499C">
        <w:rPr>
          <w:lang w:val="en-US"/>
        </w:rPr>
        <w:t xml:space="preserve">hile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w:r w:rsidR="0025499C">
        <w:rPr>
          <w:lang w:val="en-US"/>
        </w:rPr>
        <w:t xml:space="preserve"> are the p</w:t>
      </w:r>
      <w:r w:rsidR="0025499C" w:rsidRPr="0025499C">
        <w:rPr>
          <w:lang w:val="en-US"/>
        </w:rPr>
        <w:t>robability of the headline at tim</w:t>
      </w:r>
      <w:r w:rsidR="0025499C">
        <w:rPr>
          <w:lang w:val="en-US"/>
        </w:rPr>
        <w:t>e</w:t>
      </w:r>
      <w:r w:rsidR="0025499C" w:rsidRPr="0025499C">
        <w:rPr>
          <w:lang w:val="en-US"/>
        </w:rPr>
        <w:t xml:space="preserve"> </w:t>
      </w:r>
      <m:oMath>
        <m:r>
          <w:rPr>
            <w:rFonts w:ascii="Cambria Math" w:hAnsi="Cambria Math"/>
            <w:lang w:val="en-US"/>
          </w:rPr>
          <m:t>t</m:t>
        </m:r>
      </m:oMath>
      <w:r w:rsidR="0025499C" w:rsidRPr="0025499C">
        <w:rPr>
          <w:lang w:val="en-US"/>
        </w:rPr>
        <w:t xml:space="preserve"> being classified as positive</w:t>
      </w:r>
      <w:r w:rsidR="0025499C">
        <w:rPr>
          <w:lang w:val="en-US"/>
        </w:rPr>
        <w:t xml:space="preserve"> and negative.</w:t>
      </w:r>
      <w:r w:rsidR="00946BC3">
        <w:rPr>
          <w:lang w:val="en-US"/>
        </w:rPr>
        <w:t xml:space="preserve"> </w:t>
      </w:r>
      <w:r w:rsidR="003871C3" w:rsidRPr="003871C3">
        <w:rPr>
          <w:lang w:val="en-US"/>
        </w:rPr>
        <w:t>This formulation captures the net sentiment polarity by balancing positive and negative signals while effectively ignoring the neutral component.</w:t>
      </w:r>
    </w:p>
    <w:p w14:paraId="2D884306" w14:textId="6F5C4302" w:rsidR="00327871" w:rsidRDefault="00327871" w:rsidP="003871C3">
      <w:pPr>
        <w:rPr>
          <w:lang w:val="en-US"/>
        </w:rPr>
      </w:pPr>
      <w:r w:rsidRPr="00327871">
        <w:rPr>
          <w:lang w:val="en-US"/>
        </w:rPr>
        <w:t>To capture the temporal dynamics and fluctuations in market sentiment, we compute the daily average sentiment score and its rolling volatility over various time horizons. This is formalized as:</w:t>
      </w:r>
    </w:p>
    <w:p w14:paraId="59E41BC2" w14:textId="1B04BC93" w:rsidR="009C0A30" w:rsidRPr="009C0A30" w:rsidRDefault="00000000" w:rsidP="003871C3">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den>
          </m:f>
          <m:nary>
            <m:naryPr>
              <m:chr m:val="∑"/>
              <m:limLoc m:val="undOvr"/>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e>
          </m:nary>
        </m:oMath>
      </m:oMathPara>
    </w:p>
    <w:p w14:paraId="19A9435E" w14:textId="0CB5F22A" w:rsidR="009C0A30" w:rsidRDefault="00A7427B" w:rsidP="003871C3">
      <w:pPr>
        <w:rPr>
          <w:lang w:val="en-US"/>
        </w:rPr>
      </w:pPr>
      <w:r>
        <w:rPr>
          <w:lang w:val="en-US"/>
        </w:rPr>
        <w:t xml:space="preserve">where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oMath>
      <w:r>
        <w:rPr>
          <w:lang w:val="en-US"/>
        </w:rPr>
        <w:t xml:space="preserve"> represents the average sentiment score on the day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oMath>
      <w:r>
        <w:rPr>
          <w:lang w:val="en-US"/>
        </w:rPr>
        <w:t xml:space="preserve"> is the sentiment score of the </w:t>
      </w:r>
      <m:oMath>
        <m:r>
          <w:rPr>
            <w:rFonts w:ascii="Cambria Math" w:hAnsi="Cambria Math"/>
            <w:lang w:val="en-US"/>
          </w:rPr>
          <m:t>i</m:t>
        </m:r>
      </m:oMath>
      <w:r>
        <w:rPr>
          <w:lang w:val="en-US"/>
        </w:rPr>
        <w:t xml:space="preserve">-th headline,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xml:space="preserve"> is the total number of headlines on that day.</w:t>
      </w:r>
    </w:p>
    <w:p w14:paraId="228FA035" w14:textId="3997C26A" w:rsidR="00A7427B" w:rsidRDefault="004967B2" w:rsidP="00A7427B">
      <w:pPr>
        <w:rPr>
          <w:lang w:val="en-US"/>
        </w:rPr>
      </w:pPr>
      <w:r>
        <w:rPr>
          <w:lang w:val="en-US"/>
        </w:rPr>
        <w:t>T</w:t>
      </w:r>
      <w:r w:rsidR="006F4881">
        <w:rPr>
          <w:lang w:val="en-US"/>
        </w:rPr>
        <w:t>hen</w:t>
      </w:r>
      <w:r w:rsidR="00A7427B" w:rsidRPr="00A7427B">
        <w:rPr>
          <w:lang w:val="en-US"/>
        </w:rPr>
        <w:t xml:space="preserve"> compute the rolling standard deviation across multiple window lengths, corresponding to different market time frames: one week (5 trading days), one month (22 days), one quarter (66 days), and half a year (126 days). For each window </w:t>
      </w:r>
      <m:oMath>
        <m:r>
          <w:rPr>
            <w:rFonts w:ascii="Cambria Math" w:hAnsi="Cambria Math"/>
            <w:lang w:val="en-US"/>
          </w:rPr>
          <m:t>n</m:t>
        </m:r>
      </m:oMath>
      <w:r w:rsidR="00A7427B" w:rsidRPr="00A7427B">
        <w:rPr>
          <w:lang w:val="en-US"/>
        </w:rPr>
        <w:t>, the sentiment volatility</w:t>
      </w:r>
      <w:r w:rsidR="00A7427B">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oMath>
      <w:r w:rsidR="00A7427B">
        <w:rPr>
          <w:lang w:val="en-US"/>
        </w:rPr>
        <w:t xml:space="preserve"> </w:t>
      </w:r>
      <w:r w:rsidR="00A7427B" w:rsidRPr="00A7427B">
        <w:rPr>
          <w:lang w:val="en-US"/>
        </w:rPr>
        <w:t>is given by:</w:t>
      </w:r>
    </w:p>
    <w:p w14:paraId="4DEA04DC" w14:textId="237438EF" w:rsidR="00BE6AD9" w:rsidRPr="00F41DA2" w:rsidRDefault="00000000" w:rsidP="00A7427B">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2CE6919D" w14:textId="5F239BCE" w:rsidR="00F41DA2" w:rsidRDefault="00F41DA2" w:rsidP="00A7427B">
      <w:pPr>
        <w:rPr>
          <w:lang w:val="en-US"/>
        </w:rPr>
      </w:pPr>
      <w:r>
        <w:rPr>
          <w:lang w:val="en-US"/>
        </w:rPr>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S</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sidR="00563E18">
        <w:rPr>
          <w:lang w:val="en-US"/>
        </w:rPr>
        <w:t>.</w:t>
      </w:r>
    </w:p>
    <w:p w14:paraId="61AA99FC" w14:textId="0BA89297" w:rsidR="00565DF4" w:rsidRDefault="00565DF4" w:rsidP="00565DF4">
      <w:pPr>
        <w:rPr>
          <w:lang w:val="en-US"/>
        </w:rPr>
      </w:pPr>
      <w:r w:rsidRPr="00565DF4">
        <w:rPr>
          <w:lang w:val="en-US"/>
        </w:rPr>
        <w:t>Sentiment volatility is usually calculated as the rolling standard deviation of a sentiment score or index, which is not necessarily a return or increment-like variable</w:t>
      </w:r>
      <w:r>
        <w:rPr>
          <w:lang w:val="en-US"/>
        </w:rPr>
        <w:t>.</w:t>
      </w:r>
      <w:r>
        <w:t xml:space="preserve"> </w:t>
      </w:r>
      <w:r w:rsidRPr="00565DF4">
        <w:rPr>
          <w:lang w:val="en-US"/>
        </w:rPr>
        <w:t xml:space="preserve">The </w:t>
      </w:r>
      <w:r w:rsidR="00AA31A2" w:rsidRPr="00565DF4">
        <w:rPr>
          <w:lang w:val="en-US"/>
        </w:rPr>
        <w:t>sentimental</w:t>
      </w:r>
      <w:r w:rsidRPr="00565DF4">
        <w:rPr>
          <w:lang w:val="en-US"/>
        </w:rPr>
        <w:t xml:space="preserve"> data often reflects an aggregate or smooth measure of </w:t>
      </w:r>
      <w:r w:rsidRPr="00565DF4">
        <w:rPr>
          <w:lang w:val="en-US"/>
        </w:rPr>
        <w:lastRenderedPageBreak/>
        <w:t>market mood or perception and may</w:t>
      </w:r>
      <w:r w:rsidR="00AA31A2">
        <w:rPr>
          <w:lang w:val="en-US"/>
        </w:rPr>
        <w:t xml:space="preserve"> h</w:t>
      </w:r>
      <w:r w:rsidRPr="00565DF4">
        <w:rPr>
          <w:lang w:val="en-US"/>
        </w:rPr>
        <w:t>ave different statistical properties than returns (e.g., not i.i.d., possibly autocorrelated).</w:t>
      </w:r>
    </w:p>
    <w:p w14:paraId="28A67685" w14:textId="536C724D" w:rsidR="00372A57" w:rsidRDefault="00AA31A2" w:rsidP="0079223B">
      <w:pPr>
        <w:rPr>
          <w:lang w:val="en-US"/>
        </w:rPr>
      </w:pPr>
      <w:r w:rsidRPr="00AA31A2">
        <w:rPr>
          <w:lang w:val="en-US"/>
        </w:rPr>
        <w:t xml:space="preserve">Thus, when computing sentiment volatility, just take the rolling standard deviation over the window without multiplying by </w:t>
      </w:r>
      <m:oMath>
        <m:r>
          <w:rPr>
            <w:rFonts w:ascii="Cambria Math" w:hAnsi="Cambria Math"/>
            <w:lang w:val="en-US"/>
          </w:rPr>
          <m:t>n</m:t>
        </m:r>
      </m:oMath>
      <w:r w:rsidRPr="00AA31A2">
        <w:rPr>
          <w:lang w:val="en-US"/>
        </w:rPr>
        <w:t xml:space="preserve"> because</w:t>
      </w:r>
      <w:r w:rsidRPr="00AA31A2">
        <w:t xml:space="preserve"> </w:t>
      </w:r>
      <w:r>
        <w:rPr>
          <w:lang w:val="en-US"/>
        </w:rPr>
        <w:t>t</w:t>
      </w:r>
      <w:r w:rsidRPr="00AA31A2">
        <w:rPr>
          <w:lang w:val="en-US"/>
        </w:rPr>
        <w:t>he interpretation of sentiment volatility is often relative variability within that window.</w:t>
      </w:r>
      <w:r>
        <w:rPr>
          <w:lang w:val="en-US"/>
        </w:rPr>
        <w:t xml:space="preserve"> Moreover, i</w:t>
      </w:r>
      <w:r w:rsidRPr="00AA31A2">
        <w:rPr>
          <w:lang w:val="en-US"/>
        </w:rPr>
        <w:t>t</w:t>
      </w:r>
      <w:r w:rsidR="004167FD">
        <w:rPr>
          <w:lang w:val="en-US"/>
        </w:rPr>
        <w:t xml:space="preserve"> i</w:t>
      </w:r>
      <w:r w:rsidRPr="00AA31A2">
        <w:rPr>
          <w:lang w:val="en-US"/>
        </w:rPr>
        <w:t>s treated more as a descriptive statistic rather than a time-scaled measure like market volatility.</w:t>
      </w:r>
    </w:p>
    <w:p w14:paraId="04ABA9BB" w14:textId="350641D7" w:rsidR="002245BD" w:rsidRDefault="002245BD" w:rsidP="0079223B">
      <w:pPr>
        <w:rPr>
          <w:lang w:val="en-US"/>
        </w:rPr>
      </w:pPr>
      <w:r>
        <w:rPr>
          <w:lang w:val="en-US"/>
        </w:rPr>
        <w:t>--- Upside/Downside Volatility ---</w:t>
      </w:r>
    </w:p>
    <w:p w14:paraId="7F0100DF" w14:textId="5A392B5F" w:rsidR="00ED6C39" w:rsidRDefault="00ED6C39" w:rsidP="0079223B">
      <w:pPr>
        <w:rPr>
          <w:lang w:val="en-US"/>
        </w:rPr>
      </w:pPr>
      <w:r w:rsidRPr="00ED6C39">
        <w:rPr>
          <w:highlight w:val="yellow"/>
          <w:lang w:val="en-US"/>
        </w:rPr>
        <w:t>Traditional volatility measures, such as variance or standard deviation, capture the magnitude of return fluctuations but ignore their direction. However, in the context of financial crises, negative returns typically carry more relevance for early warning signals than symmetric volatility. While this study incorporates VaR and Expected Shortfall to partially address this issue, future work could enhance directional sensitivity through the inclusion of downside volatility, skewness, or conditional measures that emphasize negative price movements.</w:t>
      </w:r>
    </w:p>
    <w:p w14:paraId="7338BC2E" w14:textId="45A0B745" w:rsidR="00F14D98" w:rsidRDefault="00F14D98" w:rsidP="00F14D98">
      <w:pPr>
        <w:pStyle w:val="Heading3"/>
        <w:rPr>
          <w:lang w:val="en-US"/>
        </w:rPr>
      </w:pPr>
      <w:bookmarkStart w:id="20" w:name="_Toc204515575"/>
      <w:r>
        <w:rPr>
          <w:lang w:val="en-US"/>
        </w:rPr>
        <w:t>VaR and ES Features</w:t>
      </w:r>
      <w:bookmarkEnd w:id="20"/>
    </w:p>
    <w:p w14:paraId="4062854E" w14:textId="4D88279A" w:rsidR="00F14D98" w:rsidRDefault="00F14D98" w:rsidP="00F14D98">
      <w:pPr>
        <w:rPr>
          <w:lang w:val="en-US"/>
        </w:rPr>
      </w:pPr>
      <w:r w:rsidRPr="00F14D98">
        <w:rPr>
          <w:lang w:val="en-US"/>
        </w:rPr>
        <w:t xml:space="preserve">To enrich the model with forward-looking risk measures, we incorporate parametric Value-at-Risk (VaR) and Expected Shortfall (ES) as additional features. These measures are computed under the assumption of normally distributed returns using a rolling window approach. For each window length </w:t>
      </w:r>
      <m:oMath>
        <m:r>
          <w:rPr>
            <w:rFonts w:ascii="Cambria Math" w:hAnsi="Cambria Math"/>
            <w:lang w:val="en-US"/>
          </w:rPr>
          <m:t>n</m:t>
        </m:r>
      </m:oMath>
      <w:r>
        <w:rPr>
          <w:lang w:val="en-US"/>
        </w:rPr>
        <w:t xml:space="preserve">, </w:t>
      </w:r>
      <w:r w:rsidRPr="00F14D98">
        <w:rPr>
          <w:lang w:val="en-US"/>
        </w:rPr>
        <w:t>and standard deviation</w:t>
      </w:r>
      <w:r>
        <w:rPr>
          <w:lang w:val="en-US"/>
        </w:rPr>
        <w:t xml:space="preserve"> </w:t>
      </w:r>
      <w:r w:rsidRPr="00F14D98">
        <w:rPr>
          <w:lang w:val="en-US"/>
        </w:rPr>
        <w:t>of</w:t>
      </w:r>
      <w:r>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oMath>
      <w:r w:rsidR="007919C2">
        <w:rPr>
          <w:lang w:val="en-US"/>
        </w:rPr>
        <w:t xml:space="preserve"> </w:t>
      </w:r>
      <w:r w:rsidRPr="00F14D98">
        <w:rPr>
          <w:lang w:val="en-US"/>
        </w:rPr>
        <w:t xml:space="preserve">daily returns are calculated. The one-day VaR at confidence level </w:t>
      </w:r>
      <m:oMath>
        <m:r>
          <w:rPr>
            <w:rFonts w:ascii="Cambria Math" w:hAnsi="Cambria Math"/>
            <w:lang w:val="en-US"/>
          </w:rPr>
          <m:t>α</m:t>
        </m:r>
      </m:oMath>
      <w:r>
        <w:rPr>
          <w:lang w:val="en-US"/>
        </w:rPr>
        <w:t xml:space="preserve"> </w:t>
      </w:r>
      <w:r w:rsidRPr="00F14D98">
        <w:rPr>
          <w:lang w:val="en-US"/>
        </w:rPr>
        <w:t>is given by:</w:t>
      </w:r>
    </w:p>
    <w:p w14:paraId="57BE7DA3" w14:textId="33093D47" w:rsidR="00744C45" w:rsidRPr="00C74F68" w:rsidRDefault="00000000" w:rsidP="00F14D98">
      <w:pPr>
        <w:rPr>
          <w:lang w:val="en-US"/>
        </w:rPr>
      </w:pPr>
      <m:oMathPara>
        <m:oMath>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oMath>
      </m:oMathPara>
    </w:p>
    <w:p w14:paraId="55D60E69" w14:textId="31328255" w:rsidR="00C74F68" w:rsidRDefault="00C74F68" w:rsidP="00C74F68">
      <w:pPr>
        <w:rPr>
          <w:lang w:val="en-US"/>
        </w:rPr>
      </w:pPr>
      <w:r w:rsidRPr="00C74F68">
        <w:rPr>
          <w:lang w:val="en-US"/>
        </w:rPr>
        <w:t>where</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C74F68">
        <w:rPr>
          <w:lang w:val="en-US"/>
        </w:rPr>
        <w:t xml:space="preserve"> is the z-score corresponding to the confidence level </w:t>
      </w:r>
      <m:oMath>
        <m:r>
          <w:rPr>
            <w:rFonts w:ascii="Cambria Math" w:hAnsi="Cambria Math"/>
            <w:lang w:val="en-US"/>
          </w:rPr>
          <m:t>α</m:t>
        </m:r>
      </m:oMath>
      <w:r>
        <w:rPr>
          <w:lang w:val="en-US"/>
        </w:rPr>
        <w:t xml:space="preserve"> </w:t>
      </w:r>
      <w:r w:rsidRPr="00C74F68">
        <w:rPr>
          <w:lang w:val="en-US"/>
        </w:rPr>
        <w:t>(e.g.,</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0.05</m:t>
            </m:r>
          </m:sub>
        </m:sSub>
      </m:oMath>
      <w:r w:rsidRPr="00C74F68">
        <w:rPr>
          <w:lang w:val="en-US"/>
        </w:rPr>
        <w:t xml:space="preserve"> ≈</w:t>
      </w:r>
      <w:r>
        <w:rPr>
          <w:lang w:val="en-US"/>
        </w:rPr>
        <w:t xml:space="preserve"> </w:t>
      </w:r>
      <w:r w:rsidRPr="00C74F68">
        <w:rPr>
          <w:lang w:val="en-US"/>
        </w:rPr>
        <w:t>1.64</w:t>
      </w:r>
      <w:r>
        <w:rPr>
          <w:lang w:val="en-US"/>
        </w:rPr>
        <w:t xml:space="preserve"> </w:t>
      </w:r>
      <w:r w:rsidRPr="00C74F68">
        <w:rPr>
          <w:lang w:val="en-US"/>
        </w:rPr>
        <w:t>for 95% confidence). The corresponding</w:t>
      </w:r>
      <w:r w:rsidR="009A0EDD">
        <w:rPr>
          <w:lang w:val="en-US"/>
        </w:rPr>
        <w:t xml:space="preserve"> ES</w:t>
      </w:r>
      <w:r w:rsidRPr="00C74F68">
        <w:rPr>
          <w:lang w:val="en-US"/>
        </w:rPr>
        <w:t>, which estimates the expected loss conditional on the loss exceeding the VaR threshold, is computed as:</w:t>
      </w:r>
    </w:p>
    <w:p w14:paraId="14F85D35" w14:textId="19D190CE" w:rsidR="00C74F68" w:rsidRPr="007149C2" w:rsidRDefault="00000000" w:rsidP="00C74F68">
      <w:pPr>
        <w:rPr>
          <w:lang w:val="en-US"/>
        </w:rPr>
      </w:pPr>
      <m:oMathPara>
        <m:oMath>
          <m:sSubSup>
            <m:sSubSupPr>
              <m:ctrlPr>
                <w:rPr>
                  <w:rFonts w:ascii="Cambria Math" w:hAnsi="Cambria Math"/>
                  <w:i/>
                  <w:lang w:val="en-US"/>
                </w:rPr>
              </m:ctrlPr>
            </m:sSubSupPr>
            <m:e>
              <m:r>
                <w:rPr>
                  <w:rFonts w:ascii="Cambria Math" w:hAnsi="Cambria Math"/>
                  <w:lang w:val="en-US"/>
                </w:rPr>
                <m:t>ES</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num>
            <m:den>
              <m:r>
                <w:rPr>
                  <w:rFonts w:ascii="Cambria Math" w:hAnsi="Cambria Math"/>
                  <w:lang w:val="en-US"/>
                </w:rPr>
                <m:t>α</m:t>
              </m:r>
            </m:den>
          </m:f>
          <m:r>
            <w:rPr>
              <w:rFonts w:ascii="Cambria Math" w:hAnsi="Cambria Math"/>
              <w:lang w:val="en-US"/>
            </w:rPr>
            <m:t>)</m:t>
          </m:r>
        </m:oMath>
      </m:oMathPara>
    </w:p>
    <w:p w14:paraId="7363E52C" w14:textId="714F7CB0" w:rsidR="00760E81" w:rsidRDefault="007149C2" w:rsidP="00760E81">
      <w:pPr>
        <w:rPr>
          <w:lang w:val="en-US"/>
        </w:rPr>
      </w:pPr>
      <w:r w:rsidRPr="007149C2">
        <w:rPr>
          <w:lang w:val="en-US"/>
        </w:rPr>
        <w:t xml:space="preserve">where </w:t>
      </w:r>
      <m:oMath>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oMath>
      <w:r w:rsidRPr="007149C2">
        <w:rPr>
          <w:lang w:val="en-US"/>
        </w:rPr>
        <w:t xml:space="preserve"> is the standard normal probability density function evaluated at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7149C2">
        <w:rPr>
          <w:lang w:val="en-US"/>
        </w:rPr>
        <w:t xml:space="preserve">, and </w:t>
      </w:r>
      <m:oMath>
        <m:r>
          <w:rPr>
            <w:rFonts w:ascii="Cambria Math" w:hAnsi="Cambria Math"/>
            <w:lang w:val="en-US"/>
          </w:rPr>
          <m:t>α</m:t>
        </m:r>
      </m:oMath>
      <w:r>
        <w:rPr>
          <w:lang w:val="en-US"/>
        </w:rPr>
        <w:t xml:space="preserve"> </w:t>
      </w:r>
      <w:r w:rsidRPr="007149C2">
        <w:rPr>
          <w:lang w:val="en-US"/>
        </w:rPr>
        <w:t>is the tail probability. These risk measures provide a theoretically grounded way to quantify downside risk and help capture volatility dynamics that may precede extreme market events.</w:t>
      </w:r>
    </w:p>
    <w:p w14:paraId="30EF918C" w14:textId="6ACD7CD0" w:rsidR="00A677EE" w:rsidRDefault="00A677EE" w:rsidP="00A677EE">
      <w:pPr>
        <w:rPr>
          <w:lang w:val="en-US"/>
        </w:rPr>
      </w:pPr>
      <w:r w:rsidRPr="00A677EE">
        <w:rPr>
          <w:lang w:val="en-US"/>
        </w:rPr>
        <w:t>When estimating VaR and</w:t>
      </w:r>
      <w:r w:rsidR="003E2DDE">
        <w:rPr>
          <w:lang w:val="en-US"/>
        </w:rPr>
        <w:t xml:space="preserve"> </w:t>
      </w:r>
      <w:r w:rsidRPr="00A677EE">
        <w:rPr>
          <w:lang w:val="en-US"/>
        </w:rPr>
        <w:t xml:space="preserve">ES, the rolling standard deviation is typically used without the </w:t>
      </w:r>
      <m:oMath>
        <m:r>
          <w:rPr>
            <w:rFonts w:ascii="Cambria Math" w:hAnsi="Cambria Math"/>
            <w:lang w:val="en-US"/>
          </w:rPr>
          <m:t>n</m:t>
        </m:r>
      </m:oMath>
      <w:r w:rsidRPr="00A677EE">
        <w:rPr>
          <w:lang w:val="en-US"/>
        </w:rPr>
        <w:t xml:space="preserve"> factor because the goal is to estimate 1-day risk based on the most recent n-day window</w:t>
      </w:r>
      <w:r w:rsidR="00C063C1">
        <w:rPr>
          <w:lang w:val="en-US"/>
        </w:rPr>
        <w:t xml:space="preserve"> (</w:t>
      </w:r>
      <w:r w:rsidR="00C063C1" w:rsidRPr="00656EC6">
        <w:t>Hällman, 201</w:t>
      </w:r>
      <w:r w:rsidR="001165BB" w:rsidRPr="00656EC6">
        <w:t>7</w:t>
      </w:r>
      <w:r w:rsidR="00C063C1">
        <w:rPr>
          <w:lang w:val="en-US"/>
        </w:rPr>
        <w:t>)</w:t>
      </w:r>
      <w:r w:rsidRPr="00A677EE">
        <w:rPr>
          <w:lang w:val="en-US"/>
        </w:rPr>
        <w:t xml:space="preserve">. In this context, the standard deviation represents the forecast of next-day volatility, not an aggregated risk over </w:t>
      </w:r>
      <m:oMath>
        <m:r>
          <w:rPr>
            <w:rFonts w:ascii="Cambria Math" w:hAnsi="Cambria Math"/>
            <w:lang w:val="en-US"/>
          </w:rPr>
          <m:t>n</m:t>
        </m:r>
      </m:oMath>
      <w:r w:rsidRPr="00A677EE">
        <w:rPr>
          <w:lang w:val="en-US"/>
        </w:rPr>
        <w:t xml:space="preserve"> days.</w:t>
      </w:r>
    </w:p>
    <w:p w14:paraId="396C5F85" w14:textId="216B9835" w:rsidR="00E763FA" w:rsidRDefault="00E763FA" w:rsidP="00E763FA">
      <w:pPr>
        <w:pStyle w:val="Heading3"/>
        <w:rPr>
          <w:lang w:val="en-US"/>
        </w:rPr>
      </w:pPr>
      <w:r>
        <w:rPr>
          <w:lang w:val="en-US"/>
        </w:rPr>
        <w:t>Preprocessing and Scaling</w:t>
      </w:r>
    </w:p>
    <w:p w14:paraId="169EA483" w14:textId="4BE10873" w:rsidR="00E763FA" w:rsidRPr="00E763FA" w:rsidRDefault="00E763FA" w:rsidP="00E763FA">
      <w:r w:rsidRPr="00E763FA">
        <w:t>The feature columns with missing data were imputed using mean values calculated from the training dataset, followed by feature scaling using the StandardScaler</w:t>
      </w:r>
      <w:r w:rsidR="00FE5C88">
        <w:t xml:space="preserve"> from sklearn packag</w:t>
      </w:r>
      <w:r w:rsidR="00C07150">
        <w:t>e</w:t>
      </w:r>
      <w:r>
        <w:rPr>
          <w:rStyle w:val="FootnoteReference"/>
        </w:rPr>
        <w:footnoteReference w:id="4"/>
      </w:r>
      <w:r w:rsidRPr="00E763FA">
        <w:t xml:space="preserve">. This scaler standardizes features by </w:t>
      </w:r>
      <w:r w:rsidRPr="00E763FA">
        <w:lastRenderedPageBreak/>
        <w:t xml:space="preserve">removing the mean and scaling to unit variance, ensuring that each feature contributes equally to the model training process and preventing features with larger scales from dominating. Additionally, </w:t>
      </w:r>
      <w:r w:rsidR="005575F6">
        <w:t xml:space="preserve">SMOTE </w:t>
      </w:r>
      <w:r w:rsidRPr="00E763FA">
        <w:t>was implemented solely on the training set to address class imbalance issues.</w:t>
      </w:r>
    </w:p>
    <w:p w14:paraId="405FEA7D" w14:textId="596F4E81" w:rsidR="00760E81" w:rsidRPr="00760E81" w:rsidRDefault="00C92AB8" w:rsidP="00760E81">
      <w:pPr>
        <w:pStyle w:val="Heading2"/>
      </w:pPr>
      <w:r>
        <w:t>Model Implementation</w:t>
      </w:r>
    </w:p>
    <w:p w14:paraId="613378A9" w14:textId="69B2C8A6" w:rsidR="006023F9" w:rsidRDefault="004A66D3" w:rsidP="006023F9">
      <w:pPr>
        <w:pStyle w:val="Heading3"/>
      </w:pPr>
      <w:r>
        <w:t xml:space="preserve">Static </w:t>
      </w:r>
      <w:r w:rsidR="006023F9" w:rsidRPr="006023F9">
        <w:t>Logistic Regression</w:t>
      </w:r>
    </w:p>
    <w:p w14:paraId="1E207EBE" w14:textId="1EEE3E0A" w:rsidR="006023F9" w:rsidRDefault="00EA7FC6" w:rsidP="006023F9">
      <w:r>
        <w:t>T</w:t>
      </w:r>
      <w:r w:rsidR="006023F9">
        <w:t xml:space="preserve">he model estimates the conditional probability of a future crash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oMath>
      <w:r w:rsidR="006023F9">
        <w:t xml:space="preserve"> at time </w:t>
      </w:r>
      <m:oMath>
        <m:r>
          <w:rPr>
            <w:rFonts w:ascii="Cambria Math" w:hAnsi="Cambria Math"/>
          </w:rPr>
          <m:t>t</m:t>
        </m:r>
      </m:oMath>
      <w:r w:rsidR="006023F9">
        <w:t xml:space="preserve">, given the features, by </w:t>
      </w:r>
      <w:r w:rsidR="00726EAA">
        <w:t>modelling</w:t>
      </w:r>
      <w:r w:rsidR="00726EAA" w:rsidRPr="00726EAA">
        <w:t xml:space="preserve"> the probability</w:t>
      </w:r>
      <w:r w:rsidR="00E41C6E">
        <w:t xml:space="preserve"> as a function</w:t>
      </w:r>
      <w:r w:rsidR="00080AEB">
        <w:t>:</w:t>
      </w:r>
    </w:p>
    <w:p w14:paraId="201EFE74" w14:textId="29683991" w:rsidR="00726EAA" w:rsidRPr="00726EAA" w:rsidRDefault="00726EAA" w:rsidP="006023F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σ(</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6A175379" w14:textId="3663BBD2" w:rsidR="00726EAA" w:rsidRDefault="00726EAA" w:rsidP="006023F9">
      <w:r>
        <w:t xml:space="preserve">where </w:t>
      </w:r>
      <m:oMath>
        <m:r>
          <w:rPr>
            <w:rFonts w:ascii="Cambria Math" w:hAnsi="Cambria Math"/>
          </w:rPr>
          <m:t>σ</m:t>
        </m:r>
        <m:d>
          <m:dPr>
            <m:ctrlPr>
              <w:rPr>
                <w:rFonts w:ascii="Cambria Math" w:hAnsi="Cambria Math"/>
                <w:i/>
              </w:rPr>
            </m:ctrlPr>
          </m:dPr>
          <m:e>
            <m:r>
              <w:rPr>
                <w:rFonts w:ascii="Cambria Math" w:hAnsi="Cambria Math"/>
              </w:rPr>
              <m:t>*</m:t>
            </m:r>
          </m:e>
        </m:d>
      </m:oMath>
      <w:r>
        <w:t xml:space="preserve"> is the sigmoid function, </w:t>
      </w:r>
      <m:oMath>
        <m:r>
          <w:rPr>
            <w:rFonts w:ascii="Cambria Math" w:hAnsi="Cambria Math"/>
          </w:rPr>
          <m:t>β</m:t>
        </m:r>
      </m:oMath>
      <w:r w:rsidRPr="00726EAA">
        <w:t xml:space="preserve"> are the coefficients learned from the data,</w:t>
      </w:r>
      <w:r>
        <w:t xml:space="preserve"> and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intercept. The log-odds (logit) form of model </w:t>
      </w:r>
      <w:r w:rsidR="00FB49EC">
        <w:t>shown as</w:t>
      </w:r>
      <w:r>
        <w:t>:</w:t>
      </w:r>
    </w:p>
    <w:p w14:paraId="6B9948DD" w14:textId="31809F10" w:rsidR="00080AEB" w:rsidRPr="0072501A" w:rsidRDefault="00000000" w:rsidP="006023F9">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num>
                    <m:den>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den>
                  </m:f>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t</m:t>
              </m:r>
            </m:sub>
            <m:sup>
              <m:r>
                <w:rPr>
                  <w:rFonts w:ascii="Cambria Math" w:hAnsi="Cambria Math"/>
                </w:rPr>
                <m:t>(n)</m:t>
              </m:r>
            </m:sup>
          </m:sSubSup>
        </m:oMath>
      </m:oMathPara>
    </w:p>
    <w:p w14:paraId="511836D4" w14:textId="28FC4C5E" w:rsidR="0072501A" w:rsidRPr="0072501A" w:rsidRDefault="00000000" w:rsidP="006023F9">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oMath>
      </m:oMathPara>
    </w:p>
    <w:p w14:paraId="7FAC3FDF" w14:textId="0E1B3963" w:rsidR="0072501A" w:rsidRPr="000C2909" w:rsidRDefault="0072501A" w:rsidP="006023F9">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oMath>
      </m:oMathPara>
    </w:p>
    <w:p w14:paraId="376D7A22" w14:textId="1C9BEB5B" w:rsidR="000C2909" w:rsidRDefault="000C2909" w:rsidP="006023F9">
      <w:r w:rsidRPr="000C2909">
        <w:t>where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2501A">
        <w:t xml:space="preserve"> </w:t>
      </w:r>
      <w:r>
        <w:t xml:space="preserve">is the feature vector, and </w:t>
      </w:r>
      <m:oMath>
        <m:r>
          <w:rPr>
            <w:rFonts w:ascii="Cambria Math" w:hAnsi="Cambria Math"/>
          </w:rPr>
          <m:t>β</m:t>
        </m:r>
      </m:oMath>
      <w:r w:rsidR="0072501A">
        <w:t xml:space="preserve"> </w:t>
      </w:r>
      <w:r>
        <w:t xml:space="preserve">are </w:t>
      </w:r>
      <w:r w:rsidR="00A86447">
        <w:t xml:space="preserve">set of </w:t>
      </w:r>
      <w:r>
        <w:t>the model coefficients learned during training.</w:t>
      </w:r>
    </w:p>
    <w:p w14:paraId="5E45B01C" w14:textId="32821051" w:rsidR="005B748B" w:rsidRDefault="000C2909" w:rsidP="000C2909">
      <w:r>
        <w:t>Logistic regression with elastic net regularization was fitted to the resampled and scaled training data. The elastic net combines L1 and L2 penalties to encourage both sparsity and stability in the model coefficients. The model was optimized using the '</w:t>
      </w:r>
      <w:r w:rsidR="007179BB">
        <w:t>SAGA</w:t>
      </w:r>
      <w:r>
        <w:t>' solver</w:t>
      </w:r>
      <w:r w:rsidR="007C2F94">
        <w:t xml:space="preserve"> (</w:t>
      </w:r>
      <w:r w:rsidR="007C2F94" w:rsidRPr="00347B32">
        <w:t>Defazio</w:t>
      </w:r>
      <w:r w:rsidR="00237F7A" w:rsidRPr="00347B32">
        <w:t xml:space="preserve"> et al., </w:t>
      </w:r>
      <w:r w:rsidR="007C2F94" w:rsidRPr="00347B32">
        <w:t>2014</w:t>
      </w:r>
      <w:r w:rsidR="007C2F94">
        <w:t>)</w:t>
      </w:r>
      <w:r>
        <w:t xml:space="preserve"> with a maximum of 1000 iterations, allowing effective handling of regularization and class imbalance.</w:t>
      </w:r>
    </w:p>
    <w:p w14:paraId="46B8BA99" w14:textId="291F9F4C" w:rsidR="005B748B" w:rsidRDefault="005B748B" w:rsidP="000C2909">
      <m:oMathPara>
        <m:oMath>
          <m:r>
            <w:rPr>
              <w:rFonts w:ascii="Cambria Math" w:hAnsi="Cambria Math"/>
            </w:rPr>
            <m:t>[INSERT ELASTIC NET EQUATION]</m:t>
          </m:r>
        </m:oMath>
      </m:oMathPara>
    </w:p>
    <w:p w14:paraId="138B72B2" w14:textId="4A4543C5" w:rsidR="000C2909" w:rsidRPr="006023F9" w:rsidRDefault="008951F6" w:rsidP="000C2909">
      <w:r>
        <w:t>As f</w:t>
      </w:r>
      <w:r w:rsidR="00DE05B1">
        <w:t>or t</w:t>
      </w:r>
      <w:r>
        <w:t>his model</w:t>
      </w:r>
      <w:r w:rsidR="00DE05B1">
        <w:t xml:space="preserve">, </w:t>
      </w:r>
      <w:r>
        <w:t>a</w:t>
      </w:r>
      <w:r w:rsidR="00DE05B1" w:rsidRPr="00DE05B1">
        <w:t xml:space="preserve"> static threshold of 0.5 was initially used to convert predicted probabilities into class labels, where probabilities above or equal to 0.5 were classified as positive cases.</w:t>
      </w:r>
    </w:p>
    <w:p w14:paraId="13FB0A4C" w14:textId="75040339" w:rsidR="00DE471C" w:rsidRDefault="00DE471C" w:rsidP="00DE471C">
      <w:pPr>
        <w:pStyle w:val="Heading3"/>
      </w:pPr>
      <w:r>
        <w:t>Dynamic Logi</w:t>
      </w:r>
      <w:r w:rsidR="00DF4674">
        <w:t xml:space="preserve">stic Regression </w:t>
      </w:r>
      <w:r>
        <w:t>+ Dynamic Threshold</w:t>
      </w:r>
    </w:p>
    <w:p w14:paraId="4EDB3BC7" w14:textId="7AF5BDDC" w:rsidR="00F42E35" w:rsidRDefault="00195CCB" w:rsidP="00195CCB">
      <w:r>
        <w:t xml:space="preserve">To capture the temporal dependencies and improve the predictive performance of the crash classification model, we extend the baseline logistic regression by incorporating lagged features of the original market and sentiment volatility indicators, VaR, and ES. Specifically, for each volatility window </w:t>
      </w:r>
      <m:oMath>
        <m:r>
          <w:rPr>
            <w:rFonts w:ascii="Cambria Math" w:hAnsi="Cambria Math"/>
          </w:rPr>
          <m:t>n</m:t>
        </m:r>
      </m:oMath>
      <w:r>
        <w:t xml:space="preserve">, the model uses both the current-day features and their lagged values at </w:t>
      </w:r>
      <m:oMath>
        <m:r>
          <w:rPr>
            <w:rFonts w:ascii="Cambria Math" w:hAnsi="Cambria Math"/>
          </w:rPr>
          <m:t>t</m:t>
        </m:r>
      </m:oMath>
      <w:r>
        <w:t>, where the lag is a fixed hyperparameter (e.g., 10 days</w:t>
      </w:r>
      <w:r w:rsidR="00F42E35">
        <w:t xml:space="preserve">). </w:t>
      </w:r>
      <w:r w:rsidR="009E3832">
        <w:t>The extended feature vector and coefficients are written as:</w:t>
      </w:r>
    </w:p>
    <w:p w14:paraId="39FBBCD0" w14:textId="1804BC0B" w:rsidR="0003114F" w:rsidRPr="009E3832" w:rsidRDefault="00000000" w:rsidP="00195CCB">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oMath>
      </m:oMathPara>
    </w:p>
    <w:p w14:paraId="336AD35D" w14:textId="0FF9B36D" w:rsidR="009E3832" w:rsidRPr="000E69B1" w:rsidRDefault="009E3832" w:rsidP="00195CCB">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t>
          </m:r>
        </m:oMath>
      </m:oMathPara>
    </w:p>
    <w:p w14:paraId="4CFCBFE7" w14:textId="6BD79E0C" w:rsidR="000E69B1" w:rsidRDefault="0023789B" w:rsidP="00195CCB">
      <w:r>
        <w:lastRenderedPageBreak/>
        <w:t>Furthermore</w:t>
      </w:r>
      <w:r w:rsidR="004D3AEF">
        <w:t xml:space="preserve">, </w:t>
      </w:r>
      <w:r w:rsidR="00854C9F">
        <w:t xml:space="preserve">a </w:t>
      </w:r>
      <w:r w:rsidR="004D3AEF">
        <w:t>d</w:t>
      </w:r>
      <w:r w:rsidR="000E69B1" w:rsidRPr="000E69B1">
        <w:t xml:space="preserve">ynamic threshold is applied on the predicted probabilities to convert them into binary predictions, rather than using a fixed threshold </w:t>
      </w:r>
      <w:r w:rsidR="00D82FEA">
        <w:t xml:space="preserve">like </w:t>
      </w:r>
      <w:r w:rsidR="000E69B1" w:rsidRPr="000E69B1">
        <w:t>0.5</w:t>
      </w:r>
      <w:r w:rsidR="006C3EC2">
        <w:t xml:space="preserve"> in </w:t>
      </w:r>
      <w:r w:rsidR="004D4E85">
        <w:t xml:space="preserve">our </w:t>
      </w:r>
      <w:r w:rsidR="000656DA">
        <w:t>static logistic regression</w:t>
      </w:r>
      <w:r w:rsidR="006C3EC2">
        <w:t xml:space="preserve"> model</w:t>
      </w:r>
      <w:r w:rsidR="000E69B1" w:rsidRPr="000E69B1">
        <w:t>. The optimal threshold is chosen by maximizing the F1-score, calculated from the precision-recall curve on the test dat</w:t>
      </w:r>
      <w:r w:rsidR="000E69B1">
        <w:t>a:</w:t>
      </w:r>
    </w:p>
    <w:p w14:paraId="7BCCE078" w14:textId="37FA59D6" w:rsidR="000E69B1" w:rsidRPr="00C25398" w:rsidRDefault="000E69B1" w:rsidP="00195CCB">
      <m:oMathPara>
        <m:oMath>
          <m:r>
            <w:rPr>
              <w:rFonts w:ascii="Cambria Math" w:hAnsi="Cambria Math"/>
            </w:rPr>
            <m:t>Threshold=argma</m:t>
          </m:r>
          <m:sSub>
            <m:sSubPr>
              <m:ctrlPr>
                <w:rPr>
                  <w:rFonts w:ascii="Cambria Math" w:hAnsi="Cambria Math"/>
                  <w:i/>
                </w:rPr>
              </m:ctrlPr>
            </m:sSubPr>
            <m:e>
              <m:r>
                <w:rPr>
                  <w:rFonts w:ascii="Cambria Math" w:hAnsi="Cambria Math"/>
                </w:rPr>
                <m:t>x</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2∙Precision(θ)∙Recall(θ)</m:t>
              </m:r>
            </m:num>
            <m:den>
              <m:r>
                <w:rPr>
                  <w:rFonts w:ascii="Cambria Math" w:hAnsi="Cambria Math"/>
                </w:rPr>
                <m:t>Precision(θ)+Recall(θ)</m:t>
              </m:r>
            </m:den>
          </m:f>
          <m:r>
            <w:rPr>
              <w:rFonts w:ascii="Cambria Math" w:hAnsi="Cambria Math"/>
            </w:rPr>
            <m:t>)</m:t>
          </m:r>
        </m:oMath>
      </m:oMathPara>
    </w:p>
    <w:p w14:paraId="5F9CE0E3" w14:textId="0268F76B" w:rsidR="00C25398" w:rsidRPr="00195CCB" w:rsidRDefault="00C25398" w:rsidP="00195CCB">
      <w:r w:rsidRPr="00C25398">
        <w:t>This approach accounts for class imbalance and different cost sensitivities in prediction errors, yielding a threshold tuned specifically to the model’s performance on each test set.</w:t>
      </w:r>
    </w:p>
    <w:p w14:paraId="37E17049" w14:textId="55E32752" w:rsidR="00DE471C" w:rsidRDefault="00DE471C" w:rsidP="00DE471C">
      <w:pPr>
        <w:pStyle w:val="Heading3"/>
      </w:pPr>
      <w:r>
        <w:t>CNN</w:t>
      </w:r>
    </w:p>
    <w:p w14:paraId="3CFDA4A6" w14:textId="16E3C83A" w:rsidR="00E202BA" w:rsidRDefault="00E202BA" w:rsidP="00E202BA">
      <w:r>
        <w:t xml:space="preserve">For each volatility horizon </w:t>
      </w:r>
      <m:oMath>
        <m:r>
          <w:rPr>
            <w:rFonts w:ascii="Cambria Math" w:hAnsi="Cambria Math"/>
          </w:rPr>
          <m:t>n</m:t>
        </m:r>
      </m:oMath>
      <w:r>
        <w:t xml:space="preserve">, we constructed the input feature set using the same variables as the first static regression model, then standardized using StandardScaler, and transformed into rolling sequences of length </w:t>
      </w:r>
      <m:oMath>
        <m:r>
          <w:rPr>
            <w:rFonts w:ascii="Cambria Math" w:hAnsi="Cambria Math"/>
          </w:rPr>
          <m:t>w=22</m:t>
        </m:r>
      </m:oMath>
      <w:r>
        <w:t xml:space="preserve"> (approximately one trading month) to serve as inputs to the CNN. The target label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was aligned with the endpoint of each sequence, maintaining proper temporal order.</w:t>
      </w:r>
    </w:p>
    <w:p w14:paraId="14A66EBE" w14:textId="6B93E98C" w:rsidR="002E3287" w:rsidRDefault="002E3287" w:rsidP="00E202BA">
      <w:r w:rsidRPr="002E3287">
        <w:t>The CNN architecture consisted of two</w:t>
      </w:r>
      <w:r>
        <w:t xml:space="preserve"> 1D</w:t>
      </w:r>
      <w:r w:rsidRPr="002E3287">
        <w:t xml:space="preserve"> convolutional layers with ReLU activations: the first with 64 filters and a kernel size of 3, followed by max pooling, and a second convolutional layer with 128 filters. A global max pooling layer was applied to extract the most salient features, followed by dropout regularization and dense layers. The final output layer used a sigmoid activation function to produce probability estimates for binary classification.</w:t>
      </w:r>
    </w:p>
    <w:p w14:paraId="6C6140DA" w14:textId="2F9474DA" w:rsidR="009A7306" w:rsidRDefault="009A7306" w:rsidP="009A7306">
      <w:pPr>
        <w:jc w:val="center"/>
      </w:pPr>
      <w:r>
        <w:t>[INSERT DIAGRAM]</w:t>
      </w:r>
    </w:p>
    <w:p w14:paraId="3B9EABB2" w14:textId="4A5D9CC3" w:rsidR="002E3287" w:rsidRPr="00E202BA" w:rsidRDefault="001B0787" w:rsidP="00E202BA">
      <w:r w:rsidRPr="001B0787">
        <w:t xml:space="preserve">To handle class imbalance without disrupting the temporal structure of sequences, we applied class weighting during training. These weights were calculated using </w:t>
      </w:r>
      <w:r w:rsidR="00A155DB" w:rsidRPr="001B0787">
        <w:t>class</w:t>
      </w:r>
      <w:r w:rsidR="004E0F61">
        <w:t xml:space="preserve"> </w:t>
      </w:r>
      <w:r w:rsidR="00A155DB" w:rsidRPr="001B0787">
        <w:t>weight</w:t>
      </w:r>
      <w:r w:rsidR="004E0F61">
        <w:t xml:space="preserve"> computing</w:t>
      </w:r>
      <w:r w:rsidR="00A155DB" w:rsidRPr="001B0787">
        <w:t xml:space="preserve"> </w:t>
      </w:r>
      <w:r w:rsidR="00A155DB">
        <w:t xml:space="preserve">from </w:t>
      </w:r>
      <w:r w:rsidRPr="001B0787">
        <w:t>sklearn</w:t>
      </w:r>
      <w:r w:rsidR="004E0F61">
        <w:rPr>
          <w:rStyle w:val="FootnoteReference"/>
        </w:rPr>
        <w:footnoteReference w:id="5"/>
      </w:r>
      <w:r w:rsidR="00A155DB">
        <w:t xml:space="preserve"> </w:t>
      </w:r>
      <w:r w:rsidRPr="001B0787">
        <w:t>to penalize misclassification of the minority crash class.</w:t>
      </w:r>
      <w:r w:rsidR="009A7306">
        <w:t xml:space="preserve"> </w:t>
      </w:r>
      <w:r w:rsidR="0027773F">
        <w:t>Lastly</w:t>
      </w:r>
      <w:r w:rsidRPr="001B0787">
        <w:t>, a dynamic thresholding method was also applied to the CNN outputs.</w:t>
      </w:r>
    </w:p>
    <w:p w14:paraId="6A4793AA" w14:textId="3A498896" w:rsidR="00104F17" w:rsidRDefault="00DE471C" w:rsidP="004E037E">
      <w:pPr>
        <w:pStyle w:val="Heading3"/>
      </w:pPr>
      <w:r>
        <w:t>LSTM</w:t>
      </w:r>
      <w:r w:rsidR="001935C2">
        <w:t xml:space="preserve"> (</w:t>
      </w:r>
      <w:r w:rsidR="00040BD3">
        <w:t>Opt.?</w:t>
      </w:r>
      <w:r w:rsidR="001935C2">
        <w:t>)</w:t>
      </w:r>
    </w:p>
    <w:p w14:paraId="7E544C02" w14:textId="3FECE6F0" w:rsidR="0047713E" w:rsidRDefault="0047713E" w:rsidP="0047713E">
      <w:r w:rsidRPr="0047713E">
        <w:t>The LSTM architecture comprised a single LSTM layer with 64 units, followed by a dropout layer (rate = 0.3) to reduce overfitting, and a fully connected dense output layer with a sigmoid activation function for binary classification. The model was compiled with the binary cross-entropy loss function and optimized using the Adam optimizer with a learning rate of 0.001. Training was performed for 10 epochs using a batch size of 32, with 20% of the training data reserved for validation.</w:t>
      </w:r>
    </w:p>
    <w:p w14:paraId="128C6F51" w14:textId="0C3A20CF" w:rsidR="001A2288" w:rsidRDefault="001A2288" w:rsidP="001A2288">
      <w:pPr>
        <w:jc w:val="center"/>
      </w:pPr>
      <w:r>
        <w:t>[INSERT DIAGRAM]</w:t>
      </w:r>
    </w:p>
    <w:p w14:paraId="69F2147B" w14:textId="0CF0BB46" w:rsidR="0047713E" w:rsidRDefault="0047713E" w:rsidP="0047713E">
      <w:r w:rsidRPr="0047713E">
        <w:lastRenderedPageBreak/>
        <w:t xml:space="preserve">As with the </w:t>
      </w:r>
      <w:r w:rsidR="00514C8B">
        <w:t xml:space="preserve">dynamic </w:t>
      </w:r>
      <w:r w:rsidRPr="0047713E">
        <w:t>logistic regression and CNN models, a dynamic thresholding approach was applied to convert predicted probabilities into binary crash predictions.</w:t>
      </w:r>
    </w:p>
    <w:p w14:paraId="2C1034F4" w14:textId="563A549A" w:rsidR="00A3691E" w:rsidRPr="0047713E" w:rsidRDefault="00C258F7" w:rsidP="00A3691E">
      <w:pPr>
        <w:pStyle w:val="Heading3"/>
      </w:pPr>
      <w:r>
        <w:rPr>
          <w:lang w:val="en-US" w:bidi="th-TH"/>
        </w:rPr>
        <w:t xml:space="preserve">Another NN? </w:t>
      </w:r>
      <w:r w:rsidR="00A3691E">
        <w:t>Hybrid Model</w:t>
      </w:r>
      <w:r w:rsidR="00731CAB">
        <w:t xml:space="preserve"> with Combined Window</w:t>
      </w:r>
      <w:r w:rsidR="00A3691E">
        <w:t>?</w:t>
      </w:r>
      <w:r w:rsidR="00FD403F">
        <w:t xml:space="preserve"> SMO? Tree-based?</w:t>
      </w:r>
    </w:p>
    <w:p w14:paraId="75CB4033" w14:textId="2512FFC0" w:rsidR="005F7565" w:rsidRDefault="00104F17" w:rsidP="005F7565">
      <w:pPr>
        <w:pStyle w:val="Heading2"/>
      </w:pPr>
      <w:bookmarkStart w:id="21" w:name="_Toc204515578"/>
      <w:r>
        <w:t>Evaluation</w:t>
      </w:r>
      <w:r w:rsidR="00857FA0">
        <w:t xml:space="preserve"> Metrics</w:t>
      </w:r>
      <w:bookmarkEnd w:id="21"/>
    </w:p>
    <w:p w14:paraId="6EE7124A" w14:textId="2E4F8BD7" w:rsidR="00200F8B" w:rsidRPr="004C2561" w:rsidRDefault="00200F8B" w:rsidP="004C2561">
      <w:r w:rsidRPr="005F7565">
        <w:t>In evaluating Early Warning Systems (EWS) for financial crash prediction, selecting appropriate performance metrics is essential due to the highly imbalanced nature of crash events and the asymmetric cost of misclassification. In this context, we rank evaluation metrics based on their practical importance and alignment with the goals of a crash-detection system.</w:t>
      </w:r>
    </w:p>
    <w:p w14:paraId="7F97F4CF" w14:textId="77777777" w:rsidR="00371A68" w:rsidRDefault="00371A68" w:rsidP="00E40F9A">
      <w:pPr>
        <w:pStyle w:val="Heading3"/>
      </w:pPr>
      <w:bookmarkStart w:id="22" w:name="_Toc204515580"/>
      <w:r>
        <w:t xml:space="preserve">Confusion </w:t>
      </w:r>
      <w:r w:rsidRPr="00E40F9A">
        <w:t>Matrix</w:t>
      </w:r>
      <w:bookmarkEnd w:id="22"/>
    </w:p>
    <w:p w14:paraId="0397AFB3" w14:textId="77777777" w:rsidR="00371A68" w:rsidRDefault="00371A68" w:rsidP="00371A68">
      <w:r>
        <w:t>The confusion matrix provides a tabular representation of classification outcomes by comparing predicted labels with actual labels. It includes four components:</w:t>
      </w:r>
    </w:p>
    <w:p w14:paraId="6D3C1B4D" w14:textId="77777777" w:rsidR="00371A68" w:rsidRDefault="00371A68" w:rsidP="009D7B17">
      <w:pPr>
        <w:pStyle w:val="ListParagraph"/>
        <w:numPr>
          <w:ilvl w:val="0"/>
          <w:numId w:val="49"/>
        </w:numPr>
      </w:pPr>
      <w:r>
        <w:t>True Positives (TP): Correctly predicted crash instances.</w:t>
      </w:r>
    </w:p>
    <w:p w14:paraId="35F0386F" w14:textId="77777777" w:rsidR="00371A68" w:rsidRDefault="00371A68" w:rsidP="009D7B17">
      <w:pPr>
        <w:pStyle w:val="ListParagraph"/>
        <w:numPr>
          <w:ilvl w:val="0"/>
          <w:numId w:val="49"/>
        </w:numPr>
      </w:pPr>
      <w:r>
        <w:t>True Negatives (TN): Correctly predicted non-crash instances.</w:t>
      </w:r>
    </w:p>
    <w:p w14:paraId="5BB1BDAF" w14:textId="77777777" w:rsidR="00371A68" w:rsidRDefault="00371A68" w:rsidP="009D7B17">
      <w:pPr>
        <w:pStyle w:val="ListParagraph"/>
        <w:numPr>
          <w:ilvl w:val="0"/>
          <w:numId w:val="49"/>
        </w:numPr>
      </w:pPr>
      <w:r>
        <w:t>False Positives (FP): Non-crash instances incorrectly predicted as crashes.</w:t>
      </w:r>
    </w:p>
    <w:p w14:paraId="75051E74" w14:textId="3A1311CF" w:rsidR="0096110D" w:rsidRDefault="00371A68" w:rsidP="009D7B17">
      <w:pPr>
        <w:pStyle w:val="ListParagraph"/>
        <w:numPr>
          <w:ilvl w:val="0"/>
          <w:numId w:val="49"/>
        </w:numPr>
      </w:pPr>
      <w:r>
        <w:t>False Negatives (FN): Crash instances missed by the model.</w:t>
      </w:r>
      <w:bookmarkStart w:id="23" w:name="_Toc204515579"/>
    </w:p>
    <w:p w14:paraId="55FFEB70" w14:textId="13FEC5FA" w:rsidR="0096110D" w:rsidRDefault="0096110D" w:rsidP="0096110D">
      <w:pPr>
        <w:pStyle w:val="Heading3"/>
        <w:numPr>
          <w:ilvl w:val="0"/>
          <w:numId w:val="0"/>
        </w:numPr>
        <w:ind w:left="720" w:hanging="720"/>
      </w:pPr>
      <w:r w:rsidRPr="0096110D">
        <w:t>Confusion Matrix–Derived Metrics</w:t>
      </w:r>
    </w:p>
    <w:p w14:paraId="161A9B9D" w14:textId="6AFA9E89" w:rsidR="005F7565" w:rsidRDefault="005F7565" w:rsidP="005F7565">
      <w:pPr>
        <w:pStyle w:val="ListParagraph"/>
        <w:numPr>
          <w:ilvl w:val="0"/>
          <w:numId w:val="48"/>
        </w:numPr>
      </w:pPr>
      <w:r>
        <w:t>Sensitivity</w:t>
      </w:r>
      <w:r w:rsidR="00651CA8">
        <w:t xml:space="preserve"> </w:t>
      </w:r>
      <w:r w:rsidR="00651CA8">
        <w:t>(Recall or True Positive Rate)</w:t>
      </w:r>
      <w:r w:rsidR="00535E35">
        <w:t xml:space="preserve">: </w:t>
      </w:r>
      <w:r>
        <w:t>M</w:t>
      </w:r>
      <w:r w:rsidRPr="006A65F7">
        <w:t xml:space="preserve">easures the proportion of actual crash events correctly identified by the model. </w:t>
      </w:r>
      <w:r w:rsidR="00B111B3" w:rsidRPr="007C790A">
        <w:t>Sensitivity is the most critical metric for EWS, as missing a crash (false negative) can result in significant financial and economic consequences. A high sensitivity ensures that early warning signals are reliably triggered, even at the cost of some false alarms.</w:t>
      </w:r>
    </w:p>
    <w:p w14:paraId="41F4F2EE" w14:textId="2BA0CFED" w:rsidR="007C790A" w:rsidRPr="005F7565" w:rsidRDefault="005F7565" w:rsidP="00B111B3">
      <m:oMathPara>
        <m:oMath>
          <m:r>
            <w:rPr>
              <w:rFonts w:ascii="Cambria Math" w:hAnsi="Cambria Math"/>
            </w:rPr>
            <m:t xml:space="preserve">Sensitivity=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260036C6" w14:textId="66C45F2D" w:rsidR="00651CA8" w:rsidRDefault="00651CA8" w:rsidP="00651CA8">
      <w:pPr>
        <w:pStyle w:val="ListParagraph"/>
        <w:numPr>
          <w:ilvl w:val="0"/>
          <w:numId w:val="48"/>
        </w:numPr>
      </w:pPr>
      <w:r>
        <w:t>Specificity</w:t>
      </w:r>
      <w:r w:rsidR="00BB0FF2">
        <w:t xml:space="preserve"> </w:t>
      </w:r>
      <w:r w:rsidR="00BB0FF2" w:rsidRPr="006A65F7">
        <w:t>(True Negative Rate)</w:t>
      </w:r>
      <w:r w:rsidR="00535E35">
        <w:t xml:space="preserve">: </w:t>
      </w:r>
      <w:r>
        <w:t>C</w:t>
      </w:r>
      <w:r w:rsidRPr="00591E0B">
        <w:t>aptures the model’s ability to correctly identify non-crash periods.</w:t>
      </w:r>
      <w:r w:rsidR="00AD07AE">
        <w:t xml:space="preserve"> </w:t>
      </w:r>
      <w:r w:rsidR="00AD07AE" w:rsidRPr="00AD07AE">
        <w:t>While less critical than sensitivity, specificity helps control the rate of false alarms. Excessive false positives may erode user trust and reduce the practical utility of the EWS. Thus, specificity serves as a balancing factor to avoid overreactio</w:t>
      </w:r>
      <w:r w:rsidR="00AD07AE">
        <w:t>n.</w:t>
      </w:r>
    </w:p>
    <w:p w14:paraId="279C3EDE" w14:textId="302483E5" w:rsidR="00837537" w:rsidRPr="00200F8B" w:rsidRDefault="00651CA8" w:rsidP="00651CA8">
      <m:oMathPara>
        <m:oMath>
          <m:r>
            <w:rPr>
              <w:rFonts w:ascii="Cambria Math" w:hAnsi="Cambria Math"/>
            </w:rPr>
            <m:t xml:space="preserve">Specificity= </m:t>
          </m:r>
          <m:f>
            <m:fPr>
              <m:ctrlPr>
                <w:rPr>
                  <w:rFonts w:ascii="Cambria Math" w:hAnsi="Cambria Math"/>
                  <w:i/>
                </w:rPr>
              </m:ctrlPr>
            </m:fPr>
            <m:num>
              <m:r>
                <w:rPr>
                  <w:rFonts w:ascii="Cambria Math" w:hAnsi="Cambria Math"/>
                </w:rPr>
                <m:t>TN</m:t>
              </m:r>
            </m:num>
            <m:den>
              <m:r>
                <w:rPr>
                  <w:rFonts w:ascii="Cambria Math" w:hAnsi="Cambria Math"/>
                </w:rPr>
                <m:t>TN+FP</m:t>
              </m:r>
            </m:den>
          </m:f>
        </m:oMath>
      </m:oMathPara>
    </w:p>
    <w:p w14:paraId="5EF3F853" w14:textId="15916167" w:rsidR="00200F8B" w:rsidRDefault="00200F8B" w:rsidP="00200F8B">
      <w:pPr>
        <w:pStyle w:val="ListParagraph"/>
        <w:numPr>
          <w:ilvl w:val="0"/>
          <w:numId w:val="48"/>
        </w:numPr>
      </w:pPr>
      <w:r>
        <w:t>Accuracy</w:t>
      </w:r>
      <w:r w:rsidR="00D004AF">
        <w:t>: T</w:t>
      </w:r>
      <w:r w:rsidRPr="00200F8B">
        <w:t>he proportion of total correct predictions (both crash and non-crash) out of all instances</w:t>
      </w:r>
      <w:r w:rsidR="0040076E">
        <w:t xml:space="preserve">, </w:t>
      </w:r>
      <w:r w:rsidR="0042585B" w:rsidRPr="0042585B">
        <w:t>provides an overall summary of model performance. However, it can be misleading in imbalanced datasets, as a model could achieve high accuracy by simply predicting the majority class</w:t>
      </w:r>
      <w:r w:rsidR="0042585B">
        <w:t>.</w:t>
      </w:r>
    </w:p>
    <w:p w14:paraId="6AFFF477" w14:textId="3B956B5F" w:rsidR="00200F8B" w:rsidRPr="00E40F9A" w:rsidRDefault="00200F8B" w:rsidP="00200F8B">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6A869A1B" w14:textId="77777777" w:rsidR="00E40F9A" w:rsidRDefault="00E40F9A" w:rsidP="00C50553">
      <w:pPr>
        <w:pStyle w:val="Heading3"/>
      </w:pPr>
      <w:r>
        <w:lastRenderedPageBreak/>
        <w:t xml:space="preserve">Area Under </w:t>
      </w:r>
      <w:r w:rsidRPr="00C50553">
        <w:t>the</w:t>
      </w:r>
      <w:r>
        <w:t xml:space="preserve"> ROC Curve (AUC)</w:t>
      </w:r>
    </w:p>
    <w:p w14:paraId="67977207" w14:textId="06ADFC3D" w:rsidR="00C302E3" w:rsidRPr="00200F8B" w:rsidRDefault="00E40F9A" w:rsidP="00200F8B">
      <w:r w:rsidRPr="0084119F">
        <w:t>The AUC measures the ability of a classifier to distinguish between the positive and negative classes across all possible classification thresholds. It is derived from the Receiver Operating Characteristic (ROC) curve, which plots the true positive rate against the false positive rate. AUC values range from 0 to 1, where 0.5 indicates random guessing and 1.0 indicates perfect classification.</w:t>
      </w:r>
      <w:r w:rsidR="003C43B6">
        <w:t xml:space="preserve"> </w:t>
      </w:r>
      <w:r w:rsidR="003518A1">
        <w:t>While useful</w:t>
      </w:r>
      <w:r w:rsidR="003C43B6">
        <w:t>, i</w:t>
      </w:r>
      <w:r w:rsidR="00C302E3" w:rsidRPr="00C302E3">
        <w:t>t does not directly account for the practical cost of false negatives versus false positives, so it is used as a complementary indicator rather than a sole decision criterion.</w:t>
      </w:r>
    </w:p>
    <w:p w14:paraId="5DCD63F7" w14:textId="7669461B" w:rsidR="0084119F" w:rsidRDefault="0084119F" w:rsidP="009927CD">
      <w:pPr>
        <w:pStyle w:val="Heading2"/>
      </w:pPr>
      <w:bookmarkStart w:id="24" w:name="_Toc204515582"/>
      <w:bookmarkEnd w:id="23"/>
      <w:r>
        <w:t>Results</w:t>
      </w:r>
    </w:p>
    <w:p w14:paraId="5FF2BE26" w14:textId="1424B468" w:rsidR="0084119F" w:rsidRDefault="00BF65DF" w:rsidP="00BF3CC9">
      <w:pPr>
        <w:pStyle w:val="Heading3"/>
      </w:pPr>
      <w:r w:rsidRPr="00BF65DF">
        <w:t xml:space="preserve">Volatility Clustering Across Time </w:t>
      </w:r>
      <w:r w:rsidR="00477D3B">
        <w:t>Windows</w:t>
      </w:r>
    </w:p>
    <w:p w14:paraId="6CF99096" w14:textId="2610C707" w:rsidR="00BF65DF" w:rsidRDefault="00AC3631" w:rsidP="00BF65DF">
      <w:r w:rsidRPr="00AC3631">
        <w:drawing>
          <wp:inline distT="0" distB="0" distL="0" distR="0" wp14:anchorId="6CB00E17" wp14:editId="4484C970">
            <wp:extent cx="5270500" cy="2881630"/>
            <wp:effectExtent l="0" t="0" r="6350" b="0"/>
            <wp:docPr id="1228861178" name="Picture 1" descr="A graph showing a number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61178" name="Picture 1" descr="A graph showing a number of colored dots&#10;&#10;AI-generated content may be incorrect."/>
                    <pic:cNvPicPr/>
                  </pic:nvPicPr>
                  <pic:blipFill>
                    <a:blip r:embed="rId12"/>
                    <a:stretch>
                      <a:fillRect/>
                    </a:stretch>
                  </pic:blipFill>
                  <pic:spPr>
                    <a:xfrm>
                      <a:off x="0" y="0"/>
                      <a:ext cx="5270500" cy="2881630"/>
                    </a:xfrm>
                    <a:prstGeom prst="rect">
                      <a:avLst/>
                    </a:prstGeom>
                  </pic:spPr>
                </pic:pic>
              </a:graphicData>
            </a:graphic>
          </wp:inline>
        </w:drawing>
      </w:r>
    </w:p>
    <w:p w14:paraId="04D9675C" w14:textId="77601DE0" w:rsidR="00BF65DF" w:rsidRDefault="00BF65DF" w:rsidP="00BF65DF">
      <w:pPr>
        <w:pStyle w:val="figurecaption"/>
        <w:rPr>
          <w:b w:val="0"/>
        </w:rPr>
      </w:pPr>
      <w:r w:rsidRPr="007C0AB9">
        <w:t xml:space="preserve">Figure 1:  </w:t>
      </w:r>
      <w:r>
        <w:rPr>
          <w:b w:val="0"/>
        </w:rPr>
        <w:t>R</w:t>
      </w:r>
      <w:r w:rsidRPr="00BF65DF">
        <w:rPr>
          <w:b w:val="0"/>
        </w:rPr>
        <w:t xml:space="preserve">elationship between future crash and n-day market volatility combined with </w:t>
      </w:r>
      <w:r w:rsidR="006D3B45">
        <w:rPr>
          <w:b w:val="0"/>
        </w:rPr>
        <w:t xml:space="preserve">n-day </w:t>
      </w:r>
      <w:r w:rsidRPr="00BF65DF">
        <w:rPr>
          <w:b w:val="0"/>
        </w:rPr>
        <w:t>sentiment volatility</w:t>
      </w:r>
    </w:p>
    <w:p w14:paraId="20F80243" w14:textId="72BEEF68" w:rsidR="0014360E" w:rsidRDefault="00AC3631" w:rsidP="0014360E">
      <w:r w:rsidRPr="00AC3631">
        <w:drawing>
          <wp:inline distT="0" distB="0" distL="0" distR="0" wp14:anchorId="21F3573A" wp14:editId="5387552B">
            <wp:extent cx="5270500" cy="2610485"/>
            <wp:effectExtent l="0" t="0" r="6350" b="0"/>
            <wp:docPr id="875421834" name="Picture 1" descr="A group of images of different colore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21834" name="Picture 1" descr="A group of images of different colored shapes&#10;&#10;AI-generated content may be incorrect."/>
                    <pic:cNvPicPr/>
                  </pic:nvPicPr>
                  <pic:blipFill>
                    <a:blip r:embed="rId13"/>
                    <a:stretch>
                      <a:fillRect/>
                    </a:stretch>
                  </pic:blipFill>
                  <pic:spPr>
                    <a:xfrm>
                      <a:off x="0" y="0"/>
                      <a:ext cx="5270500" cy="2610485"/>
                    </a:xfrm>
                    <a:prstGeom prst="rect">
                      <a:avLst/>
                    </a:prstGeom>
                  </pic:spPr>
                </pic:pic>
              </a:graphicData>
            </a:graphic>
          </wp:inline>
        </w:drawing>
      </w:r>
    </w:p>
    <w:p w14:paraId="1FE6BE06" w14:textId="0D0EC672" w:rsidR="0014360E" w:rsidRPr="00B703B8" w:rsidRDefault="0014360E" w:rsidP="00B703B8">
      <w:pPr>
        <w:pStyle w:val="figurecaption"/>
        <w:rPr>
          <w:b w:val="0"/>
        </w:rPr>
      </w:pPr>
      <w:r w:rsidRPr="007C0AB9">
        <w:lastRenderedPageBreak/>
        <w:t xml:space="preserve">Figure </w:t>
      </w:r>
      <w:r>
        <w:t>2</w:t>
      </w:r>
      <w:r w:rsidRPr="007C0AB9">
        <w:t xml:space="preserve">:  </w:t>
      </w:r>
      <w:r w:rsidR="00F60BC9">
        <w:rPr>
          <w:b w:val="0"/>
        </w:rPr>
        <w:t>R</w:t>
      </w:r>
      <w:r w:rsidRPr="0014360E">
        <w:rPr>
          <w:b w:val="0"/>
        </w:rPr>
        <w:t>elationship between n-day market volatility and n-day sentiment volatility for each volatility period</w:t>
      </w:r>
    </w:p>
    <w:p w14:paraId="4B949974" w14:textId="4BEB6E5B" w:rsidR="00B703B8" w:rsidRDefault="00B703B8" w:rsidP="00B703B8">
      <w:r w:rsidRPr="00B703B8">
        <w:t xml:space="preserve">To assess the predictive utility of sentiment and market volatility in anticipating financial crashes, we examine their joint </w:t>
      </w:r>
      <w:r w:rsidRPr="00B703B8">
        <w:t>behaviour</w:t>
      </w:r>
      <w:r w:rsidRPr="00B703B8">
        <w:t xml:space="preserve"> over multiple forecast horizons. Figures </w:t>
      </w:r>
      <w:r>
        <w:t>1</w:t>
      </w:r>
      <w:r w:rsidRPr="00B703B8">
        <w:t xml:space="preserve"> and </w:t>
      </w:r>
      <w:r>
        <w:t>2</w:t>
      </w:r>
      <w:r w:rsidRPr="00B703B8">
        <w:t xml:space="preserve"> visualize the relationships between n-day market volatility and n-day sentiment volatility, </w:t>
      </w:r>
      <w:r w:rsidRPr="00B703B8">
        <w:t>labelled</w:t>
      </w:r>
      <w:r w:rsidRPr="00B703B8">
        <w:t xml:space="preserve"> by future crash occurrence (crash = 1, no crash = 0), across five rolling windows: 5, 22, 66, 132, and 252 days.</w:t>
      </w:r>
    </w:p>
    <w:p w14:paraId="539F4898" w14:textId="001BCDF4" w:rsidR="003D1EE3" w:rsidRDefault="003D1EE3" w:rsidP="003D1EE3">
      <w:r>
        <w:t xml:space="preserve">Figure </w:t>
      </w:r>
      <w:r>
        <w:t>2</w:t>
      </w:r>
      <w:r>
        <w:t xml:space="preserve"> reveals horizon-dependent structural differences in how volatility metrics associate with future crash outcomes. For shorter horizons (e.g., 5-day and 22-day </w:t>
      </w:r>
      <w:r w:rsidR="00C32DAD">
        <w:t>windows</w:t>
      </w:r>
      <w:r>
        <w:t>), crash events (orange points) are more dispersed and overlap significantly with non-crash instances. These crashes occur even when both market and sentiment volatilities are relatively low.</w:t>
      </w:r>
      <w:r w:rsidR="00D315DC">
        <w:t xml:space="preserve"> </w:t>
      </w:r>
      <w:r>
        <w:t xml:space="preserve">In contrast, the 132-day and 252-day </w:t>
      </w:r>
      <w:r w:rsidR="00C32DAD">
        <w:t>windows</w:t>
      </w:r>
      <w:r>
        <w:t xml:space="preserve"> show increased crash density in high market and/or high sentiment volatility regimes, suggesting that longer-term financial distress is more likely to be preceded by sustained turbulence in both market </w:t>
      </w:r>
      <w:r w:rsidR="00BF5F35">
        <w:t>behaviour</w:t>
      </w:r>
      <w:r>
        <w:t xml:space="preserve"> and investor sentiment.</w:t>
      </w:r>
    </w:p>
    <w:p w14:paraId="670026F5" w14:textId="60EEFB7A" w:rsidR="00237E0E" w:rsidRDefault="00B4039A" w:rsidP="00B4039A">
      <w:r>
        <w:t>Across all timeframes, but especially visible in the 22-day plot, crashes frequently emerge in regions of high sentiment volatility but moderate or low market volatility. This asymmetry suggests that sentiment volatility may serve as a leading indicator, with market volatility responding more sluggishly to systemic stress.</w:t>
      </w:r>
      <w:r w:rsidR="00254276">
        <w:t xml:space="preserve"> The result</w:t>
      </w:r>
      <w:r>
        <w:t xml:space="preserve"> is consistent with </w:t>
      </w:r>
      <w:r w:rsidR="009B5455">
        <w:t>behavioural</w:t>
      </w:r>
      <w:r>
        <w:t xml:space="preserve"> finance theories suggesting that investor mood and narrative instability often precede tangible price-based dislocations</w:t>
      </w:r>
      <w:r w:rsidR="0072727E">
        <w:t xml:space="preserve"> (Gaies et al., 2022)</w:t>
      </w:r>
      <w:r w:rsidR="00874663">
        <w:t>.</w:t>
      </w:r>
    </w:p>
    <w:p w14:paraId="6593F5BA" w14:textId="7C44CD9F" w:rsidR="00254276" w:rsidRPr="00237E0E" w:rsidRDefault="00254276" w:rsidP="00AC3631">
      <w:r w:rsidRPr="00254276">
        <w:t>The shape and density of crash-</w:t>
      </w:r>
      <w:r w:rsidRPr="00254276">
        <w:t>labelled</w:t>
      </w:r>
      <w:r w:rsidRPr="00254276">
        <w:t xml:space="preserve"> points across Figures </w:t>
      </w:r>
      <w:r>
        <w:t>1</w:t>
      </w:r>
      <w:r w:rsidRPr="00254276">
        <w:t xml:space="preserve"> and </w:t>
      </w:r>
      <w:r>
        <w:t>2</w:t>
      </w:r>
      <w:r w:rsidRPr="00254276">
        <w:t xml:space="preserve"> further suggest that volatility’s relationship to crash risk is highly nonlinear. There is no monotonic increase in crash likelihood with rising volatility</w:t>
      </w:r>
      <w:r>
        <w:t>;</w:t>
      </w:r>
      <w:r w:rsidRPr="00254276">
        <w:t xml:space="preserve"> rather, crashes concentrate in specific volatility "bands" that vary by forecast horizon. For example</w:t>
      </w:r>
      <w:r>
        <w:t xml:space="preserve">, </w:t>
      </w:r>
      <w:r w:rsidR="00AC3631">
        <w:t>a</w:t>
      </w:r>
      <w:r w:rsidR="00AC3631">
        <w:t xml:space="preserve">t the 66-day </w:t>
      </w:r>
      <w:r w:rsidR="003C2630">
        <w:t>window</w:t>
      </w:r>
      <w:r w:rsidR="00AC3631">
        <w:t>, crash points are mostly confined to a sentiment volatility range of 0.2</w:t>
      </w:r>
      <w:r w:rsidR="00AC3631">
        <w:t xml:space="preserve"> </w:t>
      </w:r>
      <w:r w:rsidR="0014368C">
        <w:t>to</w:t>
      </w:r>
      <w:r w:rsidR="00AC3631">
        <w:t xml:space="preserve"> 0.4</w:t>
      </w:r>
      <w:r w:rsidR="00AC3631">
        <w:t>, regardless of large variation in market volatility.</w:t>
      </w:r>
      <w:r w:rsidR="00AC3631">
        <w:t xml:space="preserve"> </w:t>
      </w:r>
      <w:r w:rsidR="00AC3631">
        <w:t>At the 132-</w:t>
      </w:r>
      <w:r w:rsidR="002B404B">
        <w:t>day</w:t>
      </w:r>
      <w:r w:rsidR="00AC3631">
        <w:t xml:space="preserve"> and 252-day </w:t>
      </w:r>
      <w:r w:rsidR="006B5EFC">
        <w:t>windows</w:t>
      </w:r>
      <w:r w:rsidR="00AC3631">
        <w:t xml:space="preserve">, a banded structure emerges where crashes are more likely when market volatility exceeds </w:t>
      </w:r>
      <w:r w:rsidR="005B66F1">
        <w:t xml:space="preserve">around </w:t>
      </w:r>
      <w:r w:rsidR="00AC3631">
        <w:t>10 and sentiment volatility ranges between 0.25 and 0.45.</w:t>
      </w:r>
    </w:p>
    <w:p w14:paraId="13CFBAC6" w14:textId="5DCDC796" w:rsidR="00BF3CC9" w:rsidRDefault="00BF3CC9" w:rsidP="00BF3CC9">
      <w:pPr>
        <w:pStyle w:val="Heading3"/>
      </w:pPr>
      <w:r>
        <w:t>Compared Models</w:t>
      </w:r>
    </w:p>
    <w:p w14:paraId="40B8337E" w14:textId="055AEA63" w:rsidR="00BF3CC9" w:rsidRDefault="00BF3CC9" w:rsidP="00BF3CC9">
      <w:pPr>
        <w:pStyle w:val="ListParagraph"/>
        <w:numPr>
          <w:ilvl w:val="0"/>
          <w:numId w:val="50"/>
        </w:numPr>
      </w:pPr>
      <w:r>
        <w:t>Static Logit</w:t>
      </w:r>
    </w:p>
    <w:p w14:paraId="0F40AD90" w14:textId="1E6FC927" w:rsidR="00BF3CC9" w:rsidRDefault="00BF3CC9" w:rsidP="00BF3CC9">
      <w:pPr>
        <w:pStyle w:val="ListParagraph"/>
        <w:numPr>
          <w:ilvl w:val="0"/>
          <w:numId w:val="50"/>
        </w:numPr>
      </w:pPr>
      <w:r>
        <w:t>Dynamic Logit</w:t>
      </w:r>
    </w:p>
    <w:p w14:paraId="74A0B3D2" w14:textId="6250D4C4" w:rsidR="00BF3CC9" w:rsidRDefault="00BF3CC9" w:rsidP="00BF3CC9">
      <w:pPr>
        <w:pStyle w:val="ListParagraph"/>
        <w:numPr>
          <w:ilvl w:val="0"/>
          <w:numId w:val="50"/>
        </w:numPr>
      </w:pPr>
      <w:r>
        <w:t>CNN</w:t>
      </w:r>
    </w:p>
    <w:p w14:paraId="4C0010B0" w14:textId="6C2882A0" w:rsidR="00BF3CC9" w:rsidRDefault="00BF3CC9" w:rsidP="00BF3CC9">
      <w:pPr>
        <w:pStyle w:val="ListParagraph"/>
        <w:numPr>
          <w:ilvl w:val="0"/>
          <w:numId w:val="50"/>
        </w:numPr>
      </w:pPr>
      <w:r>
        <w:t>LSTM</w:t>
      </w:r>
    </w:p>
    <w:p w14:paraId="447B02B6" w14:textId="5CC15193" w:rsidR="00BF3CC9" w:rsidRDefault="00BF3CC9" w:rsidP="00BF3CC9">
      <w:r>
        <w:t>Each model test 1. Market 2. Sentiment 3. Market + Sentiment</w:t>
      </w:r>
    </w:p>
    <w:p w14:paraId="1A64CB1F" w14:textId="6F7D8115" w:rsidR="001E0322" w:rsidRDefault="001E0322" w:rsidP="00BF3CC9">
      <w:r>
        <w:t>And also different windows [5, 22, 66, 132, 252]</w:t>
      </w:r>
    </w:p>
    <w:p w14:paraId="21ABDBF4" w14:textId="12A753C9" w:rsidR="00BF3CC9" w:rsidRDefault="00BF3CC9" w:rsidP="00BF3CC9">
      <w:r>
        <w:t xml:space="preserve">So, there is </w:t>
      </w:r>
      <w:r w:rsidR="001E0322">
        <w:t>60</w:t>
      </w:r>
      <w:r>
        <w:t xml:space="preserve"> model to compared</w:t>
      </w:r>
      <w:r w:rsidR="001E0322">
        <w:t>?</w:t>
      </w:r>
    </w:p>
    <w:p w14:paraId="0B1772E0" w14:textId="5177CA2C" w:rsidR="00C879A7" w:rsidRDefault="00C879A7" w:rsidP="00C879A7">
      <w:pPr>
        <w:pStyle w:val="Heading3"/>
      </w:pPr>
      <w:r>
        <w:lastRenderedPageBreak/>
        <w:t>Choosing the best model</w:t>
      </w:r>
    </w:p>
    <w:p w14:paraId="6FFBA54A" w14:textId="3DEEED4E" w:rsidR="00C879A7" w:rsidRDefault="00C879A7" w:rsidP="00C879A7">
      <w:pPr>
        <w:pStyle w:val="Heading3"/>
      </w:pPr>
      <w:r>
        <w:t>Results and Empirical interpretation</w:t>
      </w:r>
    </w:p>
    <w:p w14:paraId="6DF13F33" w14:textId="0C3B1017" w:rsidR="00C879A7" w:rsidRPr="00C879A7" w:rsidRDefault="00C879A7" w:rsidP="00C879A7">
      <w:r>
        <w:t>Answer research questions</w:t>
      </w:r>
    </w:p>
    <w:p w14:paraId="7B6D490A" w14:textId="2B4A55E1" w:rsidR="009927CD" w:rsidRDefault="009927CD" w:rsidP="009927CD">
      <w:pPr>
        <w:pStyle w:val="Heading2"/>
      </w:pPr>
      <w:r>
        <w:t>Out of Sample Analysis</w:t>
      </w:r>
      <w:bookmarkEnd w:id="24"/>
      <w:r w:rsidR="005F1D22">
        <w:t>?</w:t>
      </w:r>
    </w:p>
    <w:p w14:paraId="3643EC1D" w14:textId="044049EA" w:rsidR="0052480F" w:rsidRPr="007C0AB9" w:rsidRDefault="009927CD" w:rsidP="00E37976">
      <w:pPr>
        <w:pStyle w:val="ListParagraph"/>
        <w:numPr>
          <w:ilvl w:val="0"/>
          <w:numId w:val="40"/>
        </w:numPr>
      </w:pPr>
      <w:r>
        <w:t>Test the goodness of the previous model</w:t>
      </w:r>
    </w:p>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5" w:name="_Toc204515583"/>
      <w:r w:rsidRPr="007C0AB9">
        <w:lastRenderedPageBreak/>
        <w:t>Conclusion</w:t>
      </w:r>
      <w:bookmarkEnd w:id="25"/>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4"/>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26" w:name="_Toc204515584"/>
      <w:r w:rsidRPr="007C0AB9">
        <w:lastRenderedPageBreak/>
        <w:t>&lt;Name of appendix&gt;</w:t>
      </w:r>
      <w:bookmarkEnd w:id="26"/>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27" w:name="_Toc204515585"/>
      <w:r w:rsidRPr="007C0AB9">
        <w:lastRenderedPageBreak/>
        <w:t>&lt;Another appendix&gt;</w:t>
      </w:r>
      <w:bookmarkEnd w:id="27"/>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28" w:name="_Toc204515586"/>
      <w:r w:rsidRPr="007C0AB9">
        <w:lastRenderedPageBreak/>
        <w:t>Bibliography</w:t>
      </w:r>
      <w:bookmarkEnd w:id="28"/>
      <w:r w:rsidR="0052480F" w:rsidRPr="007C0AB9">
        <w:t xml:space="preserve"> </w:t>
      </w:r>
    </w:p>
    <w:p w14:paraId="1AC10FEF" w14:textId="5297DA20" w:rsidR="0052480F" w:rsidRDefault="0052480F" w:rsidP="0052480F">
      <w:pPr>
        <w:tabs>
          <w:tab w:val="left" w:pos="426"/>
        </w:tabs>
        <w:rPr>
          <w:sz w:val="20"/>
          <w:szCs w:val="20"/>
        </w:rPr>
      </w:pPr>
      <w:r w:rsidRPr="007C0AB9">
        <w:rPr>
          <w:sz w:val="20"/>
          <w:szCs w:val="20"/>
        </w:rPr>
        <w:t>[1]</w:t>
      </w:r>
      <w:r w:rsidR="00D21090">
        <w:rPr>
          <w:sz w:val="20"/>
          <w:szCs w:val="20"/>
        </w:rPr>
        <w:tab/>
      </w:r>
      <w:r w:rsidR="00840FEA" w:rsidRPr="00840FEA">
        <w:rPr>
          <w:sz w:val="20"/>
          <w:szCs w:val="20"/>
        </w:rPr>
        <w:t xml:space="preserve">Kustina, L., Sudarsono, R., &amp; Effendi, N. (2023). Market crash factors and developing an early warning system: Evidence from Asia. </w:t>
      </w:r>
      <w:r w:rsidR="00840FEA" w:rsidRPr="003A1BA1">
        <w:rPr>
          <w:i/>
          <w:iCs/>
          <w:sz w:val="20"/>
          <w:szCs w:val="20"/>
        </w:rPr>
        <w:t>Investment Management and Financial Innovations</w:t>
      </w:r>
      <w:r w:rsidR="00840FEA" w:rsidRPr="00EE50A6">
        <w:rPr>
          <w:i/>
          <w:iCs/>
          <w:sz w:val="20"/>
          <w:szCs w:val="20"/>
        </w:rPr>
        <w:t>, 20</w:t>
      </w:r>
      <w:r w:rsidR="00840FEA" w:rsidRPr="00553CBD">
        <w:rPr>
          <w:sz w:val="20"/>
          <w:szCs w:val="20"/>
        </w:rPr>
        <w:t>(3)</w:t>
      </w:r>
      <w:r w:rsidR="00840FEA" w:rsidRPr="00EE50A6">
        <w:rPr>
          <w:sz w:val="20"/>
          <w:szCs w:val="20"/>
        </w:rPr>
        <w:t>,</w:t>
      </w:r>
      <w:r w:rsidR="00840FEA" w:rsidRPr="00840FEA">
        <w:rPr>
          <w:sz w:val="20"/>
          <w:szCs w:val="20"/>
        </w:rPr>
        <w:t xml:space="preserve"> 1</w:t>
      </w:r>
      <w:r w:rsidR="007F73B9">
        <w:rPr>
          <w:sz w:val="20"/>
          <w:szCs w:val="20"/>
        </w:rPr>
        <w:t>16</w:t>
      </w:r>
      <w:r w:rsidR="00840FEA" w:rsidRPr="00840FEA">
        <w:rPr>
          <w:sz w:val="20"/>
          <w:szCs w:val="20"/>
        </w:rPr>
        <w:t>–1</w:t>
      </w:r>
      <w:r w:rsidR="007F73B9">
        <w:rPr>
          <w:sz w:val="20"/>
          <w:szCs w:val="20"/>
        </w:rPr>
        <w:t>25</w:t>
      </w:r>
      <w:r w:rsidR="00840FEA" w:rsidRPr="00840FEA">
        <w:rPr>
          <w:sz w:val="20"/>
          <w:szCs w:val="20"/>
        </w:rPr>
        <w:t>.</w:t>
      </w:r>
      <w:r w:rsidR="00840FEA">
        <w:rPr>
          <w:sz w:val="20"/>
          <w:szCs w:val="20"/>
        </w:rPr>
        <w:t xml:space="preserve"> </w:t>
      </w:r>
      <w:hyperlink r:id="rId15" w:history="1">
        <w:r w:rsidR="00D21090" w:rsidRPr="00A96A38">
          <w:rPr>
            <w:rStyle w:val="Hyperlink"/>
            <w:sz w:val="20"/>
            <w:szCs w:val="20"/>
          </w:rPr>
          <w:t>https://doi.org/10.21511/imfi.20(3).2023.10</w:t>
        </w:r>
      </w:hyperlink>
    </w:p>
    <w:p w14:paraId="434CF1FA" w14:textId="71B8B8A7" w:rsidR="00840FEA" w:rsidRDefault="00D21090" w:rsidP="0052480F">
      <w:pPr>
        <w:tabs>
          <w:tab w:val="left" w:pos="426"/>
        </w:tabs>
        <w:rPr>
          <w:sz w:val="20"/>
          <w:szCs w:val="20"/>
        </w:rPr>
      </w:pPr>
      <w:r>
        <w:rPr>
          <w:sz w:val="20"/>
          <w:szCs w:val="20"/>
        </w:rPr>
        <w:t>[2]</w:t>
      </w:r>
      <w:r>
        <w:rPr>
          <w:sz w:val="20"/>
          <w:szCs w:val="20"/>
        </w:rPr>
        <w:tab/>
      </w:r>
      <w:r w:rsidR="00840FEA" w:rsidRPr="00840FEA">
        <w:rPr>
          <w:sz w:val="20"/>
          <w:szCs w:val="20"/>
        </w:rPr>
        <w:t xml:space="preserve">Song, </w:t>
      </w:r>
      <w:r w:rsidR="00840FEA">
        <w:rPr>
          <w:sz w:val="20"/>
          <w:szCs w:val="20"/>
        </w:rPr>
        <w:t>S</w:t>
      </w:r>
      <w:r w:rsidR="00840FEA" w:rsidRPr="00840FEA">
        <w:rPr>
          <w:sz w:val="20"/>
          <w:szCs w:val="20"/>
        </w:rPr>
        <w:t xml:space="preserve">., &amp; Li, </w:t>
      </w:r>
      <w:r w:rsidR="00840FEA">
        <w:rPr>
          <w:sz w:val="20"/>
          <w:szCs w:val="20"/>
        </w:rPr>
        <w:t>H</w:t>
      </w:r>
      <w:r w:rsidR="00840FEA" w:rsidRPr="00840FEA">
        <w:rPr>
          <w:sz w:val="20"/>
          <w:szCs w:val="20"/>
        </w:rPr>
        <w:t xml:space="preserve">. (2024). Early warning signals for stock market crashes: Empirical and analytical insights utilizing nonlinear methods. </w:t>
      </w:r>
      <w:r w:rsidR="00840FEA" w:rsidRPr="00EE50A6">
        <w:rPr>
          <w:i/>
          <w:iCs/>
          <w:sz w:val="20"/>
          <w:szCs w:val="20"/>
        </w:rPr>
        <w:t>EPJ Data Science, 13</w:t>
      </w:r>
      <w:r w:rsidR="00840FEA" w:rsidRPr="00840FEA">
        <w:rPr>
          <w:sz w:val="20"/>
          <w:szCs w:val="20"/>
        </w:rPr>
        <w:t xml:space="preserve">, </w:t>
      </w:r>
      <w:r w:rsidR="00503EA5">
        <w:rPr>
          <w:sz w:val="20"/>
          <w:szCs w:val="20"/>
        </w:rPr>
        <w:t>16</w:t>
      </w:r>
      <w:r w:rsidR="00840FEA" w:rsidRPr="00840FEA">
        <w:rPr>
          <w:sz w:val="20"/>
          <w:szCs w:val="20"/>
        </w:rPr>
        <w:t xml:space="preserve">. </w:t>
      </w:r>
      <w:hyperlink r:id="rId16" w:history="1">
        <w:r w:rsidR="00840FEA" w:rsidRPr="00EA6B1A">
          <w:rPr>
            <w:rStyle w:val="Hyperlink"/>
            <w:sz w:val="20"/>
            <w:szCs w:val="20"/>
          </w:rPr>
          <w:t>https://doi.org/10.1140/epjds/s13688-024-00457-2</w:t>
        </w:r>
      </w:hyperlink>
    </w:p>
    <w:p w14:paraId="2FEEA08B" w14:textId="740B2FF7"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Stocktwits investor sentiment using FinBERT and ensemble SVM. </w:t>
      </w:r>
      <w:r w:rsidRPr="00B65963">
        <w:rPr>
          <w:i/>
          <w:iCs/>
          <w:sz w:val="20"/>
          <w:szCs w:val="20"/>
        </w:rPr>
        <w:t>PeerJ Computer Science, 9</w:t>
      </w:r>
      <w:r w:rsidR="00B65963">
        <w:rPr>
          <w:sz w:val="20"/>
          <w:szCs w:val="20"/>
        </w:rPr>
        <w:t>,</w:t>
      </w:r>
      <w:r w:rsidR="003A1BA1" w:rsidRPr="003A1BA1">
        <w:t xml:space="preserve"> </w:t>
      </w:r>
      <w:r w:rsidR="003A1BA1" w:rsidRPr="003A1BA1">
        <w:rPr>
          <w:sz w:val="20"/>
          <w:szCs w:val="20"/>
        </w:rPr>
        <w:t>e1403</w:t>
      </w:r>
      <w:r w:rsidRPr="00D21090">
        <w:rPr>
          <w:sz w:val="20"/>
          <w:szCs w:val="20"/>
        </w:rPr>
        <w:t xml:space="preserve">. </w:t>
      </w:r>
      <w:hyperlink r:id="rId17" w:history="1">
        <w:r w:rsidRPr="00A96A38">
          <w:rPr>
            <w:rStyle w:val="Hyperlink"/>
            <w:sz w:val="20"/>
            <w:szCs w:val="20"/>
          </w:rPr>
          <w:t>https://doi.org/10.7717/peerj-cs.1403</w:t>
        </w:r>
      </w:hyperlink>
    </w:p>
    <w:p w14:paraId="455A9607" w14:textId="2361F7CF" w:rsidR="00D21090" w:rsidRDefault="00D21090" w:rsidP="0052480F">
      <w:pPr>
        <w:tabs>
          <w:tab w:val="left" w:pos="426"/>
        </w:tabs>
        <w:rPr>
          <w:sz w:val="20"/>
          <w:szCs w:val="20"/>
        </w:rPr>
      </w:pPr>
      <w:r>
        <w:rPr>
          <w:sz w:val="20"/>
          <w:szCs w:val="20"/>
        </w:rPr>
        <w:t>[4]</w:t>
      </w:r>
      <w:r>
        <w:rPr>
          <w:sz w:val="20"/>
          <w:szCs w:val="20"/>
        </w:rPr>
        <w:tab/>
      </w:r>
      <w:r w:rsidR="00553CBD" w:rsidRPr="00553CBD">
        <w:rPr>
          <w:sz w:val="20"/>
          <w:szCs w:val="20"/>
        </w:rPr>
        <w:t xml:space="preserve">Allaj, E., &amp; Sanfelici, S. (2023). Early warning systems for identifying financial instability. </w:t>
      </w:r>
      <w:r w:rsidR="00553CBD" w:rsidRPr="00553CBD">
        <w:rPr>
          <w:i/>
          <w:iCs/>
          <w:sz w:val="20"/>
          <w:szCs w:val="20"/>
        </w:rPr>
        <w:t>International Journal of Forecasting, 39</w:t>
      </w:r>
      <w:r w:rsidR="00553CBD" w:rsidRPr="00553CBD">
        <w:rPr>
          <w:sz w:val="20"/>
          <w:szCs w:val="20"/>
        </w:rPr>
        <w:t>(4), 1777–1803</w:t>
      </w:r>
      <w:r w:rsidR="00553CBD">
        <w:rPr>
          <w:sz w:val="20"/>
          <w:szCs w:val="20"/>
        </w:rPr>
        <w:t>.</w:t>
      </w:r>
      <w:r w:rsidRPr="00D21090">
        <w:rPr>
          <w:sz w:val="20"/>
          <w:szCs w:val="20"/>
        </w:rPr>
        <w:t xml:space="preserve"> </w:t>
      </w:r>
      <w:hyperlink r:id="rId18" w:history="1">
        <w:r w:rsidRPr="00A96A38">
          <w:rPr>
            <w:rStyle w:val="Hyperlink"/>
            <w:sz w:val="20"/>
            <w:szCs w:val="20"/>
          </w:rPr>
          <w:t>https://doi.org/10.1016/j.ijforecast.2022.08.004</w:t>
        </w:r>
      </w:hyperlink>
    </w:p>
    <w:p w14:paraId="0E78F02A" w14:textId="45DE6744" w:rsidR="00D21090" w:rsidRDefault="00D21090" w:rsidP="0052480F">
      <w:pPr>
        <w:tabs>
          <w:tab w:val="left" w:pos="426"/>
        </w:tabs>
        <w:rPr>
          <w:sz w:val="20"/>
          <w:szCs w:val="20"/>
        </w:rPr>
      </w:pPr>
      <w:r>
        <w:rPr>
          <w:sz w:val="20"/>
          <w:szCs w:val="20"/>
        </w:rPr>
        <w:t>[5]</w:t>
      </w:r>
      <w:r>
        <w:rPr>
          <w:sz w:val="20"/>
          <w:szCs w:val="20"/>
        </w:rPr>
        <w:tab/>
      </w:r>
      <w:r w:rsidRPr="00D21090">
        <w:rPr>
          <w:sz w:val="20"/>
          <w:szCs w:val="20"/>
        </w:rPr>
        <w:t>Park, M., Peterson, M., &amp; Weisbrod, E.H. (2024). Top-Down vs. Bottom-Up Index Forecasts: Are Market Strategists Strategically Pessimistic?</w:t>
      </w:r>
      <w:r w:rsidR="00363B4B" w:rsidRPr="00363B4B">
        <w:t xml:space="preserve"> </w:t>
      </w:r>
      <w:r w:rsidR="00363B4B" w:rsidRPr="00363B4B">
        <w:rPr>
          <w:i/>
          <w:iCs/>
          <w:sz w:val="20"/>
          <w:szCs w:val="20"/>
        </w:rPr>
        <w:t>SSRN Electronic Journal</w:t>
      </w:r>
      <w:r w:rsidR="00363B4B" w:rsidRPr="00363B4B">
        <w:rPr>
          <w:sz w:val="20"/>
          <w:szCs w:val="20"/>
        </w:rPr>
        <w:t>.</w:t>
      </w:r>
      <w:r w:rsidRPr="00D21090">
        <w:rPr>
          <w:sz w:val="20"/>
          <w:szCs w:val="20"/>
        </w:rPr>
        <w:t xml:space="preserve">  </w:t>
      </w:r>
      <w:hyperlink r:id="rId19" w:history="1">
        <w:r w:rsidRPr="00A96A38">
          <w:rPr>
            <w:rStyle w:val="Hyperlink"/>
            <w:sz w:val="20"/>
            <w:szCs w:val="20"/>
          </w:rPr>
          <w:t>http://dx.doi.org/10.2139/ssrn.4695279</w:t>
        </w:r>
      </w:hyperlink>
    </w:p>
    <w:p w14:paraId="0BCEBF6D" w14:textId="157045D6" w:rsidR="00D21090" w:rsidRDefault="00D21090" w:rsidP="0052480F">
      <w:pPr>
        <w:tabs>
          <w:tab w:val="left" w:pos="426"/>
        </w:tabs>
        <w:rPr>
          <w:sz w:val="20"/>
          <w:szCs w:val="20"/>
        </w:rPr>
      </w:pPr>
      <w:r>
        <w:rPr>
          <w:sz w:val="20"/>
          <w:szCs w:val="20"/>
        </w:rPr>
        <w:t>[6]</w:t>
      </w:r>
      <w:r>
        <w:rPr>
          <w:sz w:val="20"/>
          <w:szCs w:val="20"/>
        </w:rPr>
        <w:tab/>
      </w:r>
      <w:r w:rsidRPr="00D21090">
        <w:rPr>
          <w:sz w:val="20"/>
          <w:szCs w:val="20"/>
        </w:rPr>
        <w:t>Le, T.H. (2024)</w:t>
      </w:r>
      <w:r w:rsidR="007A37C1">
        <w:rPr>
          <w:sz w:val="20"/>
          <w:szCs w:val="20"/>
        </w:rPr>
        <w:t>.</w:t>
      </w:r>
      <w:r w:rsidRPr="00D21090">
        <w:rPr>
          <w:sz w:val="20"/>
          <w:szCs w:val="20"/>
        </w:rPr>
        <w:t xml:space="preserve"> Forecasting value-at-risk and expected shortfall in emerging market: does forecast combination help? </w:t>
      </w:r>
      <w:r w:rsidRPr="00CB31E9">
        <w:rPr>
          <w:i/>
          <w:iCs/>
          <w:sz w:val="20"/>
          <w:szCs w:val="20"/>
        </w:rPr>
        <w:t>Journal of Risk Finance,</w:t>
      </w:r>
      <w:r w:rsidR="00CB31E9">
        <w:rPr>
          <w:i/>
          <w:iCs/>
          <w:sz w:val="20"/>
          <w:szCs w:val="20"/>
        </w:rPr>
        <w:t xml:space="preserve"> </w:t>
      </w:r>
      <w:r w:rsidRPr="00CB31E9">
        <w:rPr>
          <w:i/>
          <w:iCs/>
          <w:sz w:val="20"/>
          <w:szCs w:val="20"/>
        </w:rPr>
        <w:t>25</w:t>
      </w:r>
      <w:r w:rsidR="00CB31E9">
        <w:rPr>
          <w:sz w:val="20"/>
          <w:szCs w:val="20"/>
        </w:rPr>
        <w:t>(</w:t>
      </w:r>
      <w:r w:rsidRPr="00D21090">
        <w:rPr>
          <w:sz w:val="20"/>
          <w:szCs w:val="20"/>
        </w:rPr>
        <w:t>1</w:t>
      </w:r>
      <w:r w:rsidR="00CB31E9">
        <w:rPr>
          <w:sz w:val="20"/>
          <w:szCs w:val="20"/>
        </w:rPr>
        <w:t>)</w:t>
      </w:r>
      <w:r w:rsidRPr="00D21090">
        <w:rPr>
          <w:sz w:val="20"/>
          <w:szCs w:val="20"/>
        </w:rPr>
        <w:t xml:space="preserve">, 160-177. </w:t>
      </w:r>
      <w:hyperlink r:id="rId20" w:history="1">
        <w:r w:rsidRPr="00A96A38">
          <w:rPr>
            <w:rStyle w:val="Hyperlink"/>
            <w:sz w:val="20"/>
            <w:szCs w:val="20"/>
          </w:rPr>
          <w:t>https://doi.org/10.1108/JRF-06-2023-0137</w:t>
        </w:r>
      </w:hyperlink>
    </w:p>
    <w:p w14:paraId="4F311482" w14:textId="7C2782E0" w:rsidR="0052480F" w:rsidRDefault="00D21090" w:rsidP="00D21090">
      <w:pPr>
        <w:tabs>
          <w:tab w:val="left" w:pos="426"/>
        </w:tabs>
        <w:rPr>
          <w:sz w:val="20"/>
          <w:szCs w:val="20"/>
        </w:rPr>
      </w:pPr>
      <w:r>
        <w:rPr>
          <w:sz w:val="20"/>
          <w:szCs w:val="20"/>
        </w:rPr>
        <w:t>[7]</w:t>
      </w:r>
      <w:r>
        <w:rPr>
          <w:sz w:val="20"/>
          <w:szCs w:val="20"/>
        </w:rPr>
        <w:tab/>
      </w:r>
      <w:r w:rsidR="000B0B7F" w:rsidRPr="000B0B7F">
        <w:rPr>
          <w:sz w:val="20"/>
          <w:szCs w:val="20"/>
        </w:rPr>
        <w:t xml:space="preserve">Huang, A. H., Wang, H., &amp; Yang, Y. (2020). FinBERT – A large language model for extracting information from financial text. </w:t>
      </w:r>
      <w:r w:rsidR="000B0B7F" w:rsidRPr="000B0B7F">
        <w:rPr>
          <w:i/>
          <w:iCs/>
          <w:sz w:val="20"/>
          <w:szCs w:val="20"/>
        </w:rPr>
        <w:t>SSRN Electronic Journal</w:t>
      </w:r>
      <w:r w:rsidR="000B0B7F" w:rsidRPr="000B0B7F">
        <w:rPr>
          <w:sz w:val="20"/>
          <w:szCs w:val="20"/>
        </w:rPr>
        <w:t>.</w:t>
      </w:r>
      <w:r w:rsidRPr="00D21090">
        <w:rPr>
          <w:sz w:val="20"/>
          <w:szCs w:val="20"/>
        </w:rPr>
        <w:t xml:space="preserve"> </w:t>
      </w:r>
      <w:hyperlink r:id="rId21" w:history="1">
        <w:r w:rsidRPr="00A96A38">
          <w:rPr>
            <w:rStyle w:val="Hyperlink"/>
            <w:sz w:val="20"/>
            <w:szCs w:val="20"/>
          </w:rPr>
          <w:t>http://dx.doi.org/10.2139/ssrn.3910214</w:t>
        </w:r>
      </w:hyperlink>
    </w:p>
    <w:p w14:paraId="3C1BB3A9" w14:textId="4075B824" w:rsidR="00F71AA7" w:rsidRDefault="00F71AA7" w:rsidP="00D21090">
      <w:pPr>
        <w:tabs>
          <w:tab w:val="left" w:pos="426"/>
        </w:tabs>
      </w:pPr>
      <w:r>
        <w:rPr>
          <w:sz w:val="20"/>
          <w:szCs w:val="20"/>
        </w:rPr>
        <w:t>[8]</w:t>
      </w:r>
      <w:r w:rsidR="00E54E14">
        <w:rPr>
          <w:sz w:val="20"/>
          <w:szCs w:val="20"/>
        </w:rPr>
        <w:tab/>
      </w:r>
      <w:r w:rsidR="00274A4F" w:rsidRPr="00274A4F">
        <w:rPr>
          <w:sz w:val="20"/>
          <w:szCs w:val="20"/>
        </w:rPr>
        <w:t xml:space="preserve">Kaminsky, G., Lizondo, S., &amp; Reinhart, C. M. (1998). Leading indicators of currency crises. </w:t>
      </w:r>
      <w:r w:rsidR="00274A4F" w:rsidRPr="00274A4F">
        <w:rPr>
          <w:i/>
          <w:iCs/>
          <w:sz w:val="20"/>
          <w:szCs w:val="20"/>
        </w:rPr>
        <w:t>IMF Staff Papers, 45</w:t>
      </w:r>
      <w:r w:rsidR="00274A4F" w:rsidRPr="00274A4F">
        <w:rPr>
          <w:sz w:val="20"/>
          <w:szCs w:val="20"/>
        </w:rPr>
        <w:t>(1), 1–48</w:t>
      </w:r>
      <w:r w:rsidR="00E54E14" w:rsidRPr="00E54E14">
        <w:rPr>
          <w:sz w:val="20"/>
          <w:szCs w:val="20"/>
        </w:rPr>
        <w:t xml:space="preserve"> </w:t>
      </w:r>
      <w:hyperlink r:id="rId22" w:history="1">
        <w:r w:rsidR="00E54E14" w:rsidRPr="00A96A38">
          <w:rPr>
            <w:rStyle w:val="Hyperlink"/>
            <w:sz w:val="20"/>
            <w:szCs w:val="20"/>
          </w:rPr>
          <w:t>https://EconPapers.repec.org/RePEc:pal:imfstp:v:45:y:1998:i:1:p:1-48</w:t>
        </w:r>
      </w:hyperlink>
    </w:p>
    <w:p w14:paraId="38880BD4" w14:textId="6B65A556" w:rsidR="00466C03" w:rsidRDefault="00334A96" w:rsidP="00334A96">
      <w:pPr>
        <w:tabs>
          <w:tab w:val="left" w:pos="426"/>
        </w:tabs>
        <w:rPr>
          <w:sz w:val="20"/>
          <w:szCs w:val="20"/>
        </w:rPr>
      </w:pPr>
      <w:r>
        <w:rPr>
          <w:sz w:val="20"/>
          <w:szCs w:val="20"/>
        </w:rPr>
        <w:t>[9]</w:t>
      </w:r>
      <w:r w:rsidR="0042047A">
        <w:tab/>
      </w:r>
      <w:r w:rsidR="0042047A" w:rsidRPr="0042047A">
        <w:rPr>
          <w:sz w:val="20"/>
          <w:szCs w:val="20"/>
        </w:rPr>
        <w:t xml:space="preserve">Kaminsky, G., &amp; Reinhart, C. M. (1999). The twin crises: The causes of banking and balance-of-payments problems. </w:t>
      </w:r>
      <w:r w:rsidR="0042047A" w:rsidRPr="0042047A">
        <w:rPr>
          <w:i/>
          <w:iCs/>
          <w:sz w:val="20"/>
          <w:szCs w:val="20"/>
        </w:rPr>
        <w:t>American Economic Review, 89</w:t>
      </w:r>
      <w:r w:rsidR="0042047A" w:rsidRPr="0042047A">
        <w:rPr>
          <w:sz w:val="20"/>
          <w:szCs w:val="20"/>
        </w:rPr>
        <w:t>(3), 473–500</w:t>
      </w:r>
      <w:r w:rsidRPr="00334A96">
        <w:rPr>
          <w:sz w:val="20"/>
          <w:szCs w:val="20"/>
        </w:rPr>
        <w:t>.</w:t>
      </w:r>
      <w:r w:rsidR="00466C03">
        <w:rPr>
          <w:sz w:val="20"/>
          <w:szCs w:val="20"/>
        </w:rPr>
        <w:t xml:space="preserve"> </w:t>
      </w:r>
      <w:hyperlink r:id="rId23" w:history="1">
        <w:r w:rsidR="00466C03" w:rsidRPr="00C41D9B">
          <w:rPr>
            <w:rStyle w:val="Hyperlink"/>
            <w:sz w:val="20"/>
            <w:szCs w:val="20"/>
          </w:rPr>
          <w:t>https://doi.org/10.1257/aer.89.3.473</w:t>
        </w:r>
      </w:hyperlink>
    </w:p>
    <w:p w14:paraId="6C9DDEBD" w14:textId="7A456039"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1D162E">
        <w:rPr>
          <w:sz w:val="20"/>
          <w:szCs w:val="20"/>
        </w:rPr>
        <w:tab/>
      </w:r>
      <w:r w:rsidR="00C15D15" w:rsidRPr="00C15D15">
        <w:rPr>
          <w:sz w:val="20"/>
          <w:szCs w:val="20"/>
        </w:rPr>
        <w:t xml:space="preserve">Jemović, M., &amp; Marinković, S. (2019). Determinants of financial crises—An early warning system based on panel, logit regression. </w:t>
      </w:r>
      <w:r w:rsidR="00C15D15" w:rsidRPr="00C15D15">
        <w:rPr>
          <w:i/>
          <w:iCs/>
          <w:sz w:val="20"/>
          <w:szCs w:val="20"/>
        </w:rPr>
        <w:t>International Journal of Finance &amp; Economics, 24</w:t>
      </w:r>
      <w:r w:rsidR="00C15D15" w:rsidRPr="00C15D15">
        <w:rPr>
          <w:sz w:val="20"/>
          <w:szCs w:val="20"/>
        </w:rPr>
        <w:t>(4), 1–15</w:t>
      </w:r>
      <w:r w:rsidR="003B551F">
        <w:rPr>
          <w:sz w:val="20"/>
          <w:szCs w:val="20"/>
        </w:rPr>
        <w:t xml:space="preserve">. </w:t>
      </w:r>
      <w:hyperlink r:id="rId24" w:history="1">
        <w:r w:rsidR="003B551F" w:rsidRPr="00C41D9B">
          <w:rPr>
            <w:rStyle w:val="Hyperlink"/>
            <w:sz w:val="20"/>
            <w:szCs w:val="20"/>
          </w:rPr>
          <w:t>https://doi.org/10.1002/ijfe.1779</w:t>
        </w:r>
      </w:hyperlink>
    </w:p>
    <w:p w14:paraId="11CD6781" w14:textId="7A871907" w:rsidR="00791331" w:rsidRDefault="00791331" w:rsidP="00791331">
      <w:pPr>
        <w:tabs>
          <w:tab w:val="left" w:pos="426"/>
        </w:tabs>
        <w:rPr>
          <w:sz w:val="20"/>
          <w:szCs w:val="20"/>
        </w:rPr>
      </w:pPr>
      <w:r>
        <w:rPr>
          <w:sz w:val="20"/>
          <w:szCs w:val="20"/>
        </w:rPr>
        <w:t>[11]</w:t>
      </w:r>
      <w:r w:rsidR="001D162E">
        <w:rPr>
          <w:sz w:val="20"/>
          <w:szCs w:val="20"/>
        </w:rPr>
        <w:tab/>
      </w:r>
      <w:r w:rsidR="006B1105" w:rsidRPr="006B1105">
        <w:rPr>
          <w:sz w:val="20"/>
          <w:szCs w:val="20"/>
        </w:rPr>
        <w:t xml:space="preserve">Bussière, M., &amp; Fratzscher, M. (2006). Towards a new early warning system of financial crises. </w:t>
      </w:r>
      <w:r w:rsidR="006B1105" w:rsidRPr="006B1105">
        <w:rPr>
          <w:i/>
          <w:iCs/>
          <w:sz w:val="20"/>
          <w:szCs w:val="20"/>
        </w:rPr>
        <w:t>Journal of International Money and Finance, 25</w:t>
      </w:r>
      <w:r w:rsidR="006B1105" w:rsidRPr="006B1105">
        <w:rPr>
          <w:sz w:val="20"/>
          <w:szCs w:val="20"/>
        </w:rPr>
        <w:t>(6), 953–973</w:t>
      </w:r>
      <w:r w:rsidR="006B1105">
        <w:rPr>
          <w:sz w:val="20"/>
          <w:szCs w:val="20"/>
        </w:rPr>
        <w:t xml:space="preserve">. </w:t>
      </w:r>
      <w:hyperlink r:id="rId25" w:history="1">
        <w:r w:rsidR="00466C03" w:rsidRPr="00C41D9B">
          <w:rPr>
            <w:rStyle w:val="Hyperlink"/>
            <w:sz w:val="20"/>
            <w:szCs w:val="20"/>
          </w:rPr>
          <w:t>https://doi.org/10.1016/j.jimonfin.2006.07.007</w:t>
        </w:r>
      </w:hyperlink>
      <w:r w:rsidRPr="00791331">
        <w:rPr>
          <w:sz w:val="20"/>
          <w:szCs w:val="20"/>
        </w:rPr>
        <w:t>.</w:t>
      </w:r>
    </w:p>
    <w:p w14:paraId="4659ECBF" w14:textId="0F5C2C49" w:rsidR="00466C03" w:rsidRDefault="001D162E" w:rsidP="00791331">
      <w:pPr>
        <w:tabs>
          <w:tab w:val="left" w:pos="426"/>
        </w:tabs>
        <w:rPr>
          <w:sz w:val="20"/>
          <w:szCs w:val="20"/>
        </w:rPr>
      </w:pPr>
      <w:r>
        <w:rPr>
          <w:sz w:val="20"/>
          <w:szCs w:val="20"/>
        </w:rPr>
        <w:t>[12]</w:t>
      </w:r>
      <w:r>
        <w:rPr>
          <w:sz w:val="20"/>
          <w:szCs w:val="20"/>
        </w:rPr>
        <w:tab/>
      </w:r>
      <w:r w:rsidRPr="001D162E">
        <w:rPr>
          <w:sz w:val="20"/>
          <w:szCs w:val="20"/>
        </w:rPr>
        <w:t xml:space="preserve">Parras-Gutiérrez, E., Rivas, V. M., García-Arenas, M., &amp; del Jesús, M. J. (2014). Short-, medium- and long-term forecasting of time series using the L-Co-R algorithm. </w:t>
      </w:r>
      <w:r w:rsidRPr="009E6193">
        <w:rPr>
          <w:i/>
          <w:iCs/>
          <w:sz w:val="20"/>
          <w:szCs w:val="20"/>
        </w:rPr>
        <w:t>Neurocomputing, 128</w:t>
      </w:r>
      <w:r w:rsidRPr="001D162E">
        <w:rPr>
          <w:sz w:val="20"/>
          <w:szCs w:val="20"/>
        </w:rPr>
        <w:t xml:space="preserve">, 433–446. </w:t>
      </w:r>
      <w:hyperlink r:id="rId26" w:history="1">
        <w:r w:rsidR="00202C33" w:rsidRPr="00EA6B1A">
          <w:rPr>
            <w:rStyle w:val="Hyperlink"/>
            <w:sz w:val="20"/>
            <w:szCs w:val="20"/>
          </w:rPr>
          <w:t>https://doi.org/10.1016/j.neucom.2013.08.023</w:t>
        </w:r>
      </w:hyperlink>
    </w:p>
    <w:p w14:paraId="06776ACB" w14:textId="517094D1" w:rsidR="00824480" w:rsidRDefault="009E6193" w:rsidP="00791331">
      <w:pPr>
        <w:tabs>
          <w:tab w:val="left" w:pos="426"/>
        </w:tabs>
        <w:rPr>
          <w:sz w:val="20"/>
          <w:szCs w:val="20"/>
        </w:rPr>
      </w:pPr>
      <w:r>
        <w:rPr>
          <w:sz w:val="20"/>
          <w:szCs w:val="20"/>
        </w:rPr>
        <w:t>[13]</w:t>
      </w:r>
      <w:r>
        <w:rPr>
          <w:sz w:val="20"/>
          <w:szCs w:val="20"/>
        </w:rPr>
        <w:tab/>
      </w:r>
      <w:r w:rsidRPr="009E6193">
        <w:rPr>
          <w:sz w:val="20"/>
          <w:szCs w:val="20"/>
        </w:rPr>
        <w:t xml:space="preserve">Budhidharma, Valentino &amp; Sembel, Roy &amp; Hulu, Edison &amp; Ugut, Gracia. (2023). Early warning signs of financial distress using random forest and logit model. </w:t>
      </w:r>
      <w:r w:rsidRPr="009E6193">
        <w:rPr>
          <w:i/>
          <w:iCs/>
          <w:sz w:val="20"/>
          <w:szCs w:val="20"/>
        </w:rPr>
        <w:t>Corporate and Business Strategy Review, 4</w:t>
      </w:r>
      <w:r>
        <w:rPr>
          <w:sz w:val="20"/>
          <w:szCs w:val="20"/>
        </w:rPr>
        <w:t>,</w:t>
      </w:r>
      <w:r w:rsidRPr="009E6193">
        <w:rPr>
          <w:sz w:val="20"/>
          <w:szCs w:val="20"/>
        </w:rPr>
        <w:t xml:space="preserve"> 69-88.</w:t>
      </w:r>
      <w:r w:rsidR="00824480">
        <w:rPr>
          <w:sz w:val="20"/>
          <w:szCs w:val="20"/>
        </w:rPr>
        <w:t xml:space="preserve"> </w:t>
      </w:r>
      <w:hyperlink r:id="rId27" w:history="1">
        <w:r w:rsidR="00824480" w:rsidRPr="00EA6B1A">
          <w:rPr>
            <w:rStyle w:val="Hyperlink"/>
            <w:sz w:val="20"/>
            <w:szCs w:val="20"/>
          </w:rPr>
          <w:t>https://doi.org/10.22495/cbsrv4i4art8</w:t>
        </w:r>
      </w:hyperlink>
    </w:p>
    <w:p w14:paraId="20D357FA" w14:textId="765D44D1" w:rsidR="00824480" w:rsidRDefault="00824480" w:rsidP="00204FBB">
      <w:pPr>
        <w:tabs>
          <w:tab w:val="left" w:pos="426"/>
        </w:tabs>
        <w:rPr>
          <w:sz w:val="20"/>
          <w:szCs w:val="20"/>
        </w:rPr>
      </w:pPr>
      <w:r>
        <w:rPr>
          <w:sz w:val="20"/>
          <w:szCs w:val="20"/>
        </w:rPr>
        <w:lastRenderedPageBreak/>
        <w:t xml:space="preserve">[14] </w:t>
      </w:r>
      <w:r w:rsidR="00204FBB" w:rsidRPr="00204FBB">
        <w:rPr>
          <w:sz w:val="20"/>
          <w:szCs w:val="20"/>
        </w:rPr>
        <w:t>Chawla, N. V., Bowyer, K. W., Hall, L. O., &amp; Kegelmeyer, W. P. (2002). SMOTE: Synthetic minority over-sampling technique</w:t>
      </w:r>
      <w:r w:rsidR="00204FBB" w:rsidRPr="00204FBB">
        <w:rPr>
          <w:i/>
          <w:iCs/>
          <w:sz w:val="20"/>
          <w:szCs w:val="20"/>
        </w:rPr>
        <w:t>. Journal of Artificial Intelligence Research, 16</w:t>
      </w:r>
      <w:r w:rsidR="00204FBB" w:rsidRPr="00204FBB">
        <w:rPr>
          <w:sz w:val="20"/>
          <w:szCs w:val="20"/>
        </w:rPr>
        <w:t xml:space="preserve">, 321–357. </w:t>
      </w:r>
      <w:hyperlink r:id="rId28" w:history="1">
        <w:r w:rsidR="00F15D34" w:rsidRPr="00783D8C">
          <w:rPr>
            <w:rStyle w:val="Hyperlink"/>
            <w:sz w:val="20"/>
            <w:szCs w:val="20"/>
          </w:rPr>
          <w:t>https://doi.org/10.1613/jair.953</w:t>
        </w:r>
      </w:hyperlink>
    </w:p>
    <w:p w14:paraId="062067ED" w14:textId="5B4F5206" w:rsidR="00824480" w:rsidRDefault="00F15D34" w:rsidP="00791331">
      <w:pPr>
        <w:tabs>
          <w:tab w:val="left" w:pos="426"/>
        </w:tabs>
        <w:rPr>
          <w:sz w:val="20"/>
          <w:szCs w:val="20"/>
        </w:rPr>
      </w:pPr>
      <w:r>
        <w:rPr>
          <w:sz w:val="20"/>
          <w:szCs w:val="20"/>
        </w:rPr>
        <w:t>[15]</w:t>
      </w:r>
      <w:r w:rsidR="00D40085">
        <w:rPr>
          <w:sz w:val="20"/>
          <w:szCs w:val="20"/>
        </w:rPr>
        <w:tab/>
      </w:r>
      <w:r w:rsidRPr="00F15D34">
        <w:rPr>
          <w:sz w:val="20"/>
          <w:szCs w:val="20"/>
        </w:rPr>
        <w:t>Box, G.E.P., Jenkins, G.M. and Reinsel, G.C. (2008)</w:t>
      </w:r>
      <w:r>
        <w:rPr>
          <w:sz w:val="20"/>
          <w:szCs w:val="20"/>
        </w:rPr>
        <w:t>.</w:t>
      </w:r>
      <w:r w:rsidRPr="00F15D34">
        <w:rPr>
          <w:sz w:val="20"/>
          <w:szCs w:val="20"/>
        </w:rPr>
        <w:t xml:space="preserve"> Time Series Analysis: Forecasting and Control. 4th Edition, </w:t>
      </w:r>
      <w:r w:rsidRPr="00F15D34">
        <w:rPr>
          <w:i/>
          <w:iCs/>
          <w:sz w:val="20"/>
          <w:szCs w:val="20"/>
        </w:rPr>
        <w:t>Wiley, Oxford</w:t>
      </w:r>
      <w:r w:rsidRPr="00F15D34">
        <w:rPr>
          <w:sz w:val="20"/>
          <w:szCs w:val="20"/>
        </w:rPr>
        <w:t xml:space="preserve">. </w:t>
      </w:r>
      <w:hyperlink r:id="rId29" w:history="1">
        <w:r w:rsidRPr="00783D8C">
          <w:rPr>
            <w:rStyle w:val="Hyperlink"/>
            <w:sz w:val="20"/>
            <w:szCs w:val="20"/>
          </w:rPr>
          <w:t>https://doi.org/10.1002/9781118619193</w:t>
        </w:r>
      </w:hyperlink>
    </w:p>
    <w:p w14:paraId="728295A6" w14:textId="6E0D265C" w:rsidR="00F15D34" w:rsidRDefault="00686240" w:rsidP="001F644D">
      <w:pPr>
        <w:tabs>
          <w:tab w:val="left" w:pos="426"/>
        </w:tabs>
        <w:rPr>
          <w:sz w:val="20"/>
          <w:szCs w:val="20"/>
        </w:rPr>
      </w:pPr>
      <w:r>
        <w:rPr>
          <w:sz w:val="20"/>
          <w:szCs w:val="20"/>
        </w:rPr>
        <w:t>[16]</w:t>
      </w:r>
      <w:r>
        <w:rPr>
          <w:sz w:val="20"/>
          <w:szCs w:val="20"/>
        </w:rPr>
        <w:tab/>
      </w:r>
      <w:r w:rsidRPr="00686240">
        <w:rPr>
          <w:sz w:val="20"/>
          <w:szCs w:val="20"/>
        </w:rPr>
        <w:t>Hiew</w:t>
      </w:r>
      <w:r>
        <w:rPr>
          <w:sz w:val="20"/>
          <w:szCs w:val="20"/>
        </w:rPr>
        <w:t xml:space="preserve"> </w:t>
      </w:r>
      <w:r w:rsidRPr="00686240">
        <w:rPr>
          <w:sz w:val="20"/>
          <w:szCs w:val="20"/>
        </w:rPr>
        <w:t>J</w:t>
      </w:r>
      <w:r>
        <w:rPr>
          <w:sz w:val="20"/>
          <w:szCs w:val="20"/>
        </w:rPr>
        <w:t xml:space="preserve">. </w:t>
      </w:r>
      <w:r w:rsidRPr="00686240">
        <w:rPr>
          <w:sz w:val="20"/>
          <w:szCs w:val="20"/>
        </w:rPr>
        <w:t>Z</w:t>
      </w:r>
      <w:r>
        <w:rPr>
          <w:sz w:val="20"/>
          <w:szCs w:val="20"/>
        </w:rPr>
        <w:t xml:space="preserve">. </w:t>
      </w:r>
      <w:r w:rsidRPr="00686240">
        <w:rPr>
          <w:sz w:val="20"/>
          <w:szCs w:val="20"/>
        </w:rPr>
        <w:t>G</w:t>
      </w:r>
      <w:r>
        <w:rPr>
          <w:sz w:val="20"/>
          <w:szCs w:val="20"/>
        </w:rPr>
        <w:t>.</w:t>
      </w:r>
      <w:r w:rsidRPr="00686240">
        <w:rPr>
          <w:sz w:val="20"/>
          <w:szCs w:val="20"/>
        </w:rPr>
        <w:t>,</w:t>
      </w:r>
      <w:r>
        <w:rPr>
          <w:sz w:val="20"/>
          <w:szCs w:val="20"/>
        </w:rPr>
        <w:t xml:space="preserve"> </w:t>
      </w:r>
      <w:r w:rsidRPr="00686240">
        <w:rPr>
          <w:sz w:val="20"/>
          <w:szCs w:val="20"/>
        </w:rPr>
        <w:t>Huang</w:t>
      </w:r>
      <w:r>
        <w:rPr>
          <w:sz w:val="20"/>
          <w:szCs w:val="20"/>
        </w:rPr>
        <w:t xml:space="preserve"> </w:t>
      </w:r>
      <w:r w:rsidRPr="00686240">
        <w:rPr>
          <w:sz w:val="20"/>
          <w:szCs w:val="20"/>
        </w:rPr>
        <w:t>X</w:t>
      </w:r>
      <w:r>
        <w:rPr>
          <w:sz w:val="20"/>
          <w:szCs w:val="20"/>
        </w:rPr>
        <w:t>.</w:t>
      </w:r>
      <w:r w:rsidRPr="00686240">
        <w:rPr>
          <w:sz w:val="20"/>
          <w:szCs w:val="20"/>
        </w:rPr>
        <w:t>,</w:t>
      </w:r>
      <w:r>
        <w:rPr>
          <w:sz w:val="20"/>
          <w:szCs w:val="20"/>
        </w:rPr>
        <w:t xml:space="preserve"> </w:t>
      </w:r>
      <w:r w:rsidRPr="00686240">
        <w:rPr>
          <w:sz w:val="20"/>
          <w:szCs w:val="20"/>
        </w:rPr>
        <w:t>Mou</w:t>
      </w:r>
      <w:r>
        <w:rPr>
          <w:sz w:val="20"/>
          <w:szCs w:val="20"/>
        </w:rPr>
        <w:t xml:space="preserve"> </w:t>
      </w:r>
      <w:r w:rsidRPr="00686240">
        <w:rPr>
          <w:sz w:val="20"/>
          <w:szCs w:val="20"/>
        </w:rPr>
        <w:t>H</w:t>
      </w:r>
      <w:r>
        <w:rPr>
          <w:sz w:val="20"/>
          <w:szCs w:val="20"/>
        </w:rPr>
        <w:t>.</w:t>
      </w:r>
      <w:r w:rsidRPr="00686240">
        <w:rPr>
          <w:sz w:val="20"/>
          <w:szCs w:val="20"/>
        </w:rPr>
        <w:t>,</w:t>
      </w:r>
      <w:r>
        <w:rPr>
          <w:sz w:val="20"/>
          <w:szCs w:val="20"/>
        </w:rPr>
        <w:t xml:space="preserve"> </w:t>
      </w:r>
      <w:r w:rsidRPr="00686240">
        <w:rPr>
          <w:sz w:val="20"/>
          <w:szCs w:val="20"/>
        </w:rPr>
        <w:t>Li</w:t>
      </w:r>
      <w:r>
        <w:rPr>
          <w:sz w:val="20"/>
          <w:szCs w:val="20"/>
        </w:rPr>
        <w:t xml:space="preserve"> </w:t>
      </w:r>
      <w:r w:rsidRPr="00686240">
        <w:rPr>
          <w:sz w:val="20"/>
          <w:szCs w:val="20"/>
        </w:rPr>
        <w:t>D</w:t>
      </w:r>
      <w:r>
        <w:rPr>
          <w:sz w:val="20"/>
          <w:szCs w:val="20"/>
        </w:rPr>
        <w:t>.</w:t>
      </w:r>
      <w:r w:rsidRPr="00686240">
        <w:rPr>
          <w:sz w:val="20"/>
          <w:szCs w:val="20"/>
        </w:rPr>
        <w:t>,</w:t>
      </w:r>
      <w:r>
        <w:rPr>
          <w:sz w:val="20"/>
          <w:szCs w:val="20"/>
        </w:rPr>
        <w:t xml:space="preserve"> </w:t>
      </w:r>
      <w:r w:rsidRPr="00686240">
        <w:rPr>
          <w:sz w:val="20"/>
          <w:szCs w:val="20"/>
        </w:rPr>
        <w:t>Wu</w:t>
      </w:r>
      <w:r>
        <w:rPr>
          <w:sz w:val="20"/>
          <w:szCs w:val="20"/>
        </w:rPr>
        <w:t xml:space="preserve"> </w:t>
      </w:r>
      <w:r w:rsidRPr="00686240">
        <w:rPr>
          <w:sz w:val="20"/>
          <w:szCs w:val="20"/>
        </w:rPr>
        <w:t>Q</w:t>
      </w:r>
      <w:r>
        <w:rPr>
          <w:sz w:val="20"/>
          <w:szCs w:val="20"/>
        </w:rPr>
        <w:t>.</w:t>
      </w:r>
      <w:r w:rsidRPr="00686240">
        <w:rPr>
          <w:sz w:val="20"/>
          <w:szCs w:val="20"/>
        </w:rPr>
        <w:t>,</w:t>
      </w:r>
      <w:r>
        <w:rPr>
          <w:sz w:val="20"/>
          <w:szCs w:val="20"/>
        </w:rPr>
        <w:t xml:space="preserve"> </w:t>
      </w:r>
      <w:r w:rsidRPr="00686240">
        <w:rPr>
          <w:sz w:val="20"/>
          <w:szCs w:val="20"/>
        </w:rPr>
        <w:t>Xu</w:t>
      </w:r>
      <w:r>
        <w:rPr>
          <w:sz w:val="20"/>
          <w:szCs w:val="20"/>
        </w:rPr>
        <w:t xml:space="preserve"> </w:t>
      </w:r>
      <w:r w:rsidRPr="00686240">
        <w:rPr>
          <w:sz w:val="20"/>
          <w:szCs w:val="20"/>
        </w:rPr>
        <w:t>Y.</w:t>
      </w:r>
      <w:r>
        <w:rPr>
          <w:sz w:val="20"/>
          <w:szCs w:val="20"/>
        </w:rPr>
        <w:t xml:space="preserve"> (</w:t>
      </w:r>
      <w:r w:rsidRPr="00686240">
        <w:rPr>
          <w:sz w:val="20"/>
          <w:szCs w:val="20"/>
        </w:rPr>
        <w:t>2019</w:t>
      </w:r>
      <w:r>
        <w:rPr>
          <w:sz w:val="20"/>
          <w:szCs w:val="20"/>
        </w:rPr>
        <w:t>)</w:t>
      </w:r>
      <w:r w:rsidRPr="00686240">
        <w:rPr>
          <w:sz w:val="20"/>
          <w:szCs w:val="20"/>
        </w:rPr>
        <w:t>.</w:t>
      </w:r>
      <w:r>
        <w:rPr>
          <w:sz w:val="20"/>
          <w:szCs w:val="20"/>
        </w:rPr>
        <w:t xml:space="preserve"> </w:t>
      </w:r>
      <w:r w:rsidRPr="00686240">
        <w:rPr>
          <w:sz w:val="20"/>
          <w:szCs w:val="20"/>
        </w:rPr>
        <w:t>BERT-based</w:t>
      </w:r>
      <w:r>
        <w:rPr>
          <w:sz w:val="20"/>
          <w:szCs w:val="20"/>
        </w:rPr>
        <w:t xml:space="preserve"> </w:t>
      </w:r>
      <w:r w:rsidRPr="00686240">
        <w:rPr>
          <w:sz w:val="20"/>
          <w:szCs w:val="20"/>
        </w:rPr>
        <w:t>financial</w:t>
      </w:r>
      <w:r>
        <w:rPr>
          <w:sz w:val="20"/>
          <w:szCs w:val="20"/>
        </w:rPr>
        <w:t xml:space="preserve"> </w:t>
      </w:r>
      <w:r w:rsidRPr="00686240">
        <w:rPr>
          <w:sz w:val="20"/>
          <w:szCs w:val="20"/>
        </w:rPr>
        <w:t xml:space="preserve">sentiment index and LSTM-based stock return predictability. </w:t>
      </w:r>
      <w:r w:rsidR="001F644D" w:rsidRPr="001F644D">
        <w:rPr>
          <w:i/>
          <w:iCs/>
          <w:sz w:val="20"/>
          <w:szCs w:val="20"/>
        </w:rPr>
        <w:tab/>
        <w:t>Statistical Finance</w:t>
      </w:r>
      <w:r w:rsidR="001F644D">
        <w:rPr>
          <w:sz w:val="20"/>
          <w:szCs w:val="20"/>
        </w:rPr>
        <w:t xml:space="preserve"> </w:t>
      </w:r>
      <w:r w:rsidRPr="001F644D">
        <w:rPr>
          <w:i/>
          <w:iCs/>
          <w:sz w:val="20"/>
          <w:szCs w:val="20"/>
        </w:rPr>
        <w:t>[q-fin.ST]</w:t>
      </w:r>
      <w:r w:rsidR="001F644D">
        <w:rPr>
          <w:sz w:val="20"/>
          <w:szCs w:val="20"/>
        </w:rPr>
        <w:t>,</w:t>
      </w:r>
      <w:r w:rsidRPr="00686240">
        <w:rPr>
          <w:sz w:val="20"/>
          <w:szCs w:val="20"/>
        </w:rPr>
        <w:t xml:space="preserve"> ArXiv preprint. arXiv:1906.09024</w:t>
      </w:r>
      <w:r w:rsidR="001F644D">
        <w:rPr>
          <w:sz w:val="20"/>
          <w:szCs w:val="20"/>
        </w:rPr>
        <w:t xml:space="preserve">. </w:t>
      </w:r>
      <w:hyperlink r:id="rId30" w:history="1">
        <w:r w:rsidR="00201E1E" w:rsidRPr="00F0596A">
          <w:rPr>
            <w:rStyle w:val="Hyperlink"/>
            <w:sz w:val="20"/>
            <w:szCs w:val="20"/>
          </w:rPr>
          <w:t>https://doi.org/10.48550/arXiv.1906.09024</w:t>
        </w:r>
      </w:hyperlink>
    </w:p>
    <w:p w14:paraId="481FCCE3" w14:textId="7D97A8A1" w:rsidR="00686240" w:rsidRDefault="00201E1E" w:rsidP="00686240">
      <w:pPr>
        <w:tabs>
          <w:tab w:val="left" w:pos="426"/>
        </w:tabs>
        <w:rPr>
          <w:sz w:val="20"/>
          <w:szCs w:val="20"/>
        </w:rPr>
      </w:pPr>
      <w:r>
        <w:rPr>
          <w:sz w:val="20"/>
          <w:szCs w:val="20"/>
        </w:rPr>
        <w:t>[17]</w:t>
      </w:r>
      <w:r w:rsidR="006214F6">
        <w:rPr>
          <w:sz w:val="20"/>
          <w:szCs w:val="20"/>
        </w:rPr>
        <w:tab/>
      </w:r>
      <w:r w:rsidRPr="00201E1E">
        <w:rPr>
          <w:sz w:val="20"/>
          <w:szCs w:val="20"/>
        </w:rPr>
        <w:t>Bonde, G.</w:t>
      </w:r>
      <w:r>
        <w:rPr>
          <w:sz w:val="20"/>
          <w:szCs w:val="20"/>
        </w:rPr>
        <w:t xml:space="preserve"> </w:t>
      </w:r>
      <w:r w:rsidRPr="00201E1E">
        <w:rPr>
          <w:sz w:val="20"/>
          <w:szCs w:val="20"/>
        </w:rPr>
        <w:t>Khaled</w:t>
      </w:r>
      <w:r>
        <w:rPr>
          <w:sz w:val="20"/>
          <w:szCs w:val="20"/>
        </w:rPr>
        <w:t xml:space="preserve"> R.</w:t>
      </w:r>
      <w:r w:rsidRPr="00201E1E">
        <w:rPr>
          <w:sz w:val="20"/>
          <w:szCs w:val="20"/>
        </w:rPr>
        <w:t xml:space="preserve"> (2012). Extracting the best features for predicting stock prices using machine learning.</w:t>
      </w:r>
      <w:r>
        <w:rPr>
          <w:sz w:val="20"/>
          <w:szCs w:val="20"/>
        </w:rPr>
        <w:t xml:space="preserve"> </w:t>
      </w:r>
      <w:r w:rsidRPr="00201E1E">
        <w:rPr>
          <w:i/>
          <w:iCs/>
          <w:sz w:val="20"/>
          <w:szCs w:val="20"/>
        </w:rPr>
        <w:t>Institute of Artificial Intelligence</w:t>
      </w:r>
      <w:r w:rsidR="009458D2">
        <w:rPr>
          <w:i/>
          <w:iCs/>
          <w:sz w:val="20"/>
          <w:szCs w:val="20"/>
        </w:rPr>
        <w:t>,</w:t>
      </w:r>
      <w:r w:rsidRPr="00201E1E">
        <w:rPr>
          <w:i/>
          <w:iCs/>
          <w:sz w:val="20"/>
          <w:szCs w:val="20"/>
        </w:rPr>
        <w:t xml:space="preserve"> University Of Georgia Athens,</w:t>
      </w:r>
      <w:r>
        <w:rPr>
          <w:i/>
          <w:iCs/>
          <w:sz w:val="20"/>
          <w:szCs w:val="20"/>
        </w:rPr>
        <w:t xml:space="preserve"> </w:t>
      </w:r>
      <w:r w:rsidRPr="00201E1E">
        <w:rPr>
          <w:i/>
          <w:iCs/>
          <w:sz w:val="20"/>
          <w:szCs w:val="20"/>
        </w:rPr>
        <w:t>GA-30601</w:t>
      </w:r>
      <w:r>
        <w:rPr>
          <w:sz w:val="20"/>
          <w:szCs w:val="20"/>
        </w:rPr>
        <w:t xml:space="preserve">, </w:t>
      </w:r>
      <w:hyperlink r:id="rId31" w:history="1">
        <w:r w:rsidR="007B30E2" w:rsidRPr="00F0596A">
          <w:rPr>
            <w:rStyle w:val="Hyperlink"/>
            <w:sz w:val="20"/>
            <w:szCs w:val="20"/>
          </w:rPr>
          <w:t>https://api.semanticscholar.org/CorpusID:252608319</w:t>
        </w:r>
      </w:hyperlink>
    </w:p>
    <w:p w14:paraId="13D9684C" w14:textId="24A761D4" w:rsidR="003B551F" w:rsidRDefault="006214F6" w:rsidP="006214F6">
      <w:pPr>
        <w:tabs>
          <w:tab w:val="left" w:pos="426"/>
        </w:tabs>
        <w:rPr>
          <w:sz w:val="20"/>
          <w:szCs w:val="20"/>
        </w:rPr>
      </w:pPr>
      <w:r>
        <w:rPr>
          <w:sz w:val="20"/>
          <w:szCs w:val="20"/>
        </w:rPr>
        <w:t>[18]</w:t>
      </w:r>
      <w:r>
        <w:rPr>
          <w:sz w:val="20"/>
          <w:szCs w:val="20"/>
        </w:rPr>
        <w:tab/>
      </w:r>
      <w:r w:rsidRPr="006214F6">
        <w:rPr>
          <w:sz w:val="20"/>
          <w:szCs w:val="20"/>
        </w:rPr>
        <w:t>Bollerslev</w:t>
      </w:r>
      <w:r>
        <w:rPr>
          <w:sz w:val="20"/>
          <w:szCs w:val="20"/>
        </w:rPr>
        <w:t xml:space="preserve"> T. (1986)</w:t>
      </w:r>
      <w:r w:rsidRPr="006214F6">
        <w:rPr>
          <w:sz w:val="20"/>
          <w:szCs w:val="20"/>
        </w:rPr>
        <w:t>,</w:t>
      </w:r>
      <w:r>
        <w:rPr>
          <w:sz w:val="20"/>
          <w:szCs w:val="20"/>
        </w:rPr>
        <w:t xml:space="preserve"> </w:t>
      </w:r>
      <w:r w:rsidRPr="006214F6">
        <w:rPr>
          <w:sz w:val="20"/>
          <w:szCs w:val="20"/>
        </w:rPr>
        <w:t>Generalized autoregressive conditional heteroskedasticity,</w:t>
      </w:r>
      <w:r>
        <w:rPr>
          <w:sz w:val="20"/>
          <w:szCs w:val="20"/>
        </w:rPr>
        <w:t xml:space="preserve"> </w:t>
      </w:r>
      <w:r w:rsidRPr="006214F6">
        <w:rPr>
          <w:i/>
          <w:iCs/>
          <w:sz w:val="20"/>
          <w:szCs w:val="20"/>
        </w:rPr>
        <w:t>Journal of Econometrics, 31</w:t>
      </w:r>
      <w:r>
        <w:rPr>
          <w:sz w:val="20"/>
          <w:szCs w:val="20"/>
        </w:rPr>
        <w:t>(</w:t>
      </w:r>
      <w:r w:rsidRPr="006214F6">
        <w:rPr>
          <w:sz w:val="20"/>
          <w:szCs w:val="20"/>
        </w:rPr>
        <w:t>3</w:t>
      </w:r>
      <w:r>
        <w:rPr>
          <w:sz w:val="20"/>
          <w:szCs w:val="20"/>
        </w:rPr>
        <w:t>)</w:t>
      </w:r>
      <w:r w:rsidRPr="006214F6">
        <w:rPr>
          <w:sz w:val="20"/>
          <w:szCs w:val="20"/>
        </w:rPr>
        <w:t>,</w:t>
      </w:r>
      <w:r>
        <w:rPr>
          <w:sz w:val="20"/>
          <w:szCs w:val="20"/>
        </w:rPr>
        <w:t xml:space="preserve"> </w:t>
      </w:r>
      <w:r w:rsidRPr="006214F6">
        <w:rPr>
          <w:sz w:val="20"/>
          <w:szCs w:val="20"/>
        </w:rPr>
        <w:t>307-327,</w:t>
      </w:r>
      <w:r>
        <w:rPr>
          <w:sz w:val="20"/>
          <w:szCs w:val="20"/>
        </w:rPr>
        <w:t xml:space="preserve"> </w:t>
      </w:r>
      <w:hyperlink r:id="rId32" w:history="1">
        <w:r w:rsidRPr="00F0596A">
          <w:rPr>
            <w:rStyle w:val="Hyperlink"/>
            <w:sz w:val="20"/>
            <w:szCs w:val="20"/>
          </w:rPr>
          <w:t>https://doi.org/10.1016/0304-4076(86)90063-1</w:t>
        </w:r>
      </w:hyperlink>
    </w:p>
    <w:p w14:paraId="3CDC729A" w14:textId="799DEF63" w:rsidR="006214F6" w:rsidRDefault="00CF2836" w:rsidP="006214F6">
      <w:pPr>
        <w:tabs>
          <w:tab w:val="left" w:pos="426"/>
        </w:tabs>
        <w:rPr>
          <w:sz w:val="20"/>
          <w:szCs w:val="20"/>
        </w:rPr>
      </w:pPr>
      <w:r>
        <w:rPr>
          <w:sz w:val="20"/>
          <w:szCs w:val="20"/>
        </w:rPr>
        <w:t>[19]</w:t>
      </w:r>
      <w:r>
        <w:rPr>
          <w:sz w:val="20"/>
          <w:szCs w:val="20"/>
        </w:rPr>
        <w:tab/>
      </w:r>
      <w:r w:rsidRPr="00CF2836">
        <w:rPr>
          <w:sz w:val="20"/>
          <w:szCs w:val="20"/>
        </w:rPr>
        <w:t xml:space="preserve">Engle R. F., &amp; Manganelli, S. (2004). CAViaR: Conditional Autoregressive Value at Risk by Regression Quantiles. </w:t>
      </w:r>
      <w:r w:rsidRPr="00CF2836">
        <w:rPr>
          <w:i/>
          <w:iCs/>
          <w:sz w:val="20"/>
          <w:szCs w:val="20"/>
        </w:rPr>
        <w:t>Journal of Business &amp; Economic Statistics, 22</w:t>
      </w:r>
      <w:r w:rsidRPr="00CF2836">
        <w:rPr>
          <w:sz w:val="20"/>
          <w:szCs w:val="20"/>
        </w:rPr>
        <w:t xml:space="preserve">(4), 367–381. </w:t>
      </w:r>
      <w:hyperlink r:id="rId33" w:history="1">
        <w:r w:rsidR="00964BE1" w:rsidRPr="00F0596A">
          <w:rPr>
            <w:rStyle w:val="Hyperlink"/>
            <w:sz w:val="20"/>
            <w:szCs w:val="20"/>
          </w:rPr>
          <w:t>https://doi.org/10.1198/073500104000000370</w:t>
        </w:r>
      </w:hyperlink>
    </w:p>
    <w:p w14:paraId="48BAE98E" w14:textId="536663B2" w:rsidR="00964BE1" w:rsidRDefault="00560757" w:rsidP="00560757">
      <w:pPr>
        <w:tabs>
          <w:tab w:val="left" w:pos="426"/>
        </w:tabs>
        <w:rPr>
          <w:sz w:val="20"/>
          <w:szCs w:val="20"/>
        </w:rPr>
      </w:pPr>
      <w:r>
        <w:rPr>
          <w:sz w:val="20"/>
          <w:szCs w:val="20"/>
        </w:rPr>
        <w:t>[20]</w:t>
      </w:r>
      <w:r>
        <w:rPr>
          <w:sz w:val="20"/>
          <w:szCs w:val="20"/>
        </w:rPr>
        <w:tab/>
      </w:r>
      <w:r w:rsidRPr="00560757">
        <w:rPr>
          <w:sz w:val="20"/>
          <w:szCs w:val="20"/>
        </w:rPr>
        <w:t>Andreou</w:t>
      </w:r>
      <w:r>
        <w:rPr>
          <w:sz w:val="20"/>
          <w:szCs w:val="20"/>
        </w:rPr>
        <w:t xml:space="preserve"> C.</w:t>
      </w:r>
      <w:r w:rsidRPr="00560757">
        <w:rPr>
          <w:sz w:val="20"/>
          <w:szCs w:val="20"/>
        </w:rPr>
        <w:t>, Andreou</w:t>
      </w:r>
      <w:r>
        <w:rPr>
          <w:sz w:val="20"/>
          <w:szCs w:val="20"/>
        </w:rPr>
        <w:t xml:space="preserve"> P.</w:t>
      </w:r>
      <w:r w:rsidRPr="00560757">
        <w:rPr>
          <w:sz w:val="20"/>
          <w:szCs w:val="20"/>
        </w:rPr>
        <w:t>, Lambertides</w:t>
      </w:r>
      <w:r>
        <w:rPr>
          <w:sz w:val="20"/>
          <w:szCs w:val="20"/>
        </w:rPr>
        <w:t xml:space="preserve"> N. (2019). </w:t>
      </w:r>
      <w:r w:rsidRPr="00560757">
        <w:rPr>
          <w:sz w:val="20"/>
          <w:szCs w:val="20"/>
        </w:rPr>
        <w:t>Financial Distress Risk and Stock Price Crashes</w:t>
      </w:r>
      <w:r>
        <w:rPr>
          <w:sz w:val="20"/>
          <w:szCs w:val="20"/>
        </w:rPr>
        <w:t xml:space="preserve">. </w:t>
      </w:r>
      <w:r w:rsidRPr="00CD0733">
        <w:rPr>
          <w:i/>
          <w:iCs/>
          <w:sz w:val="20"/>
          <w:szCs w:val="20"/>
        </w:rPr>
        <w:t>Journal of Corporate Finance</w:t>
      </w:r>
      <w:r w:rsidR="00CD0733">
        <w:rPr>
          <w:sz w:val="20"/>
          <w:szCs w:val="20"/>
        </w:rPr>
        <w:t xml:space="preserve">, </w:t>
      </w:r>
      <w:hyperlink r:id="rId34" w:history="1">
        <w:r w:rsidR="00CD0733" w:rsidRPr="00F0596A">
          <w:rPr>
            <w:rStyle w:val="Hyperlink"/>
            <w:sz w:val="20"/>
            <w:szCs w:val="20"/>
          </w:rPr>
          <w:t>https://doi.org/10.2139/ssrn.3450075</w:t>
        </w:r>
      </w:hyperlink>
    </w:p>
    <w:p w14:paraId="5CEDB34C" w14:textId="05DDD930" w:rsidR="00CD0733" w:rsidRDefault="00C657B7" w:rsidP="00560757">
      <w:pPr>
        <w:tabs>
          <w:tab w:val="left" w:pos="426"/>
        </w:tabs>
        <w:rPr>
          <w:sz w:val="20"/>
          <w:szCs w:val="20"/>
        </w:rPr>
      </w:pPr>
      <w:r>
        <w:rPr>
          <w:sz w:val="20"/>
          <w:szCs w:val="20"/>
        </w:rPr>
        <w:t>[21]</w:t>
      </w:r>
      <w:r>
        <w:rPr>
          <w:sz w:val="20"/>
          <w:szCs w:val="20"/>
        </w:rPr>
        <w:tab/>
      </w:r>
      <w:r w:rsidRPr="00C657B7">
        <w:rPr>
          <w:rFonts w:hint="eastAsia"/>
          <w:sz w:val="20"/>
          <w:szCs w:val="20"/>
        </w:rPr>
        <w:t>Lander</w:t>
      </w:r>
      <w:r w:rsidR="009A782E">
        <w:rPr>
          <w:sz w:val="20"/>
          <w:szCs w:val="20"/>
        </w:rPr>
        <w:t xml:space="preserve"> G. P.,</w:t>
      </w:r>
      <w:r w:rsidRPr="00C657B7">
        <w:rPr>
          <w:rFonts w:hint="eastAsia"/>
          <w:sz w:val="20"/>
          <w:szCs w:val="20"/>
        </w:rPr>
        <w:t xml:space="preserve"> The Sarbanes</w:t>
      </w:r>
      <w:r w:rsidRPr="00C657B7">
        <w:rPr>
          <w:rFonts w:hint="eastAsia"/>
          <w:sz w:val="20"/>
          <w:szCs w:val="20"/>
        </w:rPr>
        <w:t>‐</w:t>
      </w:r>
      <w:r w:rsidRPr="00C657B7">
        <w:rPr>
          <w:rFonts w:hint="eastAsia"/>
          <w:sz w:val="20"/>
          <w:szCs w:val="20"/>
        </w:rPr>
        <w:t>Oxley Act of 2002</w:t>
      </w:r>
      <w:r>
        <w:rPr>
          <w:sz w:val="20"/>
          <w:szCs w:val="20"/>
        </w:rPr>
        <w:t xml:space="preserve"> (2002)</w:t>
      </w:r>
      <w:r w:rsidRPr="00C657B7">
        <w:rPr>
          <w:rFonts w:hint="eastAsia"/>
          <w:sz w:val="20"/>
          <w:szCs w:val="20"/>
        </w:rPr>
        <w:t xml:space="preserve">. </w:t>
      </w:r>
      <w:r w:rsidRPr="00C657B7">
        <w:rPr>
          <w:rFonts w:hint="eastAsia"/>
          <w:i/>
          <w:iCs/>
          <w:sz w:val="20"/>
          <w:szCs w:val="20"/>
        </w:rPr>
        <w:t>Journal of Investment Compliance</w:t>
      </w:r>
      <w:r>
        <w:rPr>
          <w:sz w:val="20"/>
          <w:szCs w:val="20"/>
        </w:rPr>
        <w:t>,</w:t>
      </w:r>
      <w:r w:rsidRPr="00C657B7">
        <w:rPr>
          <w:rFonts w:hint="eastAsia"/>
          <w:sz w:val="20"/>
          <w:szCs w:val="20"/>
        </w:rPr>
        <w:t xml:space="preserve"> </w:t>
      </w:r>
      <w:r w:rsidRPr="00C657B7">
        <w:rPr>
          <w:rFonts w:hint="eastAsia"/>
          <w:i/>
          <w:iCs/>
          <w:sz w:val="20"/>
          <w:szCs w:val="20"/>
        </w:rPr>
        <w:t>3</w:t>
      </w:r>
      <w:r w:rsidRPr="00C657B7">
        <w:rPr>
          <w:rFonts w:hint="eastAsia"/>
          <w:sz w:val="20"/>
          <w:szCs w:val="20"/>
        </w:rPr>
        <w:t>(1)</w:t>
      </w:r>
      <w:r w:rsidR="007510E0">
        <w:rPr>
          <w:sz w:val="20"/>
          <w:szCs w:val="20"/>
        </w:rPr>
        <w:t>,</w:t>
      </w:r>
      <w:r w:rsidRPr="00C657B7">
        <w:rPr>
          <w:rFonts w:hint="eastAsia"/>
          <w:sz w:val="20"/>
          <w:szCs w:val="20"/>
        </w:rPr>
        <w:t xml:space="preserve"> 44</w:t>
      </w:r>
      <w:r w:rsidRPr="00C657B7">
        <w:rPr>
          <w:rFonts w:hint="eastAsia"/>
          <w:sz w:val="20"/>
          <w:szCs w:val="20"/>
        </w:rPr>
        <w:t>–</w:t>
      </w:r>
      <w:r w:rsidRPr="00C657B7">
        <w:rPr>
          <w:rFonts w:hint="eastAsia"/>
          <w:sz w:val="20"/>
          <w:szCs w:val="20"/>
        </w:rPr>
        <w:t xml:space="preserve">53. </w:t>
      </w:r>
      <w:hyperlink r:id="rId35" w:history="1">
        <w:r w:rsidRPr="00F0596A">
          <w:rPr>
            <w:rStyle w:val="Hyperlink"/>
            <w:rFonts w:hint="eastAsia"/>
            <w:sz w:val="20"/>
            <w:szCs w:val="20"/>
          </w:rPr>
          <w:t>https://doi.org/10.1108/joic.2002.3.1.44</w:t>
        </w:r>
      </w:hyperlink>
    </w:p>
    <w:p w14:paraId="22EFE86D" w14:textId="7086DDA9" w:rsidR="00C657B7" w:rsidRDefault="00BC7ADD" w:rsidP="00560757">
      <w:pPr>
        <w:tabs>
          <w:tab w:val="left" w:pos="426"/>
        </w:tabs>
        <w:rPr>
          <w:sz w:val="20"/>
          <w:szCs w:val="20"/>
        </w:rPr>
      </w:pPr>
      <w:r>
        <w:rPr>
          <w:sz w:val="20"/>
          <w:szCs w:val="20"/>
        </w:rPr>
        <w:t xml:space="preserve">[22] </w:t>
      </w:r>
      <w:r w:rsidRPr="00BC7ADD">
        <w:rPr>
          <w:sz w:val="20"/>
          <w:szCs w:val="20"/>
        </w:rPr>
        <w:t>Hällman, L. (2017). The Rolling Window Method: Precisions of Financial Forecasting</w:t>
      </w:r>
      <w:r w:rsidR="0069174A">
        <w:rPr>
          <w:sz w:val="20"/>
          <w:szCs w:val="20"/>
        </w:rPr>
        <w:t xml:space="preserve">. </w:t>
      </w:r>
      <w:r w:rsidRPr="00BC7ADD">
        <w:rPr>
          <w:i/>
          <w:iCs/>
          <w:sz w:val="20"/>
          <w:szCs w:val="20"/>
        </w:rPr>
        <w:t xml:space="preserve">Matematisk </w:t>
      </w:r>
      <w:r w:rsidR="0069174A">
        <w:rPr>
          <w:i/>
          <w:iCs/>
          <w:sz w:val="20"/>
          <w:szCs w:val="20"/>
        </w:rPr>
        <w:t>statistic, KTH</w:t>
      </w:r>
      <w:r w:rsidRPr="00BC7ADD">
        <w:rPr>
          <w:sz w:val="20"/>
          <w:szCs w:val="20"/>
        </w:rPr>
        <w:t xml:space="preserve">. </w:t>
      </w:r>
      <w:hyperlink r:id="rId36" w:history="1">
        <w:r w:rsidRPr="005264DB">
          <w:rPr>
            <w:rStyle w:val="Hyperlink"/>
            <w:sz w:val="20"/>
            <w:szCs w:val="20"/>
          </w:rPr>
          <w:t>http://urn.kb.se/resolve?urn=urn:nbn:se:kth:diva-205595</w:t>
        </w:r>
      </w:hyperlink>
    </w:p>
    <w:p w14:paraId="13C04FE6" w14:textId="71CD0E04" w:rsidR="00BC7ADD" w:rsidRDefault="00633235" w:rsidP="00560757">
      <w:pPr>
        <w:tabs>
          <w:tab w:val="left" w:pos="426"/>
        </w:tabs>
        <w:rPr>
          <w:sz w:val="20"/>
          <w:szCs w:val="20"/>
        </w:rPr>
      </w:pPr>
      <w:r>
        <w:rPr>
          <w:sz w:val="20"/>
          <w:szCs w:val="20"/>
        </w:rPr>
        <w:t>[23]</w:t>
      </w:r>
      <w:r>
        <w:rPr>
          <w:sz w:val="20"/>
          <w:szCs w:val="20"/>
        </w:rPr>
        <w:tab/>
      </w:r>
      <w:r w:rsidRPr="00633235">
        <w:rPr>
          <w:sz w:val="20"/>
          <w:szCs w:val="20"/>
        </w:rPr>
        <w:t xml:space="preserve">Defazio, A., Bach, F.R., &amp; Lacoste-Julien, S. (2014). SAGA: A Fast Incremental Gradient Method With Support for Non-Strongly Convex Composite Objectives. </w:t>
      </w:r>
      <w:r w:rsidRPr="00633235">
        <w:rPr>
          <w:i/>
          <w:iCs/>
          <w:sz w:val="20"/>
          <w:szCs w:val="20"/>
        </w:rPr>
        <w:t>Neural Information Processing Systems</w:t>
      </w:r>
      <w:r w:rsidRPr="00633235">
        <w:rPr>
          <w:sz w:val="20"/>
          <w:szCs w:val="20"/>
        </w:rPr>
        <w:t>.</w:t>
      </w:r>
      <w:r>
        <w:rPr>
          <w:sz w:val="20"/>
          <w:szCs w:val="20"/>
        </w:rPr>
        <w:t xml:space="preserve"> </w:t>
      </w:r>
      <w:hyperlink r:id="rId37" w:history="1">
        <w:r w:rsidR="007C2F94" w:rsidRPr="005264DB">
          <w:rPr>
            <w:rStyle w:val="Hyperlink"/>
            <w:sz w:val="20"/>
            <w:szCs w:val="20"/>
          </w:rPr>
          <w:t>https://doi.org/10.48550/arXiv.1407.0202</w:t>
        </w:r>
      </w:hyperlink>
    </w:p>
    <w:p w14:paraId="65E55C1B" w14:textId="16E3AAE5" w:rsidR="007C2F94" w:rsidRDefault="00DE1AD4" w:rsidP="00DE1AD4">
      <w:pPr>
        <w:tabs>
          <w:tab w:val="left" w:pos="426"/>
        </w:tabs>
        <w:rPr>
          <w:sz w:val="20"/>
          <w:szCs w:val="20"/>
        </w:rPr>
      </w:pPr>
      <w:r>
        <w:rPr>
          <w:sz w:val="20"/>
          <w:szCs w:val="20"/>
        </w:rPr>
        <w:t>[24]</w:t>
      </w:r>
      <w:r>
        <w:rPr>
          <w:sz w:val="20"/>
          <w:szCs w:val="20"/>
        </w:rPr>
        <w:tab/>
      </w:r>
      <w:r w:rsidRPr="00DE1AD4">
        <w:rPr>
          <w:sz w:val="20"/>
          <w:szCs w:val="20"/>
        </w:rPr>
        <w:t>Osborne</w:t>
      </w:r>
      <w:r w:rsidR="00AC70D1">
        <w:rPr>
          <w:sz w:val="20"/>
          <w:szCs w:val="20"/>
        </w:rPr>
        <w:t xml:space="preserve"> </w:t>
      </w:r>
      <w:r w:rsidR="00AC70D1" w:rsidRPr="00DE1AD4">
        <w:rPr>
          <w:sz w:val="20"/>
          <w:szCs w:val="20"/>
        </w:rPr>
        <w:t>M. F. M.</w:t>
      </w:r>
      <w:r w:rsidRPr="00DE1AD4">
        <w:rPr>
          <w:sz w:val="20"/>
          <w:szCs w:val="20"/>
        </w:rPr>
        <w:t xml:space="preserve"> (1959)</w:t>
      </w:r>
      <w:r w:rsidR="00456D0D">
        <w:rPr>
          <w:sz w:val="20"/>
          <w:szCs w:val="20"/>
        </w:rPr>
        <w:t>.</w:t>
      </w:r>
      <w:r w:rsidRPr="00DE1AD4">
        <w:rPr>
          <w:sz w:val="20"/>
          <w:szCs w:val="20"/>
        </w:rPr>
        <w:t xml:space="preserve"> Brownian Motion in the Stock Market. </w:t>
      </w:r>
      <w:r w:rsidRPr="00DE1AD4">
        <w:rPr>
          <w:i/>
          <w:iCs/>
          <w:sz w:val="20"/>
          <w:szCs w:val="20"/>
        </w:rPr>
        <w:t>Operations Research 7</w:t>
      </w:r>
      <w:r w:rsidRPr="00DE1AD4">
        <w:rPr>
          <w:sz w:val="20"/>
          <w:szCs w:val="20"/>
        </w:rPr>
        <w:t>(2)</w:t>
      </w:r>
      <w:r>
        <w:rPr>
          <w:sz w:val="20"/>
          <w:szCs w:val="20"/>
        </w:rPr>
        <w:t xml:space="preserve">, </w:t>
      </w:r>
      <w:r w:rsidRPr="00DE1AD4">
        <w:rPr>
          <w:sz w:val="20"/>
          <w:szCs w:val="20"/>
        </w:rPr>
        <w:t>145-173.</w:t>
      </w:r>
      <w:r>
        <w:rPr>
          <w:sz w:val="20"/>
          <w:szCs w:val="20"/>
        </w:rPr>
        <w:t xml:space="preserve"> </w:t>
      </w:r>
      <w:hyperlink r:id="rId38" w:history="1">
        <w:r w:rsidR="00AC70D1" w:rsidRPr="007D30F2">
          <w:rPr>
            <w:rStyle w:val="Hyperlink"/>
            <w:sz w:val="20"/>
            <w:szCs w:val="20"/>
          </w:rPr>
          <w:t>https://doi.org/10.1287/opre.7.2.145</w:t>
        </w:r>
      </w:hyperlink>
    </w:p>
    <w:p w14:paraId="7E683896" w14:textId="4E144CDB" w:rsidR="009B5455" w:rsidRDefault="006161F3" w:rsidP="00DE1AD4">
      <w:pPr>
        <w:tabs>
          <w:tab w:val="left" w:pos="426"/>
        </w:tabs>
      </w:pPr>
      <w:r>
        <w:rPr>
          <w:sz w:val="20"/>
          <w:szCs w:val="20"/>
        </w:rPr>
        <w:t>[25]</w:t>
      </w:r>
      <w:r>
        <w:rPr>
          <w:sz w:val="20"/>
          <w:szCs w:val="20"/>
        </w:rPr>
        <w:tab/>
      </w:r>
      <w:r w:rsidRPr="006161F3">
        <w:rPr>
          <w:sz w:val="20"/>
          <w:szCs w:val="20"/>
        </w:rPr>
        <w:t>Ren</w:t>
      </w:r>
      <w:r>
        <w:rPr>
          <w:sz w:val="20"/>
          <w:szCs w:val="20"/>
        </w:rPr>
        <w:t xml:space="preserve"> L.</w:t>
      </w:r>
      <w:r w:rsidRPr="006161F3">
        <w:rPr>
          <w:sz w:val="20"/>
          <w:szCs w:val="20"/>
        </w:rPr>
        <w:t>, Ren</w:t>
      </w:r>
      <w:r>
        <w:rPr>
          <w:sz w:val="20"/>
          <w:szCs w:val="20"/>
        </w:rPr>
        <w:t xml:space="preserve"> P.</w:t>
      </w:r>
      <w:r w:rsidR="0004699B">
        <w:rPr>
          <w:sz w:val="20"/>
          <w:szCs w:val="20"/>
        </w:rPr>
        <w:t xml:space="preserve"> (2017)</w:t>
      </w:r>
      <w:r w:rsidR="00781D15">
        <w:rPr>
          <w:sz w:val="20"/>
          <w:szCs w:val="20"/>
        </w:rPr>
        <w:t>.</w:t>
      </w:r>
      <w:r w:rsidRPr="006161F3">
        <w:rPr>
          <w:sz w:val="20"/>
          <w:szCs w:val="20"/>
        </w:rPr>
        <w:t xml:space="preserve"> Testing the market efficiency by mean absolute deviation. Benchmarking</w:t>
      </w:r>
      <w:r w:rsidR="00781D15">
        <w:rPr>
          <w:sz w:val="20"/>
          <w:szCs w:val="20"/>
        </w:rPr>
        <w:t>,</w:t>
      </w:r>
      <w:r w:rsidRPr="006161F3">
        <w:rPr>
          <w:sz w:val="20"/>
          <w:szCs w:val="20"/>
        </w:rPr>
        <w:t xml:space="preserve"> </w:t>
      </w:r>
      <w:r w:rsidRPr="00781D15">
        <w:rPr>
          <w:i/>
          <w:iCs/>
          <w:sz w:val="20"/>
          <w:szCs w:val="20"/>
        </w:rPr>
        <w:t>An International Journal</w:t>
      </w:r>
      <w:r w:rsidR="00781D15" w:rsidRPr="00781D15">
        <w:rPr>
          <w:i/>
          <w:iCs/>
          <w:sz w:val="20"/>
          <w:szCs w:val="20"/>
        </w:rPr>
        <w:t>,</w:t>
      </w:r>
      <w:r w:rsidRPr="00781D15">
        <w:rPr>
          <w:i/>
          <w:iCs/>
          <w:sz w:val="20"/>
          <w:szCs w:val="20"/>
        </w:rPr>
        <w:t xml:space="preserve"> 24</w:t>
      </w:r>
      <w:r w:rsidRPr="006161F3">
        <w:rPr>
          <w:sz w:val="20"/>
          <w:szCs w:val="20"/>
        </w:rPr>
        <w:t>(7)</w:t>
      </w:r>
      <w:r w:rsidR="00781D15">
        <w:rPr>
          <w:sz w:val="20"/>
          <w:szCs w:val="20"/>
        </w:rPr>
        <w:t>,</w:t>
      </w:r>
      <w:r w:rsidRPr="006161F3">
        <w:rPr>
          <w:sz w:val="20"/>
          <w:szCs w:val="20"/>
        </w:rPr>
        <w:t xml:space="preserve"> 2049–2062. </w:t>
      </w:r>
      <w:hyperlink r:id="rId39" w:history="1">
        <w:r w:rsidR="009B5455" w:rsidRPr="00761913">
          <w:rPr>
            <w:rStyle w:val="Hyperlink"/>
            <w:sz w:val="20"/>
            <w:szCs w:val="20"/>
          </w:rPr>
          <w:t>https://doi.org/10.1108/BIJ-06-2016-0096</w:t>
        </w:r>
      </w:hyperlink>
    </w:p>
    <w:p w14:paraId="707E4147" w14:textId="52183EAD" w:rsidR="009B5455" w:rsidRDefault="009B5455" w:rsidP="009B5455">
      <w:pPr>
        <w:tabs>
          <w:tab w:val="left" w:pos="426"/>
        </w:tabs>
        <w:rPr>
          <w:sz w:val="20"/>
          <w:szCs w:val="20"/>
        </w:rPr>
      </w:pPr>
      <w:r>
        <w:rPr>
          <w:sz w:val="20"/>
          <w:szCs w:val="20"/>
        </w:rPr>
        <w:t xml:space="preserve">[26] </w:t>
      </w:r>
      <w:r w:rsidRPr="009B5455">
        <w:rPr>
          <w:sz w:val="20"/>
          <w:szCs w:val="20"/>
        </w:rPr>
        <w:t>Gaies</w:t>
      </w:r>
      <w:r>
        <w:rPr>
          <w:sz w:val="20"/>
          <w:szCs w:val="20"/>
        </w:rPr>
        <w:t xml:space="preserve"> B.</w:t>
      </w:r>
      <w:r w:rsidRPr="009B5455">
        <w:rPr>
          <w:sz w:val="20"/>
          <w:szCs w:val="20"/>
        </w:rPr>
        <w:t>, Nakhli</w:t>
      </w:r>
      <w:r>
        <w:rPr>
          <w:sz w:val="20"/>
          <w:szCs w:val="20"/>
        </w:rPr>
        <w:t xml:space="preserve"> M. S.</w:t>
      </w:r>
      <w:r w:rsidRPr="009B5455">
        <w:rPr>
          <w:sz w:val="20"/>
          <w:szCs w:val="20"/>
        </w:rPr>
        <w:t>, Ayadi</w:t>
      </w:r>
      <w:r>
        <w:rPr>
          <w:sz w:val="20"/>
          <w:szCs w:val="20"/>
        </w:rPr>
        <w:t xml:space="preserve"> R.</w:t>
      </w:r>
      <w:r w:rsidRPr="009B5455">
        <w:rPr>
          <w:sz w:val="20"/>
          <w:szCs w:val="20"/>
        </w:rPr>
        <w:t>, Sahut</w:t>
      </w:r>
      <w:r>
        <w:rPr>
          <w:sz w:val="20"/>
          <w:szCs w:val="20"/>
        </w:rPr>
        <w:t xml:space="preserve"> J. (2022) </w:t>
      </w:r>
      <w:r w:rsidRPr="009B5455">
        <w:rPr>
          <w:sz w:val="20"/>
          <w:szCs w:val="20"/>
        </w:rPr>
        <w:t>Exploring the causal links between investor sentiment and financial instability: A dynamic macro-financial analysis,</w:t>
      </w:r>
      <w:r>
        <w:rPr>
          <w:sz w:val="20"/>
          <w:szCs w:val="20"/>
        </w:rPr>
        <w:t xml:space="preserve"> </w:t>
      </w:r>
      <w:r w:rsidRPr="009B5455">
        <w:rPr>
          <w:i/>
          <w:iCs/>
          <w:sz w:val="20"/>
          <w:szCs w:val="20"/>
        </w:rPr>
        <w:t>Journal of Economic Behavior &amp; Organization,</w:t>
      </w:r>
      <w:r>
        <w:rPr>
          <w:i/>
          <w:iCs/>
          <w:sz w:val="20"/>
          <w:szCs w:val="20"/>
        </w:rPr>
        <w:t xml:space="preserve"> 204</w:t>
      </w:r>
      <w:r>
        <w:rPr>
          <w:sz w:val="20"/>
          <w:szCs w:val="20"/>
        </w:rPr>
        <w:t xml:space="preserve">, </w:t>
      </w:r>
      <w:r w:rsidRPr="009B5455">
        <w:rPr>
          <w:sz w:val="20"/>
          <w:szCs w:val="20"/>
        </w:rPr>
        <w:t>290-303,</w:t>
      </w:r>
      <w:r>
        <w:rPr>
          <w:sz w:val="20"/>
          <w:szCs w:val="20"/>
        </w:rPr>
        <w:t xml:space="preserve"> </w:t>
      </w:r>
      <w:hyperlink r:id="rId40" w:history="1">
        <w:r w:rsidRPr="00761913">
          <w:rPr>
            <w:rStyle w:val="Hyperlink"/>
            <w:sz w:val="20"/>
            <w:szCs w:val="20"/>
          </w:rPr>
          <w:t>https://doi.org/10.1016/j.jebo.2022.10.013</w:t>
        </w:r>
      </w:hyperlink>
      <w:r w:rsidRPr="009B5455">
        <w:rPr>
          <w:sz w:val="20"/>
          <w:szCs w:val="20"/>
        </w:rPr>
        <w:t>.</w:t>
      </w:r>
    </w:p>
    <w:p w14:paraId="51E5DBDC" w14:textId="77777777" w:rsidR="009B5455" w:rsidRPr="009B5455" w:rsidRDefault="009B5455" w:rsidP="009B5455">
      <w:pPr>
        <w:tabs>
          <w:tab w:val="left" w:pos="426"/>
        </w:tabs>
        <w:rPr>
          <w:sz w:val="20"/>
          <w:szCs w:val="20"/>
        </w:rPr>
      </w:pPr>
    </w:p>
    <w:p w14:paraId="3EE78356" w14:textId="77777777" w:rsidR="00781D15" w:rsidRDefault="00781D15" w:rsidP="00DE1AD4">
      <w:pPr>
        <w:tabs>
          <w:tab w:val="left" w:pos="426"/>
        </w:tabs>
        <w:rPr>
          <w:sz w:val="20"/>
          <w:szCs w:val="20"/>
        </w:rPr>
      </w:pPr>
    </w:p>
    <w:p w14:paraId="545752BA" w14:textId="77777777" w:rsidR="00EB3392" w:rsidRDefault="00EB3392" w:rsidP="00EB3392">
      <w:pPr>
        <w:tabs>
          <w:tab w:val="left" w:pos="426"/>
        </w:tabs>
        <w:rPr>
          <w:sz w:val="20"/>
          <w:szCs w:val="20"/>
        </w:rPr>
      </w:pPr>
    </w:p>
    <w:p w14:paraId="5B4635D8" w14:textId="77777777" w:rsidR="00CF2836" w:rsidRPr="00EB3392" w:rsidRDefault="00CF2836"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A1318" w14:textId="77777777" w:rsidR="00D751B8" w:rsidRPr="007C0AB9" w:rsidRDefault="00D751B8" w:rsidP="004F65C9">
      <w:pPr>
        <w:spacing w:before="0"/>
      </w:pPr>
      <w:r w:rsidRPr="007C0AB9">
        <w:separator/>
      </w:r>
    </w:p>
  </w:endnote>
  <w:endnote w:type="continuationSeparator" w:id="0">
    <w:p w14:paraId="613E322A" w14:textId="77777777" w:rsidR="00D751B8" w:rsidRPr="007C0AB9" w:rsidRDefault="00D751B8"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4DEAE" w14:textId="77777777" w:rsidR="00D751B8" w:rsidRPr="007C0AB9" w:rsidRDefault="00D751B8" w:rsidP="004F65C9">
      <w:pPr>
        <w:spacing w:before="0"/>
      </w:pPr>
      <w:r w:rsidRPr="007C0AB9">
        <w:separator/>
      </w:r>
    </w:p>
  </w:footnote>
  <w:footnote w:type="continuationSeparator" w:id="0">
    <w:p w14:paraId="067236D6" w14:textId="77777777" w:rsidR="00D751B8" w:rsidRPr="007C0AB9" w:rsidRDefault="00D751B8" w:rsidP="004F65C9">
      <w:pPr>
        <w:spacing w:before="0"/>
      </w:pPr>
      <w:r w:rsidRPr="007C0AB9">
        <w:continuationSeparator/>
      </w:r>
    </w:p>
  </w:footnote>
  <w:footnote w:id="1">
    <w:p w14:paraId="01046BE7" w14:textId="1733C745" w:rsidR="00654550" w:rsidRPr="00654550" w:rsidRDefault="00654550">
      <w:pPr>
        <w:pStyle w:val="FootnoteText"/>
        <w:rPr>
          <w:lang w:val="en-US"/>
        </w:rPr>
      </w:pPr>
      <w:r>
        <w:rPr>
          <w:rStyle w:val="FootnoteReference"/>
        </w:rPr>
        <w:footnoteRef/>
      </w:r>
      <w:r>
        <w:t xml:space="preserve"> </w:t>
      </w:r>
      <w:r w:rsidRPr="00E8610C">
        <w:rPr>
          <w:sz w:val="18"/>
          <w:szCs w:val="18"/>
        </w:rPr>
        <w:t>https://huggingface.co/ProsusAI/finbert</w:t>
      </w:r>
    </w:p>
  </w:footnote>
  <w:footnote w:id="2">
    <w:p w14:paraId="4946AAA3" w14:textId="553BD16C" w:rsidR="008116D3" w:rsidRPr="008116D3" w:rsidRDefault="008116D3">
      <w:pPr>
        <w:pStyle w:val="FootnoteText"/>
        <w:rPr>
          <w:lang w:val="en-US"/>
        </w:rPr>
      </w:pPr>
      <w:r>
        <w:rPr>
          <w:rStyle w:val="FootnoteReference"/>
        </w:rPr>
        <w:footnoteRef/>
      </w:r>
      <w:r>
        <w:t xml:space="preserve"> </w:t>
      </w:r>
      <w:r w:rsidRPr="00F86A7F">
        <w:rPr>
          <w:sz w:val="18"/>
          <w:szCs w:val="18"/>
        </w:rPr>
        <w:t>https://www.kaggle.com/datasets/dyutidasmahaptra/s-and-p-500-with-financial-news-headlines-20082024</w:t>
      </w:r>
    </w:p>
  </w:footnote>
  <w:footnote w:id="3">
    <w:p w14:paraId="6FDA5EF5" w14:textId="65A6FBD6" w:rsidR="00E7340B" w:rsidRPr="00E7340B" w:rsidRDefault="00E7340B">
      <w:pPr>
        <w:pStyle w:val="FootnoteText"/>
        <w:rPr>
          <w:lang w:val="en-US"/>
        </w:rPr>
      </w:pPr>
      <w:r>
        <w:rPr>
          <w:rStyle w:val="FootnoteReference"/>
        </w:rPr>
        <w:footnoteRef/>
      </w:r>
      <w:r>
        <w:t xml:space="preserve"> </w:t>
      </w:r>
      <w:r w:rsidRPr="00782E05">
        <w:rPr>
          <w:sz w:val="18"/>
          <w:szCs w:val="18"/>
        </w:rPr>
        <w:t>https://imbalanced-learn.org/stable/references/generated/imblearn.over_sampling.SMOTE.html</w:t>
      </w:r>
    </w:p>
  </w:footnote>
  <w:footnote w:id="4">
    <w:p w14:paraId="4400456D" w14:textId="5033213A" w:rsidR="00E763FA" w:rsidRPr="00E763FA" w:rsidRDefault="00E763FA">
      <w:pPr>
        <w:pStyle w:val="FootnoteText"/>
        <w:rPr>
          <w:lang w:val="en-US"/>
        </w:rPr>
      </w:pPr>
      <w:r>
        <w:rPr>
          <w:rStyle w:val="FootnoteReference"/>
        </w:rPr>
        <w:footnoteRef/>
      </w:r>
      <w:r>
        <w:t xml:space="preserve"> </w:t>
      </w:r>
      <w:r w:rsidRPr="00782E05">
        <w:rPr>
          <w:sz w:val="18"/>
          <w:szCs w:val="18"/>
        </w:rPr>
        <w:t>https://scikit-learn.org/stable/modules/generated/sklearn.preprocessing.StandardScaler</w:t>
      </w:r>
      <w:r w:rsidR="00A32087" w:rsidRPr="00782E05">
        <w:rPr>
          <w:sz w:val="18"/>
          <w:szCs w:val="18"/>
        </w:rPr>
        <w:t>.html</w:t>
      </w:r>
    </w:p>
  </w:footnote>
  <w:footnote w:id="5">
    <w:p w14:paraId="4DEFAE83" w14:textId="799AEBA1" w:rsidR="004E0F61" w:rsidRPr="004E0F61" w:rsidRDefault="004E0F61">
      <w:pPr>
        <w:pStyle w:val="FootnoteText"/>
        <w:rPr>
          <w:lang w:val="en-US"/>
        </w:rPr>
      </w:pPr>
      <w:r>
        <w:rPr>
          <w:rStyle w:val="FootnoteReference"/>
        </w:rPr>
        <w:footnoteRef/>
      </w:r>
      <w:r>
        <w:t xml:space="preserve"> </w:t>
      </w:r>
      <w:r w:rsidRPr="00100496">
        <w:rPr>
          <w:sz w:val="18"/>
          <w:szCs w:val="18"/>
        </w:rPr>
        <w:t>https://scikit-learn.org/stable/modules/generated/sklearn.utils.class_weight.compute_class_weight.html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245892"/>
    <w:multiLevelType w:val="hybridMultilevel"/>
    <w:tmpl w:val="34C49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C1F2B"/>
    <w:multiLevelType w:val="hybridMultilevel"/>
    <w:tmpl w:val="EE0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830074"/>
    <w:multiLevelType w:val="hybridMultilevel"/>
    <w:tmpl w:val="9BBE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7F06C3E"/>
    <w:multiLevelType w:val="hybridMultilevel"/>
    <w:tmpl w:val="672A0D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CA1510"/>
    <w:multiLevelType w:val="hybridMultilevel"/>
    <w:tmpl w:val="5A28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C154479"/>
    <w:multiLevelType w:val="hybridMultilevel"/>
    <w:tmpl w:val="1D9C5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1B290D"/>
    <w:multiLevelType w:val="hybridMultilevel"/>
    <w:tmpl w:val="195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35A37E3"/>
    <w:multiLevelType w:val="hybridMultilevel"/>
    <w:tmpl w:val="B4A8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5"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74597E"/>
    <w:multiLevelType w:val="hybridMultilevel"/>
    <w:tmpl w:val="09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291">
    <w:abstractNumId w:val="22"/>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33"/>
  </w:num>
  <w:num w:numId="14" w16cid:durableId="2030836555">
    <w:abstractNumId w:val="31"/>
  </w:num>
  <w:num w:numId="15" w16cid:durableId="1957710706">
    <w:abstractNumId w:val="29"/>
  </w:num>
  <w:num w:numId="16" w16cid:durableId="689651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7"/>
  </w:num>
  <w:num w:numId="20" w16cid:durableId="1708530752">
    <w:abstractNumId w:val="45"/>
  </w:num>
  <w:num w:numId="21" w16cid:durableId="251165183">
    <w:abstractNumId w:val="21"/>
  </w:num>
  <w:num w:numId="22" w16cid:durableId="605506812">
    <w:abstractNumId w:val="22"/>
  </w:num>
  <w:num w:numId="23" w16cid:durableId="1780372109">
    <w:abstractNumId w:val="17"/>
  </w:num>
  <w:num w:numId="24" w16cid:durableId="1797067202">
    <w:abstractNumId w:val="23"/>
  </w:num>
  <w:num w:numId="25" w16cid:durableId="109321402">
    <w:abstractNumId w:val="34"/>
  </w:num>
  <w:num w:numId="26" w16cid:durableId="1818955189">
    <w:abstractNumId w:val="42"/>
  </w:num>
  <w:num w:numId="27" w16cid:durableId="809789436">
    <w:abstractNumId w:val="30"/>
  </w:num>
  <w:num w:numId="28" w16cid:durableId="1993869892">
    <w:abstractNumId w:val="44"/>
  </w:num>
  <w:num w:numId="29" w16cid:durableId="1645310968">
    <w:abstractNumId w:val="39"/>
  </w:num>
  <w:num w:numId="30" w16cid:durableId="2015453789">
    <w:abstractNumId w:val="36"/>
  </w:num>
  <w:num w:numId="31" w16cid:durableId="1601990100">
    <w:abstractNumId w:val="43"/>
  </w:num>
  <w:num w:numId="32" w16cid:durableId="1847087379">
    <w:abstractNumId w:val="16"/>
  </w:num>
  <w:num w:numId="33" w16cid:durableId="478769808">
    <w:abstractNumId w:val="28"/>
  </w:num>
  <w:num w:numId="34" w16cid:durableId="10880094">
    <w:abstractNumId w:val="35"/>
  </w:num>
  <w:num w:numId="35" w16cid:durableId="107510175">
    <w:abstractNumId w:val="27"/>
  </w:num>
  <w:num w:numId="36" w16cid:durableId="1651791497">
    <w:abstractNumId w:val="25"/>
  </w:num>
  <w:num w:numId="37" w16cid:durableId="1571307310">
    <w:abstractNumId w:val="20"/>
  </w:num>
  <w:num w:numId="38" w16cid:durableId="705761320">
    <w:abstractNumId w:val="41"/>
  </w:num>
  <w:num w:numId="39" w16cid:durableId="684677315">
    <w:abstractNumId w:val="14"/>
  </w:num>
  <w:num w:numId="40" w16cid:durableId="1061368697">
    <w:abstractNumId w:val="46"/>
  </w:num>
  <w:num w:numId="41" w16cid:durableId="332688740">
    <w:abstractNumId w:val="32"/>
  </w:num>
  <w:num w:numId="42" w16cid:durableId="1554610686">
    <w:abstractNumId w:val="38"/>
  </w:num>
  <w:num w:numId="43" w16cid:durableId="1101337721">
    <w:abstractNumId w:val="26"/>
  </w:num>
  <w:num w:numId="44" w16cid:durableId="1181554190">
    <w:abstractNumId w:val="15"/>
  </w:num>
  <w:num w:numId="45" w16cid:durableId="975379183">
    <w:abstractNumId w:val="47"/>
  </w:num>
  <w:num w:numId="46" w16cid:durableId="1051542707">
    <w:abstractNumId w:val="24"/>
  </w:num>
  <w:num w:numId="47" w16cid:durableId="771583026">
    <w:abstractNumId w:val="12"/>
  </w:num>
  <w:num w:numId="48" w16cid:durableId="999037690">
    <w:abstractNumId w:val="19"/>
  </w:num>
  <w:num w:numId="49" w16cid:durableId="1133598019">
    <w:abstractNumId w:val="18"/>
  </w:num>
  <w:num w:numId="50" w16cid:durableId="1846944468">
    <w:abstractNumId w:val="40"/>
  </w:num>
  <w:num w:numId="51" w16cid:durableId="15825237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15CD2"/>
    <w:rsid w:val="000230D8"/>
    <w:rsid w:val="0003114F"/>
    <w:rsid w:val="00040BD3"/>
    <w:rsid w:val="0004699B"/>
    <w:rsid w:val="00046C7B"/>
    <w:rsid w:val="00064C5D"/>
    <w:rsid w:val="000656DA"/>
    <w:rsid w:val="00072976"/>
    <w:rsid w:val="00080AEB"/>
    <w:rsid w:val="000A1B37"/>
    <w:rsid w:val="000B0B7F"/>
    <w:rsid w:val="000C2909"/>
    <w:rsid w:val="000C7994"/>
    <w:rsid w:val="000E5A9F"/>
    <w:rsid w:val="000E69B1"/>
    <w:rsid w:val="000E784C"/>
    <w:rsid w:val="000F35CB"/>
    <w:rsid w:val="000F4FE1"/>
    <w:rsid w:val="00100496"/>
    <w:rsid w:val="00104F17"/>
    <w:rsid w:val="001057A2"/>
    <w:rsid w:val="001165BB"/>
    <w:rsid w:val="001240F6"/>
    <w:rsid w:val="0013082B"/>
    <w:rsid w:val="00132845"/>
    <w:rsid w:val="00133BF2"/>
    <w:rsid w:val="0013514F"/>
    <w:rsid w:val="001362B6"/>
    <w:rsid w:val="0014360E"/>
    <w:rsid w:val="0014368C"/>
    <w:rsid w:val="00147298"/>
    <w:rsid w:val="00147F45"/>
    <w:rsid w:val="001511E5"/>
    <w:rsid w:val="00153D8D"/>
    <w:rsid w:val="00155D49"/>
    <w:rsid w:val="00171AEA"/>
    <w:rsid w:val="00176A2B"/>
    <w:rsid w:val="001811B6"/>
    <w:rsid w:val="00182800"/>
    <w:rsid w:val="001857E4"/>
    <w:rsid w:val="00192A7A"/>
    <w:rsid w:val="001935C2"/>
    <w:rsid w:val="00195CCB"/>
    <w:rsid w:val="001A1870"/>
    <w:rsid w:val="001A2288"/>
    <w:rsid w:val="001A3EB0"/>
    <w:rsid w:val="001A4F72"/>
    <w:rsid w:val="001B0787"/>
    <w:rsid w:val="001B26CE"/>
    <w:rsid w:val="001C2F0B"/>
    <w:rsid w:val="001C33CB"/>
    <w:rsid w:val="001D162E"/>
    <w:rsid w:val="001D38C1"/>
    <w:rsid w:val="001D6245"/>
    <w:rsid w:val="001D7865"/>
    <w:rsid w:val="001D7FA5"/>
    <w:rsid w:val="001E0322"/>
    <w:rsid w:val="001E03E7"/>
    <w:rsid w:val="001F138F"/>
    <w:rsid w:val="001F54A5"/>
    <w:rsid w:val="001F644D"/>
    <w:rsid w:val="00200F8B"/>
    <w:rsid w:val="00201E1E"/>
    <w:rsid w:val="00202C33"/>
    <w:rsid w:val="00204FBB"/>
    <w:rsid w:val="00215E6B"/>
    <w:rsid w:val="002210A0"/>
    <w:rsid w:val="002243D0"/>
    <w:rsid w:val="002245BD"/>
    <w:rsid w:val="002254E0"/>
    <w:rsid w:val="002260D9"/>
    <w:rsid w:val="00231F2C"/>
    <w:rsid w:val="0023789B"/>
    <w:rsid w:val="00237E0E"/>
    <w:rsid w:val="00237F7A"/>
    <w:rsid w:val="00252C9E"/>
    <w:rsid w:val="00254276"/>
    <w:rsid w:val="0025499C"/>
    <w:rsid w:val="00254C29"/>
    <w:rsid w:val="00257585"/>
    <w:rsid w:val="00274A4F"/>
    <w:rsid w:val="0027577A"/>
    <w:rsid w:val="0027773F"/>
    <w:rsid w:val="00290BB9"/>
    <w:rsid w:val="00295647"/>
    <w:rsid w:val="00296B0C"/>
    <w:rsid w:val="002970BE"/>
    <w:rsid w:val="002B35C0"/>
    <w:rsid w:val="002B404B"/>
    <w:rsid w:val="002D122D"/>
    <w:rsid w:val="002D5A91"/>
    <w:rsid w:val="002D7735"/>
    <w:rsid w:val="002E0BD3"/>
    <w:rsid w:val="002E3287"/>
    <w:rsid w:val="003012B6"/>
    <w:rsid w:val="00306F24"/>
    <w:rsid w:val="00307312"/>
    <w:rsid w:val="00322351"/>
    <w:rsid w:val="00325B49"/>
    <w:rsid w:val="00327871"/>
    <w:rsid w:val="0033396C"/>
    <w:rsid w:val="00334A96"/>
    <w:rsid w:val="00335311"/>
    <w:rsid w:val="00335EDA"/>
    <w:rsid w:val="003360BA"/>
    <w:rsid w:val="0034201C"/>
    <w:rsid w:val="003424F5"/>
    <w:rsid w:val="003464E3"/>
    <w:rsid w:val="00347B32"/>
    <w:rsid w:val="00350022"/>
    <w:rsid w:val="003518A1"/>
    <w:rsid w:val="00352241"/>
    <w:rsid w:val="00355BC4"/>
    <w:rsid w:val="00356EEE"/>
    <w:rsid w:val="00362964"/>
    <w:rsid w:val="00363B4B"/>
    <w:rsid w:val="00371A68"/>
    <w:rsid w:val="00372A57"/>
    <w:rsid w:val="00372FB7"/>
    <w:rsid w:val="003737A4"/>
    <w:rsid w:val="0038355A"/>
    <w:rsid w:val="00383EC6"/>
    <w:rsid w:val="003871C3"/>
    <w:rsid w:val="00396910"/>
    <w:rsid w:val="003A1BA1"/>
    <w:rsid w:val="003A4EAB"/>
    <w:rsid w:val="003B127F"/>
    <w:rsid w:val="003B4123"/>
    <w:rsid w:val="003B551F"/>
    <w:rsid w:val="003B579E"/>
    <w:rsid w:val="003C1F5D"/>
    <w:rsid w:val="003C2630"/>
    <w:rsid w:val="003C43B6"/>
    <w:rsid w:val="003C5560"/>
    <w:rsid w:val="003C6245"/>
    <w:rsid w:val="003C7525"/>
    <w:rsid w:val="003D1EE3"/>
    <w:rsid w:val="003E2DDE"/>
    <w:rsid w:val="003E57A7"/>
    <w:rsid w:val="003F0F73"/>
    <w:rsid w:val="0040076E"/>
    <w:rsid w:val="0040187C"/>
    <w:rsid w:val="004167FD"/>
    <w:rsid w:val="0042047A"/>
    <w:rsid w:val="00423551"/>
    <w:rsid w:val="0042585B"/>
    <w:rsid w:val="004327B2"/>
    <w:rsid w:val="004518F3"/>
    <w:rsid w:val="00456D0D"/>
    <w:rsid w:val="00463C2A"/>
    <w:rsid w:val="00465D46"/>
    <w:rsid w:val="0046617C"/>
    <w:rsid w:val="0046668C"/>
    <w:rsid w:val="00466C03"/>
    <w:rsid w:val="0047713E"/>
    <w:rsid w:val="00477517"/>
    <w:rsid w:val="00477D3B"/>
    <w:rsid w:val="00477E87"/>
    <w:rsid w:val="00490316"/>
    <w:rsid w:val="0049147A"/>
    <w:rsid w:val="004967B2"/>
    <w:rsid w:val="004978DF"/>
    <w:rsid w:val="004A0788"/>
    <w:rsid w:val="004A66D3"/>
    <w:rsid w:val="004B29BA"/>
    <w:rsid w:val="004B2E5B"/>
    <w:rsid w:val="004B405E"/>
    <w:rsid w:val="004B71D9"/>
    <w:rsid w:val="004C2561"/>
    <w:rsid w:val="004C2C76"/>
    <w:rsid w:val="004C54BC"/>
    <w:rsid w:val="004C641C"/>
    <w:rsid w:val="004D241D"/>
    <w:rsid w:val="004D3AEF"/>
    <w:rsid w:val="004D4E85"/>
    <w:rsid w:val="004D69B1"/>
    <w:rsid w:val="004E037E"/>
    <w:rsid w:val="004E0F61"/>
    <w:rsid w:val="004F3D6C"/>
    <w:rsid w:val="004F65C9"/>
    <w:rsid w:val="00500A0E"/>
    <w:rsid w:val="00502A76"/>
    <w:rsid w:val="00503EA5"/>
    <w:rsid w:val="005041CB"/>
    <w:rsid w:val="00514BF9"/>
    <w:rsid w:val="00514C8B"/>
    <w:rsid w:val="00517B55"/>
    <w:rsid w:val="005209C4"/>
    <w:rsid w:val="0052480F"/>
    <w:rsid w:val="00526217"/>
    <w:rsid w:val="00530753"/>
    <w:rsid w:val="00535E35"/>
    <w:rsid w:val="00536C57"/>
    <w:rsid w:val="005403BC"/>
    <w:rsid w:val="005454D2"/>
    <w:rsid w:val="00553CBD"/>
    <w:rsid w:val="005571C5"/>
    <w:rsid w:val="005575F6"/>
    <w:rsid w:val="00560757"/>
    <w:rsid w:val="00561662"/>
    <w:rsid w:val="00563E18"/>
    <w:rsid w:val="005650F0"/>
    <w:rsid w:val="00565DF4"/>
    <w:rsid w:val="005746FF"/>
    <w:rsid w:val="00574B03"/>
    <w:rsid w:val="00575AE3"/>
    <w:rsid w:val="00582C46"/>
    <w:rsid w:val="005903FA"/>
    <w:rsid w:val="00590AB5"/>
    <w:rsid w:val="0059165D"/>
    <w:rsid w:val="00591E0B"/>
    <w:rsid w:val="00592122"/>
    <w:rsid w:val="005956EF"/>
    <w:rsid w:val="00597ED3"/>
    <w:rsid w:val="005A385C"/>
    <w:rsid w:val="005A70D7"/>
    <w:rsid w:val="005B4F7E"/>
    <w:rsid w:val="005B5C3F"/>
    <w:rsid w:val="005B66F1"/>
    <w:rsid w:val="005B748B"/>
    <w:rsid w:val="005D735D"/>
    <w:rsid w:val="005E3085"/>
    <w:rsid w:val="005E7C3C"/>
    <w:rsid w:val="005F1A9F"/>
    <w:rsid w:val="005F1D22"/>
    <w:rsid w:val="005F6F43"/>
    <w:rsid w:val="005F7565"/>
    <w:rsid w:val="006003D6"/>
    <w:rsid w:val="00600C25"/>
    <w:rsid w:val="006023F9"/>
    <w:rsid w:val="00611CC0"/>
    <w:rsid w:val="00615729"/>
    <w:rsid w:val="006161F3"/>
    <w:rsid w:val="006214F6"/>
    <w:rsid w:val="00633235"/>
    <w:rsid w:val="006353C9"/>
    <w:rsid w:val="00640C89"/>
    <w:rsid w:val="00640E31"/>
    <w:rsid w:val="00644C20"/>
    <w:rsid w:val="00651CA8"/>
    <w:rsid w:val="00654550"/>
    <w:rsid w:val="00656EC6"/>
    <w:rsid w:val="006603D8"/>
    <w:rsid w:val="00661FFA"/>
    <w:rsid w:val="006626B5"/>
    <w:rsid w:val="00670134"/>
    <w:rsid w:val="00676817"/>
    <w:rsid w:val="006800F2"/>
    <w:rsid w:val="00682CD5"/>
    <w:rsid w:val="00686240"/>
    <w:rsid w:val="00686C74"/>
    <w:rsid w:val="00691346"/>
    <w:rsid w:val="0069174A"/>
    <w:rsid w:val="006968E2"/>
    <w:rsid w:val="00696F9D"/>
    <w:rsid w:val="006A65F7"/>
    <w:rsid w:val="006A699E"/>
    <w:rsid w:val="006A76EB"/>
    <w:rsid w:val="006B1105"/>
    <w:rsid w:val="006B5EFC"/>
    <w:rsid w:val="006C3EC2"/>
    <w:rsid w:val="006C7A10"/>
    <w:rsid w:val="006D0F17"/>
    <w:rsid w:val="006D3B45"/>
    <w:rsid w:val="006E2D45"/>
    <w:rsid w:val="006F4182"/>
    <w:rsid w:val="006F4881"/>
    <w:rsid w:val="006F5166"/>
    <w:rsid w:val="00702A17"/>
    <w:rsid w:val="007105ED"/>
    <w:rsid w:val="00713754"/>
    <w:rsid w:val="007149C2"/>
    <w:rsid w:val="00714C78"/>
    <w:rsid w:val="007179BB"/>
    <w:rsid w:val="0072501A"/>
    <w:rsid w:val="00726EAA"/>
    <w:rsid w:val="0072727E"/>
    <w:rsid w:val="00731CAB"/>
    <w:rsid w:val="007440BA"/>
    <w:rsid w:val="00744C45"/>
    <w:rsid w:val="007510E0"/>
    <w:rsid w:val="00760E81"/>
    <w:rsid w:val="00762240"/>
    <w:rsid w:val="007646BF"/>
    <w:rsid w:val="00781D15"/>
    <w:rsid w:val="0078285F"/>
    <w:rsid w:val="00782B14"/>
    <w:rsid w:val="00782E05"/>
    <w:rsid w:val="007873D8"/>
    <w:rsid w:val="00791331"/>
    <w:rsid w:val="007919C2"/>
    <w:rsid w:val="0079223B"/>
    <w:rsid w:val="007A37C1"/>
    <w:rsid w:val="007A55F8"/>
    <w:rsid w:val="007B30E2"/>
    <w:rsid w:val="007B4417"/>
    <w:rsid w:val="007C0AB9"/>
    <w:rsid w:val="007C2F94"/>
    <w:rsid w:val="007C790A"/>
    <w:rsid w:val="007D33C0"/>
    <w:rsid w:val="007D4E24"/>
    <w:rsid w:val="007D612D"/>
    <w:rsid w:val="007E11DE"/>
    <w:rsid w:val="007E1EDB"/>
    <w:rsid w:val="007E466B"/>
    <w:rsid w:val="007E55D1"/>
    <w:rsid w:val="007F6460"/>
    <w:rsid w:val="007F73B9"/>
    <w:rsid w:val="00807074"/>
    <w:rsid w:val="008116D3"/>
    <w:rsid w:val="00811D96"/>
    <w:rsid w:val="00812AC9"/>
    <w:rsid w:val="00824480"/>
    <w:rsid w:val="008252C3"/>
    <w:rsid w:val="00827D0F"/>
    <w:rsid w:val="00837537"/>
    <w:rsid w:val="00840FEA"/>
    <w:rsid w:val="0084119F"/>
    <w:rsid w:val="008423AE"/>
    <w:rsid w:val="00844861"/>
    <w:rsid w:val="00847DD6"/>
    <w:rsid w:val="00854C9F"/>
    <w:rsid w:val="00857FA0"/>
    <w:rsid w:val="0086288E"/>
    <w:rsid w:val="008641FD"/>
    <w:rsid w:val="00865542"/>
    <w:rsid w:val="00874663"/>
    <w:rsid w:val="008838FC"/>
    <w:rsid w:val="008951F6"/>
    <w:rsid w:val="00895D02"/>
    <w:rsid w:val="008A1BF1"/>
    <w:rsid w:val="008A2E0D"/>
    <w:rsid w:val="008B6CA7"/>
    <w:rsid w:val="008C1ED0"/>
    <w:rsid w:val="008D3E3F"/>
    <w:rsid w:val="008E1F01"/>
    <w:rsid w:val="008E1F75"/>
    <w:rsid w:val="008E2D6A"/>
    <w:rsid w:val="008E698A"/>
    <w:rsid w:val="008F2B4E"/>
    <w:rsid w:val="008F78A3"/>
    <w:rsid w:val="009007BC"/>
    <w:rsid w:val="00903645"/>
    <w:rsid w:val="00907927"/>
    <w:rsid w:val="00914281"/>
    <w:rsid w:val="0091702F"/>
    <w:rsid w:val="00926548"/>
    <w:rsid w:val="00933CD9"/>
    <w:rsid w:val="00937130"/>
    <w:rsid w:val="009458D2"/>
    <w:rsid w:val="00946BC3"/>
    <w:rsid w:val="00951097"/>
    <w:rsid w:val="00951E49"/>
    <w:rsid w:val="00952266"/>
    <w:rsid w:val="00955A16"/>
    <w:rsid w:val="00955F98"/>
    <w:rsid w:val="0096110D"/>
    <w:rsid w:val="00962D50"/>
    <w:rsid w:val="00964BE1"/>
    <w:rsid w:val="00965A5E"/>
    <w:rsid w:val="009720B9"/>
    <w:rsid w:val="00973815"/>
    <w:rsid w:val="0098742B"/>
    <w:rsid w:val="00991ADD"/>
    <w:rsid w:val="009927CD"/>
    <w:rsid w:val="009936E9"/>
    <w:rsid w:val="009A05AB"/>
    <w:rsid w:val="009A0EDD"/>
    <w:rsid w:val="009A291A"/>
    <w:rsid w:val="009A3A51"/>
    <w:rsid w:val="009A43DA"/>
    <w:rsid w:val="009A6C47"/>
    <w:rsid w:val="009A7306"/>
    <w:rsid w:val="009A782E"/>
    <w:rsid w:val="009B5455"/>
    <w:rsid w:val="009C092B"/>
    <w:rsid w:val="009C0A30"/>
    <w:rsid w:val="009C0D22"/>
    <w:rsid w:val="009C3892"/>
    <w:rsid w:val="009C4FDE"/>
    <w:rsid w:val="009D1B9F"/>
    <w:rsid w:val="009D3385"/>
    <w:rsid w:val="009D3525"/>
    <w:rsid w:val="009D7B17"/>
    <w:rsid w:val="009E0124"/>
    <w:rsid w:val="009E1693"/>
    <w:rsid w:val="009E3832"/>
    <w:rsid w:val="009E6193"/>
    <w:rsid w:val="00A03958"/>
    <w:rsid w:val="00A133E9"/>
    <w:rsid w:val="00A155DB"/>
    <w:rsid w:val="00A22F33"/>
    <w:rsid w:val="00A24ADC"/>
    <w:rsid w:val="00A32087"/>
    <w:rsid w:val="00A324F3"/>
    <w:rsid w:val="00A34784"/>
    <w:rsid w:val="00A3691E"/>
    <w:rsid w:val="00A413A8"/>
    <w:rsid w:val="00A4256F"/>
    <w:rsid w:val="00A43D2D"/>
    <w:rsid w:val="00A4785A"/>
    <w:rsid w:val="00A57988"/>
    <w:rsid w:val="00A61F59"/>
    <w:rsid w:val="00A631F2"/>
    <w:rsid w:val="00A677EE"/>
    <w:rsid w:val="00A71D00"/>
    <w:rsid w:val="00A7427B"/>
    <w:rsid w:val="00A82547"/>
    <w:rsid w:val="00A837B6"/>
    <w:rsid w:val="00A86447"/>
    <w:rsid w:val="00A91FA6"/>
    <w:rsid w:val="00A96F81"/>
    <w:rsid w:val="00AA31A2"/>
    <w:rsid w:val="00AA4BFE"/>
    <w:rsid w:val="00AA69A1"/>
    <w:rsid w:val="00AC3631"/>
    <w:rsid w:val="00AC70D1"/>
    <w:rsid w:val="00AD07AE"/>
    <w:rsid w:val="00AD5149"/>
    <w:rsid w:val="00AD5C18"/>
    <w:rsid w:val="00AE37DF"/>
    <w:rsid w:val="00AE775F"/>
    <w:rsid w:val="00AF347B"/>
    <w:rsid w:val="00AF70CC"/>
    <w:rsid w:val="00B111B3"/>
    <w:rsid w:val="00B22851"/>
    <w:rsid w:val="00B23F6C"/>
    <w:rsid w:val="00B31677"/>
    <w:rsid w:val="00B33D32"/>
    <w:rsid w:val="00B3624E"/>
    <w:rsid w:val="00B37685"/>
    <w:rsid w:val="00B4039A"/>
    <w:rsid w:val="00B42099"/>
    <w:rsid w:val="00B42270"/>
    <w:rsid w:val="00B47104"/>
    <w:rsid w:val="00B54A28"/>
    <w:rsid w:val="00B57362"/>
    <w:rsid w:val="00B62E0E"/>
    <w:rsid w:val="00B64D17"/>
    <w:rsid w:val="00B65963"/>
    <w:rsid w:val="00B703B8"/>
    <w:rsid w:val="00B747D6"/>
    <w:rsid w:val="00B7746A"/>
    <w:rsid w:val="00B90669"/>
    <w:rsid w:val="00B9306F"/>
    <w:rsid w:val="00BA6232"/>
    <w:rsid w:val="00BB0FF2"/>
    <w:rsid w:val="00BB5179"/>
    <w:rsid w:val="00BB690F"/>
    <w:rsid w:val="00BC5360"/>
    <w:rsid w:val="00BC549E"/>
    <w:rsid w:val="00BC7ADD"/>
    <w:rsid w:val="00BC7E9F"/>
    <w:rsid w:val="00BD6832"/>
    <w:rsid w:val="00BE4933"/>
    <w:rsid w:val="00BE5B0B"/>
    <w:rsid w:val="00BE5D10"/>
    <w:rsid w:val="00BE6AD9"/>
    <w:rsid w:val="00BE6F54"/>
    <w:rsid w:val="00BF167C"/>
    <w:rsid w:val="00BF3CC9"/>
    <w:rsid w:val="00BF450F"/>
    <w:rsid w:val="00BF5F35"/>
    <w:rsid w:val="00BF65DF"/>
    <w:rsid w:val="00C0088D"/>
    <w:rsid w:val="00C063C1"/>
    <w:rsid w:val="00C07150"/>
    <w:rsid w:val="00C07B59"/>
    <w:rsid w:val="00C15D15"/>
    <w:rsid w:val="00C16660"/>
    <w:rsid w:val="00C17089"/>
    <w:rsid w:val="00C23FE3"/>
    <w:rsid w:val="00C25398"/>
    <w:rsid w:val="00C258F7"/>
    <w:rsid w:val="00C302E3"/>
    <w:rsid w:val="00C32A20"/>
    <w:rsid w:val="00C32DAD"/>
    <w:rsid w:val="00C41707"/>
    <w:rsid w:val="00C453DC"/>
    <w:rsid w:val="00C50553"/>
    <w:rsid w:val="00C50DD9"/>
    <w:rsid w:val="00C52D35"/>
    <w:rsid w:val="00C61AA6"/>
    <w:rsid w:val="00C62CB0"/>
    <w:rsid w:val="00C657B7"/>
    <w:rsid w:val="00C74F68"/>
    <w:rsid w:val="00C75B61"/>
    <w:rsid w:val="00C879A7"/>
    <w:rsid w:val="00C913C3"/>
    <w:rsid w:val="00C92AB8"/>
    <w:rsid w:val="00CB2F87"/>
    <w:rsid w:val="00CB31E9"/>
    <w:rsid w:val="00CC4360"/>
    <w:rsid w:val="00CD0733"/>
    <w:rsid w:val="00CD4A3D"/>
    <w:rsid w:val="00CE7345"/>
    <w:rsid w:val="00CF166D"/>
    <w:rsid w:val="00CF2836"/>
    <w:rsid w:val="00CF3A49"/>
    <w:rsid w:val="00D004AF"/>
    <w:rsid w:val="00D01157"/>
    <w:rsid w:val="00D12675"/>
    <w:rsid w:val="00D17FF4"/>
    <w:rsid w:val="00D20635"/>
    <w:rsid w:val="00D21090"/>
    <w:rsid w:val="00D214F0"/>
    <w:rsid w:val="00D22E00"/>
    <w:rsid w:val="00D315DC"/>
    <w:rsid w:val="00D35882"/>
    <w:rsid w:val="00D40085"/>
    <w:rsid w:val="00D519C4"/>
    <w:rsid w:val="00D60003"/>
    <w:rsid w:val="00D6043B"/>
    <w:rsid w:val="00D62F9C"/>
    <w:rsid w:val="00D751B8"/>
    <w:rsid w:val="00D75477"/>
    <w:rsid w:val="00D8089C"/>
    <w:rsid w:val="00D82FEA"/>
    <w:rsid w:val="00D94529"/>
    <w:rsid w:val="00D947DA"/>
    <w:rsid w:val="00DA3F3C"/>
    <w:rsid w:val="00DA5015"/>
    <w:rsid w:val="00DA6EF4"/>
    <w:rsid w:val="00DB3A2D"/>
    <w:rsid w:val="00DC3193"/>
    <w:rsid w:val="00DD5587"/>
    <w:rsid w:val="00DD6255"/>
    <w:rsid w:val="00DE05B1"/>
    <w:rsid w:val="00DE1AD4"/>
    <w:rsid w:val="00DE471C"/>
    <w:rsid w:val="00DE5BAB"/>
    <w:rsid w:val="00DF2873"/>
    <w:rsid w:val="00DF2A88"/>
    <w:rsid w:val="00DF4674"/>
    <w:rsid w:val="00DF7EF8"/>
    <w:rsid w:val="00E02EF0"/>
    <w:rsid w:val="00E0335B"/>
    <w:rsid w:val="00E07A2B"/>
    <w:rsid w:val="00E11E2E"/>
    <w:rsid w:val="00E202BA"/>
    <w:rsid w:val="00E23431"/>
    <w:rsid w:val="00E2360B"/>
    <w:rsid w:val="00E30434"/>
    <w:rsid w:val="00E3187F"/>
    <w:rsid w:val="00E324A3"/>
    <w:rsid w:val="00E33263"/>
    <w:rsid w:val="00E36417"/>
    <w:rsid w:val="00E37976"/>
    <w:rsid w:val="00E40F9A"/>
    <w:rsid w:val="00E41188"/>
    <w:rsid w:val="00E411C3"/>
    <w:rsid w:val="00E414B6"/>
    <w:rsid w:val="00E41C6E"/>
    <w:rsid w:val="00E5162E"/>
    <w:rsid w:val="00E5188C"/>
    <w:rsid w:val="00E54E14"/>
    <w:rsid w:val="00E641ED"/>
    <w:rsid w:val="00E669E3"/>
    <w:rsid w:val="00E7340B"/>
    <w:rsid w:val="00E763FA"/>
    <w:rsid w:val="00E8610C"/>
    <w:rsid w:val="00E87FD0"/>
    <w:rsid w:val="00E92ABC"/>
    <w:rsid w:val="00E962AA"/>
    <w:rsid w:val="00E96E4F"/>
    <w:rsid w:val="00EA63BD"/>
    <w:rsid w:val="00EA72DC"/>
    <w:rsid w:val="00EA7FC6"/>
    <w:rsid w:val="00EB1574"/>
    <w:rsid w:val="00EB3392"/>
    <w:rsid w:val="00EB5245"/>
    <w:rsid w:val="00EB5312"/>
    <w:rsid w:val="00EC0804"/>
    <w:rsid w:val="00EC6EBE"/>
    <w:rsid w:val="00ED3504"/>
    <w:rsid w:val="00ED6C39"/>
    <w:rsid w:val="00ED70E6"/>
    <w:rsid w:val="00ED79D3"/>
    <w:rsid w:val="00EE50A6"/>
    <w:rsid w:val="00EE5614"/>
    <w:rsid w:val="00EF7129"/>
    <w:rsid w:val="00F0148A"/>
    <w:rsid w:val="00F042CD"/>
    <w:rsid w:val="00F14D98"/>
    <w:rsid w:val="00F15D34"/>
    <w:rsid w:val="00F20100"/>
    <w:rsid w:val="00F2470F"/>
    <w:rsid w:val="00F33AA4"/>
    <w:rsid w:val="00F41DA2"/>
    <w:rsid w:val="00F42877"/>
    <w:rsid w:val="00F42E35"/>
    <w:rsid w:val="00F51789"/>
    <w:rsid w:val="00F51EF4"/>
    <w:rsid w:val="00F60BC9"/>
    <w:rsid w:val="00F61314"/>
    <w:rsid w:val="00F7121C"/>
    <w:rsid w:val="00F715A1"/>
    <w:rsid w:val="00F71AA7"/>
    <w:rsid w:val="00F72A94"/>
    <w:rsid w:val="00F72F7C"/>
    <w:rsid w:val="00F82B19"/>
    <w:rsid w:val="00F82B6C"/>
    <w:rsid w:val="00F85F65"/>
    <w:rsid w:val="00F86A7F"/>
    <w:rsid w:val="00F90D5D"/>
    <w:rsid w:val="00F92A86"/>
    <w:rsid w:val="00FA1276"/>
    <w:rsid w:val="00FA1D82"/>
    <w:rsid w:val="00FA5C40"/>
    <w:rsid w:val="00FB285B"/>
    <w:rsid w:val="00FB49EC"/>
    <w:rsid w:val="00FB7475"/>
    <w:rsid w:val="00FC1D01"/>
    <w:rsid w:val="00FD299B"/>
    <w:rsid w:val="00FD403F"/>
    <w:rsid w:val="00FD51F0"/>
    <w:rsid w:val="00FD5FA2"/>
    <w:rsid w:val="00FE5C88"/>
    <w:rsid w:val="00FE7445"/>
    <w:rsid w:val="00FF218E"/>
    <w:rsid w:val="00FF4A4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C58F93EF-0CF6-4BD6-900E-734803C0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C7B"/>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 w:type="paragraph" w:styleId="FootnoteText">
    <w:name w:val="footnote text"/>
    <w:basedOn w:val="Normal"/>
    <w:link w:val="FootnoteTextChar"/>
    <w:uiPriority w:val="99"/>
    <w:semiHidden/>
    <w:unhideWhenUsed/>
    <w:rsid w:val="002254E0"/>
    <w:pPr>
      <w:spacing w:before="0"/>
    </w:pPr>
    <w:rPr>
      <w:sz w:val="20"/>
      <w:szCs w:val="20"/>
    </w:rPr>
  </w:style>
  <w:style w:type="character" w:customStyle="1" w:styleId="FootnoteTextChar">
    <w:name w:val="Footnote Text Char"/>
    <w:basedOn w:val="DefaultParagraphFont"/>
    <w:link w:val="FootnoteText"/>
    <w:uiPriority w:val="99"/>
    <w:semiHidden/>
    <w:rsid w:val="002254E0"/>
    <w:rPr>
      <w:rFonts w:ascii="Century Schoolbook" w:hAnsi="Century Schoolbook"/>
      <w:sz w:val="20"/>
      <w:szCs w:val="20"/>
      <w:lang w:val="en-GB"/>
    </w:rPr>
  </w:style>
  <w:style w:type="character" w:styleId="FootnoteReference">
    <w:name w:val="footnote reference"/>
    <w:basedOn w:val="DefaultParagraphFont"/>
    <w:uiPriority w:val="99"/>
    <w:semiHidden/>
    <w:unhideWhenUsed/>
    <w:rsid w:val="002254E0"/>
    <w:rPr>
      <w:vertAlign w:val="superscript"/>
    </w:rPr>
  </w:style>
  <w:style w:type="paragraph" w:styleId="EndnoteText">
    <w:name w:val="endnote text"/>
    <w:basedOn w:val="Normal"/>
    <w:link w:val="EndnoteTextChar"/>
    <w:uiPriority w:val="99"/>
    <w:semiHidden/>
    <w:unhideWhenUsed/>
    <w:rsid w:val="00951E49"/>
    <w:pPr>
      <w:spacing w:before="0"/>
    </w:pPr>
    <w:rPr>
      <w:sz w:val="20"/>
      <w:szCs w:val="20"/>
    </w:rPr>
  </w:style>
  <w:style w:type="character" w:customStyle="1" w:styleId="EndnoteTextChar">
    <w:name w:val="Endnote Text Char"/>
    <w:basedOn w:val="DefaultParagraphFont"/>
    <w:link w:val="EndnoteText"/>
    <w:uiPriority w:val="99"/>
    <w:semiHidden/>
    <w:rsid w:val="00951E49"/>
    <w:rPr>
      <w:rFonts w:ascii="Century Schoolbook" w:hAnsi="Century Schoolbook"/>
      <w:sz w:val="20"/>
      <w:szCs w:val="20"/>
      <w:lang w:val="en-GB"/>
    </w:rPr>
  </w:style>
  <w:style w:type="character" w:styleId="EndnoteReference">
    <w:name w:val="endnote reference"/>
    <w:basedOn w:val="DefaultParagraphFont"/>
    <w:uiPriority w:val="99"/>
    <w:semiHidden/>
    <w:unhideWhenUsed/>
    <w:rsid w:val="00951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1027">
      <w:bodyDiv w:val="1"/>
      <w:marLeft w:val="0"/>
      <w:marRight w:val="0"/>
      <w:marTop w:val="0"/>
      <w:marBottom w:val="0"/>
      <w:divBdr>
        <w:top w:val="none" w:sz="0" w:space="0" w:color="auto"/>
        <w:left w:val="none" w:sz="0" w:space="0" w:color="auto"/>
        <w:bottom w:val="none" w:sz="0" w:space="0" w:color="auto"/>
        <w:right w:val="none" w:sz="0" w:space="0" w:color="auto"/>
      </w:divBdr>
    </w:div>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673073737">
      <w:bodyDiv w:val="1"/>
      <w:marLeft w:val="0"/>
      <w:marRight w:val="0"/>
      <w:marTop w:val="0"/>
      <w:marBottom w:val="0"/>
      <w:divBdr>
        <w:top w:val="none" w:sz="0" w:space="0" w:color="auto"/>
        <w:left w:val="none" w:sz="0" w:space="0" w:color="auto"/>
        <w:bottom w:val="none" w:sz="0" w:space="0" w:color="auto"/>
        <w:right w:val="none" w:sz="0" w:space="0" w:color="auto"/>
      </w:divBdr>
    </w:div>
    <w:div w:id="713886764">
      <w:bodyDiv w:val="1"/>
      <w:marLeft w:val="0"/>
      <w:marRight w:val="0"/>
      <w:marTop w:val="0"/>
      <w:marBottom w:val="0"/>
      <w:divBdr>
        <w:top w:val="none" w:sz="0" w:space="0" w:color="auto"/>
        <w:left w:val="none" w:sz="0" w:space="0" w:color="auto"/>
        <w:bottom w:val="none" w:sz="0" w:space="0" w:color="auto"/>
        <w:right w:val="none" w:sz="0" w:space="0" w:color="auto"/>
      </w:divBdr>
    </w:div>
    <w:div w:id="872352557">
      <w:bodyDiv w:val="1"/>
      <w:marLeft w:val="0"/>
      <w:marRight w:val="0"/>
      <w:marTop w:val="0"/>
      <w:marBottom w:val="0"/>
      <w:divBdr>
        <w:top w:val="none" w:sz="0" w:space="0" w:color="auto"/>
        <w:left w:val="none" w:sz="0" w:space="0" w:color="auto"/>
        <w:bottom w:val="none" w:sz="0" w:space="0" w:color="auto"/>
        <w:right w:val="none" w:sz="0" w:space="0" w:color="auto"/>
      </w:divBdr>
    </w:div>
    <w:div w:id="972439766">
      <w:bodyDiv w:val="1"/>
      <w:marLeft w:val="0"/>
      <w:marRight w:val="0"/>
      <w:marTop w:val="0"/>
      <w:marBottom w:val="0"/>
      <w:divBdr>
        <w:top w:val="none" w:sz="0" w:space="0" w:color="auto"/>
        <w:left w:val="none" w:sz="0" w:space="0" w:color="auto"/>
        <w:bottom w:val="none" w:sz="0" w:space="0" w:color="auto"/>
        <w:right w:val="none" w:sz="0" w:space="0" w:color="auto"/>
      </w:divBdr>
    </w:div>
    <w:div w:id="1051811388">
      <w:bodyDiv w:val="1"/>
      <w:marLeft w:val="0"/>
      <w:marRight w:val="0"/>
      <w:marTop w:val="0"/>
      <w:marBottom w:val="0"/>
      <w:divBdr>
        <w:top w:val="none" w:sz="0" w:space="0" w:color="auto"/>
        <w:left w:val="none" w:sz="0" w:space="0" w:color="auto"/>
        <w:bottom w:val="none" w:sz="0" w:space="0" w:color="auto"/>
        <w:right w:val="none" w:sz="0" w:space="0" w:color="auto"/>
      </w:divBdr>
      <w:divsChild>
        <w:div w:id="1685666179">
          <w:marLeft w:val="0"/>
          <w:marRight w:val="0"/>
          <w:marTop w:val="0"/>
          <w:marBottom w:val="0"/>
          <w:divBdr>
            <w:top w:val="none" w:sz="0" w:space="0" w:color="auto"/>
            <w:left w:val="none" w:sz="0" w:space="0" w:color="auto"/>
            <w:bottom w:val="none" w:sz="0" w:space="0" w:color="auto"/>
            <w:right w:val="none" w:sz="0" w:space="0" w:color="auto"/>
          </w:divBdr>
        </w:div>
      </w:divsChild>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583946768">
      <w:bodyDiv w:val="1"/>
      <w:marLeft w:val="0"/>
      <w:marRight w:val="0"/>
      <w:marTop w:val="0"/>
      <w:marBottom w:val="0"/>
      <w:divBdr>
        <w:top w:val="none" w:sz="0" w:space="0" w:color="auto"/>
        <w:left w:val="none" w:sz="0" w:space="0" w:color="auto"/>
        <w:bottom w:val="none" w:sz="0" w:space="0" w:color="auto"/>
        <w:right w:val="none" w:sz="0" w:space="0" w:color="auto"/>
      </w:divBdr>
      <w:divsChild>
        <w:div w:id="89563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j.ijforecast.2022.08.004" TargetMode="External"/><Relationship Id="rId26" Type="http://schemas.openxmlformats.org/officeDocument/2006/relationships/hyperlink" Target="https://doi.org/10.1016/j.neucom.2013.08.023" TargetMode="External"/><Relationship Id="rId39" Type="http://schemas.openxmlformats.org/officeDocument/2006/relationships/hyperlink" Target="https://doi.org/10.1108/BIJ-06-2016-0096" TargetMode="External"/><Relationship Id="rId21" Type="http://schemas.openxmlformats.org/officeDocument/2006/relationships/hyperlink" Target="http://dx.doi.org/10.2139/ssrn.3910214" TargetMode="External"/><Relationship Id="rId34" Type="http://schemas.openxmlformats.org/officeDocument/2006/relationships/hyperlink" Target="https://doi.org/10.2139/ssrn.345007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40/epjds/s13688-024-00457-2" TargetMode="External"/><Relationship Id="rId20" Type="http://schemas.openxmlformats.org/officeDocument/2006/relationships/hyperlink" Target="https://doi.org/10.1108/JRF-06-2023-0137" TargetMode="External"/><Relationship Id="rId29" Type="http://schemas.openxmlformats.org/officeDocument/2006/relationships/hyperlink" Target="https://doi.org/10.1002/978111861919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02/ijfe.1779" TargetMode="External"/><Relationship Id="rId32" Type="http://schemas.openxmlformats.org/officeDocument/2006/relationships/hyperlink" Target="https://doi.org/10.1016/0304-4076(86)90063-1" TargetMode="External"/><Relationship Id="rId37" Type="http://schemas.openxmlformats.org/officeDocument/2006/relationships/hyperlink" Target="https://doi.org/10.48550/arXiv.1407.0202" TargetMode="External"/><Relationship Id="rId40" Type="http://schemas.openxmlformats.org/officeDocument/2006/relationships/hyperlink" Target="https://doi.org/10.1016/j.jebo.2022.10.013" TargetMode="External"/><Relationship Id="rId5" Type="http://schemas.openxmlformats.org/officeDocument/2006/relationships/webSettings" Target="webSettings.xml"/><Relationship Id="rId15" Type="http://schemas.openxmlformats.org/officeDocument/2006/relationships/hyperlink" Target="https://doi.org/10.21511/imfi.20(3).2023.10" TargetMode="External"/><Relationship Id="rId23" Type="http://schemas.openxmlformats.org/officeDocument/2006/relationships/hyperlink" Target="https://doi.org/10.1257/aer.89.3.473" TargetMode="External"/><Relationship Id="rId28" Type="http://schemas.openxmlformats.org/officeDocument/2006/relationships/hyperlink" Target="https://doi.org/10.1613/jair.953" TargetMode="External"/><Relationship Id="rId36" Type="http://schemas.openxmlformats.org/officeDocument/2006/relationships/hyperlink" Target="http://urn.kb.se/resolve?urn=urn:nbn:se:kth:diva-205595" TargetMode="External"/><Relationship Id="rId10" Type="http://schemas.openxmlformats.org/officeDocument/2006/relationships/footer" Target="footer2.xml"/><Relationship Id="rId19" Type="http://schemas.openxmlformats.org/officeDocument/2006/relationships/hyperlink" Target="http://dx.doi.org/10.2139/ssrn.4695279" TargetMode="External"/><Relationship Id="rId31" Type="http://schemas.openxmlformats.org/officeDocument/2006/relationships/hyperlink" Target="https://api.semanticscholar.org/CorpusID:2526083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EconPapers.repec.org/RePEc:pal:imfstp:v:45:y:1998:i:1:p:1-48" TargetMode="External"/><Relationship Id="rId27" Type="http://schemas.openxmlformats.org/officeDocument/2006/relationships/hyperlink" Target="https://doi.org/10.22495/cbsrv4i4art8" TargetMode="External"/><Relationship Id="rId30" Type="http://schemas.openxmlformats.org/officeDocument/2006/relationships/hyperlink" Target="https://doi.org/10.48550/arXiv.1906.09024" TargetMode="External"/><Relationship Id="rId35" Type="http://schemas.openxmlformats.org/officeDocument/2006/relationships/hyperlink" Target="https://doi.org/10.1108/joic.2002.3.1.44"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7717/peerj-cs.1403" TargetMode="External"/><Relationship Id="rId25" Type="http://schemas.openxmlformats.org/officeDocument/2006/relationships/hyperlink" Target="https://doi.org/10.1016/j.jimonfin.2006.07.007" TargetMode="External"/><Relationship Id="rId33" Type="http://schemas.openxmlformats.org/officeDocument/2006/relationships/hyperlink" Target="https://doi.org/10.1198/073500104000000370" TargetMode="External"/><Relationship Id="rId38" Type="http://schemas.openxmlformats.org/officeDocument/2006/relationships/hyperlink" Target="https://doi.org/10.1287/opre.7.2.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AFA9-B4AA-4BB1-AAA3-60755192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25</Pages>
  <Words>6772</Words>
  <Characters>38605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298</cp:revision>
  <dcterms:created xsi:type="dcterms:W3CDTF">2025-06-30T12:28:00Z</dcterms:created>
  <dcterms:modified xsi:type="dcterms:W3CDTF">2025-07-28T16:22:00Z</dcterms:modified>
</cp:coreProperties>
</file>