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309CC3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231F2C">
        <w:t>S</w:t>
      </w:r>
      <w:r w:rsidRPr="007C0AB9">
        <w:t xml:space="preserve">ystems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6DCD65DF" w14:textId="4E5EF795" w:rsidR="00A133E9" w:rsidRPr="007C0AB9" w:rsidRDefault="00F33AA4">
      <w:pPr>
        <w:pStyle w:val="TOC1"/>
        <w:tabs>
          <w:tab w:val="left" w:pos="1540"/>
        </w:tabs>
        <w:rPr>
          <w:rFonts w:asciiTheme="minorHAnsi" w:hAnsiTheme="minorHAnsi"/>
          <w:b w:val="0"/>
          <w:noProof w:val="0"/>
          <w:sz w:val="22"/>
          <w:szCs w:val="22"/>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A133E9" w:rsidRPr="007C0AB9">
        <w:rPr>
          <w:noProof w:val="0"/>
        </w:rPr>
        <w:t>Chapter 1</w:t>
      </w:r>
      <w:r w:rsidR="00A133E9" w:rsidRPr="007C0AB9">
        <w:rPr>
          <w:rFonts w:asciiTheme="minorHAnsi" w:hAnsiTheme="minorHAnsi"/>
          <w:b w:val="0"/>
          <w:noProof w:val="0"/>
          <w:sz w:val="22"/>
          <w:szCs w:val="22"/>
        </w:rPr>
        <w:tab/>
      </w:r>
      <w:r w:rsidR="00A133E9" w:rsidRPr="007C0AB9">
        <w:rPr>
          <w:noProof w:val="0"/>
        </w:rPr>
        <w:t>Introduction &lt;This is Heading 1&gt;</w:t>
      </w:r>
      <w:r w:rsidR="00A133E9" w:rsidRPr="007C0AB9">
        <w:rPr>
          <w:noProof w:val="0"/>
        </w:rPr>
        <w:tab/>
      </w:r>
      <w:r w:rsidR="00A133E9" w:rsidRPr="007C0AB9">
        <w:rPr>
          <w:noProof w:val="0"/>
        </w:rPr>
        <w:fldChar w:fldCharType="begin"/>
      </w:r>
      <w:r w:rsidR="00A133E9" w:rsidRPr="007C0AB9">
        <w:rPr>
          <w:noProof w:val="0"/>
        </w:rPr>
        <w:instrText xml:space="preserve"> PAGEREF _Toc85614300 \h </w:instrText>
      </w:r>
      <w:r w:rsidR="00A133E9" w:rsidRPr="007C0AB9">
        <w:rPr>
          <w:noProof w:val="0"/>
        </w:rPr>
      </w:r>
      <w:r w:rsidR="00A133E9" w:rsidRPr="007C0AB9">
        <w:rPr>
          <w:noProof w:val="0"/>
        </w:rPr>
        <w:fldChar w:fldCharType="separate"/>
      </w:r>
      <w:r w:rsidR="00A133E9" w:rsidRPr="007C0AB9">
        <w:rPr>
          <w:noProof w:val="0"/>
        </w:rPr>
        <w:t>1</w:t>
      </w:r>
      <w:r w:rsidR="00A133E9" w:rsidRPr="007C0AB9">
        <w:rPr>
          <w:noProof w:val="0"/>
        </w:rPr>
        <w:fldChar w:fldCharType="end"/>
      </w:r>
    </w:p>
    <w:p w14:paraId="7BC9FFAA" w14:textId="20E51D7D" w:rsidR="00A133E9" w:rsidRPr="007C0AB9" w:rsidRDefault="00A133E9">
      <w:pPr>
        <w:pStyle w:val="TOC2"/>
        <w:rPr>
          <w:b w:val="0"/>
        </w:rPr>
      </w:pPr>
      <w:r w:rsidRPr="007C0AB9">
        <w:t>1.1</w:t>
      </w:r>
      <w:r w:rsidRPr="007C0AB9">
        <w:rPr>
          <w:b w:val="0"/>
        </w:rPr>
        <w:tab/>
      </w:r>
      <w:r w:rsidRPr="007C0AB9">
        <w:t>A section &lt;This is style Heading 2&gt;</w:t>
      </w:r>
      <w:r w:rsidRPr="007C0AB9">
        <w:tab/>
      </w:r>
      <w:r w:rsidRPr="007C0AB9">
        <w:fldChar w:fldCharType="begin"/>
      </w:r>
      <w:r w:rsidRPr="007C0AB9">
        <w:instrText xml:space="preserve"> PAGEREF _Toc85614301 \h </w:instrText>
      </w:r>
      <w:r w:rsidRPr="007C0AB9">
        <w:fldChar w:fldCharType="separate"/>
      </w:r>
      <w:r w:rsidRPr="007C0AB9">
        <w:t>1</w:t>
      </w:r>
      <w:r w:rsidRPr="007C0AB9">
        <w:fldChar w:fldCharType="end"/>
      </w:r>
    </w:p>
    <w:p w14:paraId="0F620D14" w14:textId="3E544477" w:rsidR="00A133E9" w:rsidRPr="007C0AB9" w:rsidRDefault="00A133E9">
      <w:pPr>
        <w:pStyle w:val="TOC3"/>
        <w:tabs>
          <w:tab w:val="left" w:pos="1320"/>
          <w:tab w:val="right" w:leader="dot" w:pos="8290"/>
        </w:tabs>
      </w:pPr>
      <w:r w:rsidRPr="007C0AB9">
        <w:rPr>
          <w:rFonts w:ascii="Century Schoolbook" w:hAnsi="Century Schoolbook"/>
        </w:rPr>
        <w:t>1.1.1</w:t>
      </w:r>
      <w:r w:rsidRPr="007C0AB9">
        <w:tab/>
      </w:r>
      <w:r w:rsidRPr="007C0AB9">
        <w:rPr>
          <w:rFonts w:ascii="Century Schoolbook" w:hAnsi="Century Schoolbook"/>
        </w:rPr>
        <w:t>A subsection &lt;This is style Heading 3&gt;</w:t>
      </w:r>
      <w:r w:rsidRPr="007C0AB9">
        <w:tab/>
      </w:r>
      <w:r w:rsidRPr="007C0AB9">
        <w:fldChar w:fldCharType="begin"/>
      </w:r>
      <w:r w:rsidRPr="007C0AB9">
        <w:instrText xml:space="preserve"> PAGEREF _Toc85614302 \h </w:instrText>
      </w:r>
      <w:r w:rsidRPr="007C0AB9">
        <w:fldChar w:fldCharType="separate"/>
      </w:r>
      <w:r w:rsidRPr="007C0AB9">
        <w:t>1</w:t>
      </w:r>
      <w:r w:rsidRPr="007C0AB9">
        <w:fldChar w:fldCharType="end"/>
      </w:r>
    </w:p>
    <w:p w14:paraId="3F9C7688" w14:textId="62731EE7"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2</w:t>
      </w:r>
      <w:r w:rsidRPr="007C0AB9">
        <w:rPr>
          <w:rFonts w:asciiTheme="minorHAnsi" w:hAnsiTheme="minorHAnsi"/>
          <w:b w:val="0"/>
          <w:noProof w:val="0"/>
          <w:sz w:val="22"/>
          <w:szCs w:val="22"/>
        </w:rPr>
        <w:tab/>
      </w:r>
      <w:r w:rsidRPr="007C0AB9">
        <w:rPr>
          <w:noProof w:val="0"/>
        </w:rPr>
        <w:t>Survey</w:t>
      </w:r>
      <w:r w:rsidRPr="007C0AB9">
        <w:rPr>
          <w:noProof w:val="0"/>
        </w:rPr>
        <w:tab/>
      </w:r>
      <w:r w:rsidRPr="007C0AB9">
        <w:rPr>
          <w:noProof w:val="0"/>
        </w:rPr>
        <w:fldChar w:fldCharType="begin"/>
      </w:r>
      <w:r w:rsidRPr="007C0AB9">
        <w:rPr>
          <w:noProof w:val="0"/>
        </w:rPr>
        <w:instrText xml:space="preserve"> PAGEREF _Toc85614303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707C1712" w14:textId="3643C2F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3</w:t>
      </w:r>
      <w:r w:rsidRPr="007C0AB9">
        <w:rPr>
          <w:rFonts w:asciiTheme="minorHAnsi" w:hAnsiTheme="minorHAnsi"/>
          <w:b w:val="0"/>
          <w:noProof w:val="0"/>
          <w:sz w:val="22"/>
          <w:szCs w:val="22"/>
        </w:rPr>
        <w:tab/>
      </w:r>
      <w:r w:rsidRPr="007C0AB9">
        <w:rPr>
          <w:noProof w:val="0"/>
        </w:rPr>
        <w:t>Further Chapters</w:t>
      </w:r>
      <w:r w:rsidRPr="007C0AB9">
        <w:rPr>
          <w:noProof w:val="0"/>
        </w:rPr>
        <w:tab/>
      </w:r>
      <w:r w:rsidRPr="007C0AB9">
        <w:rPr>
          <w:noProof w:val="0"/>
        </w:rPr>
        <w:fldChar w:fldCharType="begin"/>
      </w:r>
      <w:r w:rsidRPr="007C0AB9">
        <w:rPr>
          <w:noProof w:val="0"/>
        </w:rPr>
        <w:instrText xml:space="preserve"> PAGEREF _Toc85614304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638DFB4F" w14:textId="64CBC27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4</w:t>
      </w:r>
      <w:r w:rsidRPr="007C0AB9">
        <w:rPr>
          <w:rFonts w:asciiTheme="minorHAnsi" w:hAnsiTheme="minorHAnsi"/>
          <w:b w:val="0"/>
          <w:noProof w:val="0"/>
          <w:sz w:val="22"/>
          <w:szCs w:val="22"/>
        </w:rPr>
        <w:tab/>
      </w:r>
      <w:r w:rsidRPr="007C0AB9">
        <w:rPr>
          <w:noProof w:val="0"/>
        </w:rPr>
        <w:t>Conclusion</w:t>
      </w:r>
      <w:r w:rsidRPr="007C0AB9">
        <w:rPr>
          <w:noProof w:val="0"/>
        </w:rPr>
        <w:tab/>
      </w:r>
      <w:r w:rsidRPr="007C0AB9">
        <w:rPr>
          <w:noProof w:val="0"/>
        </w:rPr>
        <w:fldChar w:fldCharType="begin"/>
      </w:r>
      <w:r w:rsidRPr="007C0AB9">
        <w:rPr>
          <w:noProof w:val="0"/>
        </w:rPr>
        <w:instrText xml:space="preserve"> PAGEREF _Toc85614305 \h </w:instrText>
      </w:r>
      <w:r w:rsidRPr="007C0AB9">
        <w:rPr>
          <w:noProof w:val="0"/>
        </w:rPr>
      </w:r>
      <w:r w:rsidRPr="007C0AB9">
        <w:rPr>
          <w:noProof w:val="0"/>
        </w:rPr>
        <w:fldChar w:fldCharType="separate"/>
      </w:r>
      <w:r w:rsidRPr="007C0AB9">
        <w:rPr>
          <w:noProof w:val="0"/>
        </w:rPr>
        <w:t>4</w:t>
      </w:r>
      <w:r w:rsidRPr="007C0AB9">
        <w:rPr>
          <w:noProof w:val="0"/>
        </w:rPr>
        <w:fldChar w:fldCharType="end"/>
      </w:r>
    </w:p>
    <w:p w14:paraId="58EEE395" w14:textId="79F36D1A" w:rsidR="00A133E9" w:rsidRPr="007C0AB9" w:rsidRDefault="00A133E9">
      <w:pPr>
        <w:pStyle w:val="TOC6"/>
        <w:rPr>
          <w:rFonts w:asciiTheme="minorHAnsi" w:hAnsiTheme="minorHAnsi"/>
          <w:b w:val="0"/>
          <w:noProof w:val="0"/>
          <w:sz w:val="22"/>
          <w:szCs w:val="22"/>
        </w:rPr>
      </w:pPr>
      <w:r w:rsidRPr="007C0AB9">
        <w:rPr>
          <w:noProof w:val="0"/>
        </w:rPr>
        <w:t>Appendix A</w:t>
      </w:r>
      <w:r w:rsidRPr="007C0AB9">
        <w:rPr>
          <w:rFonts w:asciiTheme="minorHAnsi" w:hAnsiTheme="minorHAnsi"/>
          <w:b w:val="0"/>
          <w:noProof w:val="0"/>
          <w:sz w:val="22"/>
          <w:szCs w:val="22"/>
        </w:rPr>
        <w:tab/>
      </w:r>
      <w:r w:rsidRPr="007C0AB9">
        <w:rPr>
          <w:noProof w:val="0"/>
        </w:rPr>
        <w:t>&lt;Name of appendix&gt;</w:t>
      </w:r>
      <w:r w:rsidRPr="007C0AB9">
        <w:rPr>
          <w:noProof w:val="0"/>
        </w:rPr>
        <w:tab/>
      </w:r>
      <w:r w:rsidRPr="007C0AB9">
        <w:rPr>
          <w:noProof w:val="0"/>
        </w:rPr>
        <w:fldChar w:fldCharType="begin"/>
      </w:r>
      <w:r w:rsidRPr="007C0AB9">
        <w:rPr>
          <w:noProof w:val="0"/>
        </w:rPr>
        <w:instrText xml:space="preserve"> PAGEREF _Toc85614306 \h </w:instrText>
      </w:r>
      <w:r w:rsidRPr="007C0AB9">
        <w:rPr>
          <w:noProof w:val="0"/>
        </w:rPr>
      </w:r>
      <w:r w:rsidRPr="007C0AB9">
        <w:rPr>
          <w:noProof w:val="0"/>
        </w:rPr>
        <w:fldChar w:fldCharType="separate"/>
      </w:r>
      <w:r w:rsidRPr="007C0AB9">
        <w:rPr>
          <w:noProof w:val="0"/>
        </w:rPr>
        <w:t>1</w:t>
      </w:r>
      <w:r w:rsidRPr="007C0AB9">
        <w:rPr>
          <w:noProof w:val="0"/>
        </w:rPr>
        <w:fldChar w:fldCharType="end"/>
      </w:r>
    </w:p>
    <w:p w14:paraId="5F9DBBD2" w14:textId="3D75F154" w:rsidR="00A133E9" w:rsidRPr="007C0AB9" w:rsidRDefault="00A133E9">
      <w:pPr>
        <w:pStyle w:val="TOC6"/>
        <w:rPr>
          <w:rFonts w:asciiTheme="minorHAnsi" w:hAnsiTheme="minorHAnsi"/>
          <w:b w:val="0"/>
          <w:noProof w:val="0"/>
          <w:sz w:val="22"/>
          <w:szCs w:val="22"/>
        </w:rPr>
      </w:pPr>
      <w:r w:rsidRPr="007C0AB9">
        <w:rPr>
          <w:noProof w:val="0"/>
        </w:rPr>
        <w:t>Appendix B</w:t>
      </w:r>
      <w:r w:rsidRPr="007C0AB9">
        <w:rPr>
          <w:rFonts w:asciiTheme="minorHAnsi" w:hAnsiTheme="minorHAnsi"/>
          <w:b w:val="0"/>
          <w:noProof w:val="0"/>
          <w:sz w:val="22"/>
          <w:szCs w:val="22"/>
        </w:rPr>
        <w:tab/>
      </w:r>
      <w:r w:rsidRPr="007C0AB9">
        <w:rPr>
          <w:noProof w:val="0"/>
        </w:rPr>
        <w:t>&lt;Another appendix&gt;</w:t>
      </w:r>
      <w:r w:rsidRPr="007C0AB9">
        <w:rPr>
          <w:noProof w:val="0"/>
        </w:rPr>
        <w:tab/>
      </w:r>
      <w:r w:rsidRPr="007C0AB9">
        <w:rPr>
          <w:noProof w:val="0"/>
        </w:rPr>
        <w:fldChar w:fldCharType="begin"/>
      </w:r>
      <w:r w:rsidRPr="007C0AB9">
        <w:rPr>
          <w:noProof w:val="0"/>
        </w:rPr>
        <w:instrText xml:space="preserve"> PAGEREF _Toc85614307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413B4852" w14:textId="5B1B1947" w:rsidR="00A133E9" w:rsidRPr="007C0AB9" w:rsidRDefault="00A133E9">
      <w:pPr>
        <w:pStyle w:val="TOC1"/>
        <w:rPr>
          <w:rFonts w:asciiTheme="minorHAnsi" w:hAnsiTheme="minorHAnsi"/>
          <w:b w:val="0"/>
          <w:noProof w:val="0"/>
          <w:sz w:val="22"/>
          <w:szCs w:val="22"/>
        </w:rPr>
      </w:pPr>
      <w:r w:rsidRPr="007C0AB9">
        <w:rPr>
          <w:noProof w:val="0"/>
        </w:rPr>
        <w:t>Bibliography</w:t>
      </w:r>
      <w:r w:rsidRPr="007C0AB9">
        <w:rPr>
          <w:noProof w:val="0"/>
        </w:rPr>
        <w:tab/>
      </w:r>
      <w:r w:rsidRPr="007C0AB9">
        <w:rPr>
          <w:noProof w:val="0"/>
        </w:rPr>
        <w:fldChar w:fldCharType="begin"/>
      </w:r>
      <w:r w:rsidRPr="007C0AB9">
        <w:rPr>
          <w:noProof w:val="0"/>
        </w:rPr>
        <w:instrText xml:space="preserve"> PAGEREF _Toc85614308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2966930C" w14:textId="1A52543F"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85614300"/>
      <w:r w:rsidRPr="007C0AB9">
        <w:lastRenderedPageBreak/>
        <w:t>Introduction</w:t>
      </w:r>
      <w:bookmarkEnd w:id="0"/>
    </w:p>
    <w:p w14:paraId="394DD059" w14:textId="73FDE1D5" w:rsidR="00FE7445" w:rsidRPr="007C0AB9" w:rsidRDefault="00FE7445" w:rsidP="00FE7445">
      <w:pPr>
        <w:pStyle w:val="Heading2"/>
      </w:pPr>
      <w:r w:rsidRPr="007C0AB9">
        <w:t>Motivation</w:t>
      </w:r>
    </w:p>
    <w:p w14:paraId="21305C46" w14:textId="2FC42265" w:rsidR="004518F3" w:rsidRPr="007C0AB9" w:rsidRDefault="004518F3" w:rsidP="004518F3">
      <w:r w:rsidRPr="00352241">
        <w:rPr>
          <w:highlight w:val="yellow"/>
        </w:rPr>
        <w:t>Financial market crashes</w:t>
      </w:r>
      <w:r w:rsidRPr="007C0AB9">
        <w:t xml:space="preserve"> have historically affected to the economic and social disruptions, leading to the downturn, unemployment, and loss of investor confidence. </w:t>
      </w:r>
      <w:r w:rsidRPr="00352241">
        <w:rPr>
          <w:highlight w:val="yellow"/>
        </w:rPr>
        <w:t>Early detection and intervention</w:t>
      </w:r>
      <w:r w:rsidRPr="007C0AB9">
        <w:t xml:space="preserve"> are critical for minimizing the impact of such crises on those</w:t>
      </w:r>
      <w:r w:rsidR="007C0AB9" w:rsidRPr="007C0AB9">
        <w:t xml:space="preserve"> affected</w:t>
      </w:r>
      <w:r w:rsidRPr="007C0AB9">
        <w:t>.</w:t>
      </w:r>
    </w:p>
    <w:p w14:paraId="65954046" w14:textId="61DC220C"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D214F0">
        <w:t xml:space="preserve"> [3]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w:t>
      </w:r>
      <w:r w:rsidR="00D214F0">
        <w:t xml:space="preserve"> [1]</w:t>
      </w:r>
      <w:r w:rsidR="00E414B6">
        <w:t xml:space="preserve">. </w:t>
      </w:r>
      <w:r w:rsidR="00E414B6" w:rsidRPr="00352241">
        <w:rPr>
          <w:highlight w:val="yellow"/>
        </w:rPr>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r>
        <w:t>Purpose</w:t>
      </w:r>
    </w:p>
    <w:p w14:paraId="1AEDF427" w14:textId="42B07C7F" w:rsidR="00D214F0" w:rsidRDefault="00AD5149" w:rsidP="00AD5149">
      <w:r w:rsidRPr="00AD5149">
        <w:t xml:space="preserve">The primary purpose of this research is to </w:t>
      </w:r>
      <w:r w:rsidRPr="00933CD9">
        <w:rPr>
          <w:highlight w:val="yellow"/>
        </w:rPr>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459A8C2D"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data sourced </w:t>
      </w:r>
      <w:r w:rsidRPr="00F90D5D">
        <w:t>via the Yahoo Finance (yfinance) API</w:t>
      </w:r>
      <w:r w:rsidRPr="00AD5149">
        <w:t xml:space="preserve"> to extract relevant sentiment signals. These sentiment indicators will then be combined with traditional market-based volatility measures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1" w:name="_Toc85614303"/>
      <w:r w:rsidRPr="007C0AB9">
        <w:lastRenderedPageBreak/>
        <w:t>Survey</w:t>
      </w:r>
      <w:bookmarkEnd w:id="1"/>
      <w:r w:rsidRPr="007C0AB9">
        <w:t xml:space="preserve"> </w:t>
      </w:r>
    </w:p>
    <w:p w14:paraId="5DE6544F" w14:textId="77777777" w:rsidR="0013082B" w:rsidRDefault="00FE7445" w:rsidP="0013082B">
      <w:pPr>
        <w:pStyle w:val="Heading2"/>
      </w:pPr>
      <w:r w:rsidRPr="007C0AB9">
        <w:t>Background Survey</w:t>
      </w:r>
    </w:p>
    <w:p w14:paraId="04A0081C" w14:textId="36A11D1B" w:rsidR="0013082B" w:rsidRDefault="0013082B" w:rsidP="0013082B">
      <w:pPr>
        <w:pStyle w:val="Heading3"/>
      </w:pPr>
      <w:r>
        <w:t>Current Methods for Early Warning Systems (EWS)</w:t>
      </w:r>
    </w:p>
    <w:p w14:paraId="2BD57063" w14:textId="08B584C0" w:rsidR="0046668C" w:rsidRDefault="00B37685" w:rsidP="00D214F0">
      <w:r w:rsidRPr="00B37685">
        <w:t xml:space="preserve">Early warning systems (EWS) for financial crashes have </w:t>
      </w:r>
      <w:r w:rsidRPr="00352241">
        <w:rPr>
          <w:highlight w:val="yellow"/>
        </w:rPr>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 [1]</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 [2]</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 xml:space="preserve"> [2].</w:t>
      </w:r>
    </w:p>
    <w:p w14:paraId="540D7CF2" w14:textId="58B5A2E1" w:rsidR="00005900" w:rsidRDefault="00005900" w:rsidP="00D214F0">
      <w:r>
        <w:t xml:space="preserve">Beside the market-based indicators, </w:t>
      </w:r>
      <w:r w:rsidRPr="00352241">
        <w:rPr>
          <w:highlight w:val="yellow"/>
        </w:rPr>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Liu, Leu, and Holst (2023)</w:t>
      </w:r>
      <w:r w:rsidR="00295647">
        <w:t xml:space="preserve"> [3]</w:t>
      </w:r>
      <w:r w:rsidR="00DF7EF8">
        <w:t xml:space="preserve"> proposed a method using FinBERT combined with an ensemble SVM to </w:t>
      </w:r>
      <w:r w:rsidR="0013082B">
        <w:t>reduce noise and filter out irrelevant content from social media discussions (Liu et al., 2023) [3].</w:t>
      </w:r>
    </w:p>
    <w:p w14:paraId="02DCFFF5" w14:textId="1B14D1E8" w:rsidR="00295647" w:rsidRDefault="00295647" w:rsidP="00D214F0">
      <w:r w:rsidRPr="00295647">
        <w:t xml:space="preserve">Huang et al. (2020) </w:t>
      </w:r>
      <w:r>
        <w:t xml:space="preserve">[7] </w:t>
      </w:r>
      <w:r w:rsidRPr="00295647">
        <w:t xml:space="preserve">showed that FinBERT, which is specifically pre-trained on financial texts including earnings call transcripts, analyst reports, and financial news articles, </w:t>
      </w:r>
      <w:r w:rsidRPr="00EF7129">
        <w:rPr>
          <w:highlight w:val="yellow"/>
        </w:rPr>
        <w:t>significantly outperforms</w:t>
      </w:r>
      <w:r w:rsidRPr="00295647">
        <w:t xml:space="preserve"> general-purpose language models like </w:t>
      </w:r>
      <w:r w:rsidRPr="00EF7129">
        <w:rPr>
          <w:highlight w:val="yellow"/>
        </w:rPr>
        <w:t>BERT</w:t>
      </w:r>
      <w:r w:rsidRPr="00295647">
        <w:t xml:space="preserve"> and traditional approaches in various financial information extraction tasks</w:t>
      </w:r>
      <w:r w:rsidR="00EF7129">
        <w:t xml:space="preserve">, including the </w:t>
      </w:r>
      <w:r w:rsidR="00EF7129" w:rsidRPr="00EF7129">
        <w:rPr>
          <w:highlight w:val="yellow"/>
        </w:rPr>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 xml:space="preserve">2020) </w:t>
      </w:r>
      <w:r w:rsidR="00827D0F">
        <w:t>[7]</w:t>
      </w:r>
      <w:r w:rsidRPr="00295647">
        <w:t>.</w:t>
      </w:r>
      <w:r w:rsidR="00C23FE3">
        <w:t xml:space="preserve"> </w:t>
      </w:r>
      <w:r w:rsidR="00C23FE3" w:rsidRPr="00C23FE3">
        <w:t xml:space="preserve">However, it is important to note that FinBERT demonstrated superiority applies specifically </w:t>
      </w:r>
      <w:r w:rsidR="00C23FE3" w:rsidRPr="00C23FE3">
        <w:rPr>
          <w:highlight w:val="yellow"/>
        </w:rPr>
        <w:t>to financial text analysis tasks</w:t>
      </w:r>
      <w:r w:rsidR="00C23FE3" w:rsidRPr="00C23FE3">
        <w:t>, and not directly to model</w:t>
      </w:r>
      <w:r w:rsidR="00C23FE3">
        <w:t>l</w:t>
      </w:r>
      <w:r w:rsidR="00C23FE3" w:rsidRPr="00C23FE3">
        <w:t>ing financial market volatility.</w:t>
      </w:r>
    </w:p>
    <w:p w14:paraId="21E1BC77" w14:textId="32B251E7" w:rsidR="0013082B" w:rsidRDefault="007105ED" w:rsidP="0013082B">
      <w:pPr>
        <w:pStyle w:val="Heading3"/>
      </w:pPr>
      <w:r>
        <w:t>Volatility as a Key Crash Indicator</w:t>
      </w:r>
    </w:p>
    <w:p w14:paraId="1231C340" w14:textId="75DDF363" w:rsidR="0013082B" w:rsidRDefault="007105ED" w:rsidP="0013082B">
      <w:r>
        <w:t>Volatility remains one of the most important indicators in crash prediction research. To flag the potential financial instability, both realized volatility (</w:t>
      </w:r>
      <w:r w:rsidRPr="007105ED">
        <w:t>observed historical price variability</w:t>
      </w:r>
      <w:r>
        <w:t>) and implied volatility (</w:t>
      </w:r>
      <w:r w:rsidRPr="007105ED">
        <w:t>market expectations of future volatility derived from options pricing</w:t>
      </w:r>
      <w:r>
        <w:t xml:space="preserve">) have been used </w:t>
      </w:r>
      <w:r w:rsidRPr="007105ED">
        <w:t xml:space="preserve">(Allaj &amp; Sanfelici, </w:t>
      </w:r>
      <w:r w:rsidRPr="007105ED">
        <w:lastRenderedPageBreak/>
        <w:t>2023) [4]</w:t>
      </w:r>
      <w:r>
        <w:t>. Pattern of increased volatility generally precede market downturns, making it useful for EWS frameworks.</w:t>
      </w:r>
    </w:p>
    <w:p w14:paraId="1AFA561C" w14:textId="5D3CB32A" w:rsidR="00F92A86" w:rsidRDefault="00F92A86" w:rsidP="0013082B">
      <w:r>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[4],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6A2E07DE" w14:textId="73E6ECF3" w:rsidR="00574B03" w:rsidRDefault="00574B03" w:rsidP="00574B03">
      <w:r>
        <w:t xml:space="preserve">A </w:t>
      </w:r>
      <w:r w:rsidR="002E0BD3">
        <w:t xml:space="preserve">recent </w:t>
      </w:r>
      <w:r>
        <w:t xml:space="preserve">study by Le (2024) [6] examined the effectiveness of combining multiple VaR and ES forecasting models in the context of the Vietnamese stock market. The research found that </w:t>
      </w:r>
      <w:r w:rsidRPr="00352241">
        <w:rPr>
          <w:highlight w:val="yellow"/>
        </w:rPr>
        <w:t>forecast combination techniques</w:t>
      </w:r>
      <w:r>
        <w:t xml:space="preserve">, such as weighted averaging of outputs from different models (e.g., GARCH, CAViaR, and ES-CAViaR), </w:t>
      </w:r>
      <w:r w:rsidRPr="00352241">
        <w:rPr>
          <w:highlight w:val="yellow"/>
        </w:rPr>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 xml:space="preserve">(Le, 2024) </w:t>
      </w:r>
      <w:r>
        <w:t>[6].</w:t>
      </w:r>
    </w:p>
    <w:p w14:paraId="4B0647B6" w14:textId="363ACBCA" w:rsidR="007105ED" w:rsidRDefault="007105ED" w:rsidP="007105ED">
      <w:pPr>
        <w:pStyle w:val="Heading3"/>
      </w:pPr>
      <w:r>
        <w:t>Rationale for Focusing on Index-Level Predictions</w:t>
      </w:r>
    </w:p>
    <w:p w14:paraId="4D76CF83" w14:textId="5286BBC7"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(Park et al., 2024) [5]. Research has shown that top-down index forecasts tend to be more accurate and informative than bottom-up aggregation of individual stock predictions, particularly for systemic risk assessment (Park et al., 2024) [5]. By concentrating on index-level sentiment and market volatility, the model can better capture macro-level signals that reflect broader market conditions.</w:t>
      </w:r>
    </w:p>
    <w:p w14:paraId="20DC62FB" w14:textId="698E55E2" w:rsidR="00907927" w:rsidRDefault="00907927" w:rsidP="00907927">
      <w:pPr>
        <w:pStyle w:val="Heading3"/>
      </w:pPr>
      <w:r>
        <w:t>Define crashes indicator equation</w:t>
      </w:r>
    </w:p>
    <w:p w14:paraId="4ECEB971" w14:textId="4517BF29" w:rsidR="00907927" w:rsidRPr="00907927" w:rsidRDefault="00907927" w:rsidP="00907927">
      <w:r>
        <w:t>*TBC*</w:t>
      </w:r>
    </w:p>
    <w:p w14:paraId="11939DDE" w14:textId="622AB238" w:rsidR="00FD51F0" w:rsidRDefault="00FD51F0" w:rsidP="00E0335B">
      <w:pPr>
        <w:pStyle w:val="Heading2"/>
      </w:pPr>
      <w:r>
        <w:t>Research Gap</w:t>
      </w:r>
    </w:p>
    <w:p w14:paraId="025773FB" w14:textId="77777777" w:rsidR="00FD51F0" w:rsidRDefault="00FD51F0" w:rsidP="00FD51F0">
      <w:r>
        <w:t>While considerable progress has been made in developing EWS models, several critical research gaps remain:</w:t>
      </w:r>
    </w:p>
    <w:p w14:paraId="77B451C0" w14:textId="597E9430" w:rsidR="00FD51F0" w:rsidRDefault="00FD51F0" w:rsidP="00FD51F0">
      <w:pPr>
        <w:pStyle w:val="ListParagraph"/>
        <w:numPr>
          <w:ilvl w:val="0"/>
          <w:numId w:val="41"/>
        </w:numPr>
      </w:pPr>
      <w:r>
        <w:t>Limited integration of sentiment-based volatility measures with traditional market-based volatility indicators: Few studies systematically combine these two sources of information within a dynamic modelling framework.</w:t>
      </w:r>
    </w:p>
    <w:p w14:paraId="1C9C5F6C" w14:textId="77777777" w:rsidR="00FD51F0" w:rsidRDefault="00FD51F0" w:rsidP="00FD51F0">
      <w:pPr>
        <w:pStyle w:val="ListParagraph"/>
        <w:numPr>
          <w:ilvl w:val="0"/>
          <w:numId w:val="41"/>
        </w:numPr>
      </w:pPr>
      <w:r>
        <w:t>Lack of dynamic, time-adaptive models that capture evolving market-sentiment interactions: Most existing models remain static or only partially adaptive, limiting their real-time forecasting power during rapidly shifting market conditions.</w:t>
      </w:r>
    </w:p>
    <w:p w14:paraId="186253EC" w14:textId="77777777" w:rsidR="00FD51F0" w:rsidRDefault="00FD51F0" w:rsidP="00FD51F0">
      <w:pPr>
        <w:pStyle w:val="ListParagraph"/>
        <w:numPr>
          <w:ilvl w:val="0"/>
          <w:numId w:val="41"/>
        </w:numPr>
      </w:pPr>
      <w:r>
        <w:t>Insufficient empirical validation at the index level across multiple crisis periods: Much of the prior research focuses either on individual stocks or single-crisis case studies, reducing generalizability.</w:t>
      </w:r>
    </w:p>
    <w:p w14:paraId="592A045B" w14:textId="32BCD712" w:rsidR="006626B5" w:rsidRDefault="00E0335B" w:rsidP="00E0335B">
      <w:pPr>
        <w:pStyle w:val="Heading2"/>
      </w:pPr>
      <w:r>
        <w:lastRenderedPageBreak/>
        <w:t>Research Objectives</w:t>
      </w:r>
    </w:p>
    <w:p w14:paraId="4FD78441" w14:textId="4AAD6916" w:rsidR="00933CD9" w:rsidRPr="00933CD9" w:rsidRDefault="00933CD9" w:rsidP="00933CD9">
      <w:pPr>
        <w:rPr>
          <w:b/>
          <w:bCs/>
        </w:rPr>
      </w:pPr>
      <w:r w:rsidRPr="00933CD9">
        <w:rPr>
          <w:b/>
          <w:bCs/>
          <w:highlight w:val="cyan"/>
        </w:rPr>
        <w:t xml:space="preserve">*Objective* </w:t>
      </w:r>
      <w:r w:rsidR="00686C74">
        <w:rPr>
          <w:b/>
          <w:bCs/>
          <w:highlight w:val="cyan"/>
        </w:rPr>
        <w:t>/</w:t>
      </w:r>
      <w:r w:rsidRPr="00933CD9">
        <w:rPr>
          <w:b/>
          <w:bCs/>
          <w:highlight w:val="cyan"/>
        </w:rPr>
        <w:t xml:space="preserve"> *Hypothesis*</w:t>
      </w:r>
    </w:p>
    <w:p w14:paraId="2A92161B" w14:textId="26FF6041" w:rsidR="00E0335B" w:rsidRDefault="00AD5149" w:rsidP="00E0335B">
      <w:r w:rsidRPr="00AD5149">
        <w:t xml:space="preserve">The goal of this project is to assess the following </w:t>
      </w:r>
      <w:r>
        <w:t>objectives</w:t>
      </w:r>
      <w:r w:rsidR="00E0335B">
        <w:t>:</w:t>
      </w:r>
    </w:p>
    <w:p w14:paraId="57ECD91A" w14:textId="1ECDF1E4" w:rsidR="00933CD9" w:rsidRDefault="00933CD9" w:rsidP="00933CD9">
      <w:pPr>
        <w:pStyle w:val="ListParagraph"/>
        <w:numPr>
          <w:ilvl w:val="0"/>
          <w:numId w:val="39"/>
        </w:numPr>
      </w:pPr>
      <w:r w:rsidRPr="00FF218E">
        <w:rPr>
          <w:highlight w:val="yellow"/>
        </w:rPr>
        <w:t>To analyse the predictive power</w:t>
      </w:r>
      <w:r>
        <w:t xml:space="preserve"> of both market-based and sentiment-based volatility indicators, examining how their time-varying patterns relate to the occurrence of past financial crashes at the index level.</w:t>
      </w:r>
    </w:p>
    <w:p w14:paraId="68FEE2A1" w14:textId="47537DE2" w:rsidR="00933CD9" w:rsidRDefault="00933CD9" w:rsidP="00933CD9">
      <w:pPr>
        <w:pStyle w:val="ListParagraph"/>
        <w:numPr>
          <w:ilvl w:val="0"/>
          <w:numId w:val="39"/>
        </w:numPr>
      </w:pPr>
      <w:r w:rsidRPr="00FF218E">
        <w:rPr>
          <w:highlight w:val="yellow"/>
        </w:rPr>
        <w:t>To develop a dynamic modelling framework</w:t>
      </w:r>
      <w:r>
        <w:t>, incorporating features such as time-varying thresholds and regime-switching mechanisms, to capture the evolving relationship between sentiment-driven and market-based volatility indicators.</w:t>
      </w:r>
    </w:p>
    <w:p w14:paraId="3166B7A0" w14:textId="264DEB5B" w:rsidR="00933CD9" w:rsidRDefault="00933CD9" w:rsidP="00933CD9">
      <w:pPr>
        <w:pStyle w:val="ListParagraph"/>
        <w:numPr>
          <w:ilvl w:val="0"/>
          <w:numId w:val="39"/>
        </w:numPr>
      </w:pPr>
      <w:r w:rsidRPr="00FF218E">
        <w:rPr>
          <w:highlight w:val="yellow"/>
        </w:rPr>
        <w:t>To evaluate and compare</w:t>
      </w:r>
      <w:r>
        <w:t xml:space="preserve"> the predictive performance of the proposed dynamic EWS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FF218E">
        <w:rPr>
          <w:highlight w:val="yellow"/>
        </w:rPr>
        <w:t>To validate the robustness</w:t>
      </w:r>
      <w:r>
        <w:t xml:space="preserve"> and generalizability of the developed model across different market environments and historical crisis periods</w:t>
      </w:r>
      <w:r w:rsidR="00FF218E">
        <w:t>.</w:t>
      </w:r>
    </w:p>
    <w:p w14:paraId="18D1A9EF" w14:textId="02E20EA5" w:rsidR="00FF218E" w:rsidRDefault="00FF218E" w:rsidP="00FF218E">
      <w:r>
        <w:t>Hypotheses</w:t>
      </w:r>
    </w:p>
    <w:p w14:paraId="11025330" w14:textId="503D11BA" w:rsidR="00FF218E" w:rsidRDefault="00FF218E" w:rsidP="00FF218E">
      <w:pPr>
        <w:pStyle w:val="ListParagraph"/>
        <w:numPr>
          <w:ilvl w:val="0"/>
          <w:numId w:val="40"/>
        </w:numPr>
      </w:pPr>
      <w:r>
        <w:t>H1: Incorporating sentiment data significantly improves model accuracy.</w:t>
      </w:r>
    </w:p>
    <w:p w14:paraId="6747400E" w14:textId="14EE17F6" w:rsidR="00FF218E" w:rsidRDefault="00FF218E" w:rsidP="00FF218E">
      <w:pPr>
        <w:pStyle w:val="ListParagraph"/>
        <w:numPr>
          <w:ilvl w:val="0"/>
          <w:numId w:val="40"/>
        </w:numPr>
      </w:pPr>
      <w:r>
        <w:t>H2: Dynamic models outperform static models for crash prediction.</w:t>
      </w:r>
    </w:p>
    <w:p w14:paraId="21D4492B" w14:textId="3371352D" w:rsidR="00FF218E" w:rsidRPr="00E0335B" w:rsidRDefault="00FF218E" w:rsidP="00FF218E">
      <w:pPr>
        <w:pStyle w:val="ListParagraph"/>
        <w:numPr>
          <w:ilvl w:val="0"/>
          <w:numId w:val="40"/>
        </w:numPr>
      </w:pPr>
      <w:r>
        <w:t>H3: Volatility variables provide significant predictive power for crash events.</w:t>
      </w:r>
    </w:p>
    <w:p w14:paraId="1C95DBD9" w14:textId="77777777" w:rsidR="00D214F0" w:rsidRDefault="00D214F0" w:rsidP="00D214F0">
      <w:pPr>
        <w:spacing w:before="0"/>
        <w:jc w:val="left"/>
      </w:pPr>
    </w:p>
    <w:p w14:paraId="3E8561E2" w14:textId="3287A931" w:rsidR="00D214F0" w:rsidRPr="006626B5" w:rsidRDefault="006626B5" w:rsidP="00D214F0">
      <w:pPr>
        <w:spacing w:before="0"/>
        <w:jc w:val="left"/>
        <w:rPr>
          <w:b/>
          <w:bCs/>
        </w:rPr>
      </w:pPr>
      <w:r w:rsidRPr="006626B5">
        <w:rPr>
          <w:b/>
          <w:bCs/>
        </w:rPr>
        <w:t>*</w:t>
      </w:r>
      <w:r w:rsidR="00D214F0" w:rsidRPr="006626B5">
        <w:rPr>
          <w:b/>
          <w:bCs/>
        </w:rPr>
        <w:t>Citation</w:t>
      </w:r>
      <w:r w:rsidRPr="006626B5">
        <w:rPr>
          <w:b/>
          <w:bCs/>
        </w:rPr>
        <w:t>*</w:t>
      </w:r>
    </w:p>
    <w:p w14:paraId="1E08E249" w14:textId="3B7D1EA4" w:rsidR="00D214F0" w:rsidRDefault="00D214F0" w:rsidP="00D214F0">
      <w:pPr>
        <w:spacing w:before="0"/>
        <w:jc w:val="left"/>
      </w:pPr>
      <w:r w:rsidRPr="00D214F0">
        <w:t xml:space="preserve">[1] </w:t>
      </w:r>
      <w:r w:rsidR="00B37685" w:rsidRPr="00B37685">
        <w:t>Lisa Kustina, Rachmat Sudarsono and Nury Effendi (2023).</w:t>
      </w:r>
      <w:r w:rsidR="00B37685">
        <w:t xml:space="preserve"> </w:t>
      </w:r>
      <w:r w:rsidRPr="00D214F0">
        <w:t xml:space="preserve">Market crash factors and developing an early warning system: Evidence from Asia, </w:t>
      </w:r>
      <w:hyperlink r:id="rId12" w:history="1">
        <w:r w:rsidR="00574B03" w:rsidRPr="00D214F0">
          <w:rPr>
            <w:rStyle w:val="Hyperlink"/>
          </w:rPr>
          <w:t>https://doi.org/10.21511/imfi.20(3).2023.10</w:t>
        </w:r>
      </w:hyperlink>
    </w:p>
    <w:p w14:paraId="55DDD36C" w14:textId="669A6BAF" w:rsidR="00D214F0" w:rsidRDefault="00D214F0" w:rsidP="00D214F0">
      <w:pPr>
        <w:spacing w:before="0"/>
        <w:jc w:val="left"/>
      </w:pPr>
      <w:r w:rsidRPr="00D214F0">
        <w:t xml:space="preserve">[2] </w:t>
      </w:r>
      <w:r w:rsidR="00B37685" w:rsidRPr="00B37685">
        <w:t>Song</w:t>
      </w:r>
      <w:r w:rsidR="00B37685">
        <w:t xml:space="preserve"> </w:t>
      </w:r>
      <w:r w:rsidR="00B37685" w:rsidRPr="00B37685">
        <w:t>and</w:t>
      </w:r>
      <w:r w:rsidR="00B37685">
        <w:t xml:space="preserve"> </w:t>
      </w:r>
      <w:r w:rsidR="00B37685" w:rsidRPr="00B37685">
        <w:t>Li</w:t>
      </w:r>
      <w:r w:rsidR="00B37685">
        <w:t xml:space="preserve"> (2024), </w:t>
      </w:r>
      <w:r w:rsidRPr="00D214F0">
        <w:t xml:space="preserve">Early warning signals for stock market crashes: empirical and analytical insights utilizing nonlinear methods, </w:t>
      </w:r>
      <w:hyperlink r:id="rId13" w:history="1">
        <w:r w:rsidR="00574B03" w:rsidRPr="00D214F0">
          <w:rPr>
            <w:rStyle w:val="Hyperlink"/>
          </w:rPr>
          <w:t>https://doi.org/10.1140/epjds/s13688-024-00457-2</w:t>
        </w:r>
      </w:hyperlink>
    </w:p>
    <w:p w14:paraId="3A04CC52" w14:textId="0D911FA4" w:rsidR="00D214F0" w:rsidRDefault="00D214F0" w:rsidP="00D214F0">
      <w:pPr>
        <w:spacing w:before="0"/>
        <w:jc w:val="left"/>
      </w:pPr>
      <w:r w:rsidRPr="00D214F0">
        <w:t xml:space="preserve">[3] Liu, J., Leu, J., &amp; Holst, S. (2023). Stock price movement prediction based on Stocktwits investor sentiment using FinBERT and ensemble SVM. PeerJ Computer Science, 9. </w:t>
      </w:r>
      <w:hyperlink r:id="rId14" w:history="1">
        <w:r w:rsidR="00574B03" w:rsidRPr="00D214F0">
          <w:rPr>
            <w:rStyle w:val="Hyperlink"/>
          </w:rPr>
          <w:t>https://doi.org/10.7717/peerj-cs.1403</w:t>
        </w:r>
      </w:hyperlink>
    </w:p>
    <w:p w14:paraId="651F49D1" w14:textId="4073727C" w:rsidR="00D214F0" w:rsidRDefault="00D214F0" w:rsidP="00D214F0">
      <w:pPr>
        <w:spacing w:before="0"/>
        <w:jc w:val="left"/>
      </w:pPr>
      <w:r w:rsidRPr="00D214F0">
        <w:t xml:space="preserve">[4] Erindi Allaj, Simona Sanfelici, Early Warning Systems for identifying financial instability, International Journal of Forecasting, Volume 39, Issue 4, 2023, Pages 1777-1803, ISSN 0169-2070, </w:t>
      </w:r>
      <w:hyperlink r:id="rId15" w:history="1">
        <w:r w:rsidR="00574B03" w:rsidRPr="00D214F0">
          <w:rPr>
            <w:rStyle w:val="Hyperlink"/>
          </w:rPr>
          <w:t>https://doi.org/10.1016/j.ijforecast.2022.08.004</w:t>
        </w:r>
      </w:hyperlink>
      <w:r w:rsidRPr="00D214F0">
        <w:t>.</w:t>
      </w:r>
    </w:p>
    <w:p w14:paraId="410CD4A8" w14:textId="74E5B33C" w:rsidR="00E37976" w:rsidRDefault="00D214F0" w:rsidP="00D214F0">
      <w:pPr>
        <w:spacing w:before="0"/>
        <w:jc w:val="left"/>
      </w:pPr>
      <w:r w:rsidRPr="00D214F0">
        <w:t xml:space="preserve">[5] Park, M., Peterson, M., &amp; Weisbrod, E.H. (2024). Top-Down vs. Bottom-Up Index Forecasts: Are Market Strategists Strategically Pessimistic? SSRN Electronic Journal. Available at SSRN: https://ssrn.com/abstract=4695279 or </w:t>
      </w:r>
      <w:hyperlink r:id="rId16" w:history="1">
        <w:r w:rsidR="00574B03" w:rsidRPr="00FF7048">
          <w:rPr>
            <w:rStyle w:val="Hyperlink"/>
          </w:rPr>
          <w:t>http://dx.doi.org/10.2139/ssrn.4695279</w:t>
        </w:r>
      </w:hyperlink>
    </w:p>
    <w:p w14:paraId="1DE4DA20" w14:textId="63A9C02E" w:rsidR="00574B03" w:rsidRDefault="00574B03" w:rsidP="00D214F0">
      <w:pPr>
        <w:spacing w:before="0"/>
        <w:jc w:val="left"/>
      </w:pPr>
      <w:r>
        <w:t xml:space="preserve">[6] </w:t>
      </w:r>
      <w:r w:rsidRPr="00574B03">
        <w:t xml:space="preserve">Le, T.H. (2024), "Forecasting value-at-risk and expected shortfall in emerging market: does forecast combination help?", Journal of Risk Finance, Vol. 25 No. 1, pp. 160-177. </w:t>
      </w:r>
      <w:hyperlink r:id="rId17" w:history="1">
        <w:r w:rsidRPr="00FF7048">
          <w:rPr>
            <w:rStyle w:val="Hyperlink"/>
          </w:rPr>
          <w:t>https://doi.org/10.1108/JRF-06-2023-0137</w:t>
        </w:r>
      </w:hyperlink>
    </w:p>
    <w:p w14:paraId="05B122ED" w14:textId="3233C8D3" w:rsidR="00104F17" w:rsidRDefault="00104F17" w:rsidP="00295647">
      <w:pPr>
        <w:spacing w:before="0"/>
        <w:jc w:val="left"/>
      </w:pPr>
      <w:r>
        <w:t xml:space="preserve">[7] </w:t>
      </w:r>
      <w:r w:rsidR="00295647" w:rsidRPr="00295647">
        <w:t>Huang, Allen H. and Wang, Hui and Yang, Yi, FinBERT - A Large Language Model for Extracting Information from Financial Text (July 28, 2020).</w:t>
      </w:r>
      <w:r w:rsidR="00295647">
        <w:t xml:space="preserve"> </w:t>
      </w:r>
      <w:hyperlink r:id="rId18" w:history="1">
        <w:r w:rsidR="00295647" w:rsidRPr="00BA3DA4">
          <w:rPr>
            <w:rStyle w:val="Hyperlink"/>
          </w:rPr>
          <w:t>http://dx.doi.org/10.2139/ssrn.3910214</w:t>
        </w:r>
      </w:hyperlink>
    </w:p>
    <w:p w14:paraId="614EDDC0" w14:textId="77777777" w:rsidR="00295647" w:rsidRDefault="00295647" w:rsidP="00295647">
      <w:pPr>
        <w:spacing w:before="0"/>
        <w:jc w:val="left"/>
      </w:pPr>
    </w:p>
    <w:p w14:paraId="0AE3CB13" w14:textId="77777777" w:rsidR="001A1870" w:rsidRDefault="001A1870" w:rsidP="00D214F0">
      <w:pPr>
        <w:spacing w:before="0"/>
        <w:jc w:val="left"/>
      </w:pPr>
    </w:p>
    <w:p w14:paraId="6D063CA0" w14:textId="77777777" w:rsidR="001A1870" w:rsidRDefault="001A1870" w:rsidP="00D214F0">
      <w:pPr>
        <w:spacing w:before="0"/>
        <w:jc w:val="left"/>
      </w:pPr>
    </w:p>
    <w:p w14:paraId="687CE83C" w14:textId="77777777" w:rsidR="001A1870" w:rsidRDefault="001A1870" w:rsidP="00D214F0">
      <w:pPr>
        <w:spacing w:before="0"/>
        <w:jc w:val="left"/>
      </w:pPr>
    </w:p>
    <w:p w14:paraId="0C917CC6" w14:textId="77777777" w:rsidR="001A1870" w:rsidRDefault="001A1870" w:rsidP="00D214F0">
      <w:pPr>
        <w:spacing w:before="0"/>
        <w:jc w:val="left"/>
      </w:pPr>
    </w:p>
    <w:p w14:paraId="0F4A1BFB" w14:textId="77777777" w:rsidR="001A1870" w:rsidRDefault="001A1870" w:rsidP="00D214F0">
      <w:pPr>
        <w:spacing w:before="0"/>
        <w:jc w:val="left"/>
      </w:pPr>
    </w:p>
    <w:p w14:paraId="5211F50E" w14:textId="77777777" w:rsidR="001A1870" w:rsidRDefault="001A1870" w:rsidP="00D214F0">
      <w:pPr>
        <w:spacing w:before="0"/>
        <w:jc w:val="left"/>
      </w:pPr>
    </w:p>
    <w:p w14:paraId="40E7457B" w14:textId="77777777" w:rsidR="001A1870" w:rsidRPr="007C0AB9" w:rsidRDefault="001A1870" w:rsidP="00D214F0">
      <w:pPr>
        <w:spacing w:before="0"/>
        <w:jc w:val="left"/>
      </w:pPr>
    </w:p>
    <w:p w14:paraId="2AFDCCA7" w14:textId="29A8CD9C" w:rsidR="008B6CA7" w:rsidRPr="007C0AB9" w:rsidRDefault="00EB5245" w:rsidP="00F72F7C">
      <w:pPr>
        <w:pStyle w:val="Heading1"/>
      </w:pPr>
      <w:r>
        <w:t>Design and Implementation</w:t>
      </w:r>
    </w:p>
    <w:p w14:paraId="5503C140" w14:textId="713A086A" w:rsidR="00686C74" w:rsidRDefault="00686C74" w:rsidP="00686C74">
      <w:pPr>
        <w:pStyle w:val="Heading2"/>
      </w:pPr>
      <w:r>
        <w:t>Data Collection and Preparation</w:t>
      </w:r>
    </w:p>
    <w:p w14:paraId="759C4744" w14:textId="1F030B61" w:rsidR="00686C74" w:rsidRDefault="00686C74" w:rsidP="00686C74">
      <w:pPr>
        <w:pStyle w:val="ListParagraph"/>
        <w:numPr>
          <w:ilvl w:val="0"/>
          <w:numId w:val="40"/>
        </w:numPr>
      </w:pPr>
      <w:r>
        <w:t>Market from …, Sentiment from …</w:t>
      </w:r>
    </w:p>
    <w:p w14:paraId="7FAC7CE5" w14:textId="25A955C6" w:rsidR="00686C74" w:rsidRPr="00686C74" w:rsidRDefault="00686C74" w:rsidP="00686C74">
      <w:pPr>
        <w:pStyle w:val="ListParagraph"/>
        <w:numPr>
          <w:ilvl w:val="0"/>
          <w:numId w:val="40"/>
        </w:numPr>
      </w:pPr>
      <w:r>
        <w:t>Kaggle, yfinance, mediastack, etc.</w:t>
      </w:r>
    </w:p>
    <w:p w14:paraId="71D33AA8" w14:textId="3946E814" w:rsidR="00686C74" w:rsidRDefault="00686C74" w:rsidP="00686C74">
      <w:pPr>
        <w:pStyle w:val="Heading2"/>
      </w:pPr>
      <w:r>
        <w:t>Model Architecture Design</w:t>
      </w:r>
    </w:p>
    <w:p w14:paraId="6E92E7E0" w14:textId="623D03FF" w:rsidR="00686C74" w:rsidRDefault="00686C74" w:rsidP="00686C74">
      <w:pPr>
        <w:pStyle w:val="ListParagraph"/>
        <w:numPr>
          <w:ilvl w:val="0"/>
          <w:numId w:val="40"/>
        </w:numPr>
      </w:pPr>
      <w:r>
        <w:t>Python, framework, library, etc.</w:t>
      </w:r>
    </w:p>
    <w:p w14:paraId="0DAB0627" w14:textId="24F62261" w:rsidR="00500A0E" w:rsidRPr="00686C74" w:rsidRDefault="00500A0E" w:rsidP="00686C74">
      <w:pPr>
        <w:pStyle w:val="ListParagraph"/>
        <w:numPr>
          <w:ilvl w:val="0"/>
          <w:numId w:val="40"/>
        </w:numPr>
      </w:pPr>
      <w:r>
        <w:t>Crashes factor</w:t>
      </w:r>
    </w:p>
    <w:p w14:paraId="186D91B9" w14:textId="5FD2691D" w:rsidR="00686C74" w:rsidRDefault="00686C74" w:rsidP="00686C74">
      <w:pPr>
        <w:pStyle w:val="Heading2"/>
      </w:pPr>
      <w:r>
        <w:t>Data Preprocessing</w:t>
      </w:r>
    </w:p>
    <w:p w14:paraId="0085674F" w14:textId="392192A8" w:rsidR="00686C74" w:rsidRPr="00686C74" w:rsidRDefault="00686C74" w:rsidP="00686C74">
      <w:pPr>
        <w:pStyle w:val="ListParagraph"/>
        <w:numPr>
          <w:ilvl w:val="0"/>
          <w:numId w:val="40"/>
        </w:numPr>
      </w:pPr>
      <w:r>
        <w:t>Split, label,</w:t>
      </w:r>
      <w:r w:rsidR="00B62E0E">
        <w:t xml:space="preserve"> calculate score,</w:t>
      </w:r>
      <w:r>
        <w:t xml:space="preserve"> </w:t>
      </w:r>
      <w:r w:rsidR="00B62E0E">
        <w:t xml:space="preserve">augmentation? </w:t>
      </w:r>
    </w:p>
    <w:p w14:paraId="682F532A" w14:textId="1E385FCD" w:rsidR="00686C74" w:rsidRDefault="00686C74" w:rsidP="00686C74">
      <w:pPr>
        <w:pStyle w:val="Heading2"/>
      </w:pPr>
      <w:r>
        <w:t>Model</w:t>
      </w:r>
      <w:r w:rsidR="00104F17">
        <w:t xml:space="preserve"> Training</w:t>
      </w:r>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r>
        <w:t>FinBERT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0F884E15" w14:textId="2E07C6BA" w:rsidR="00686C74" w:rsidRPr="00686C74" w:rsidRDefault="00104F17" w:rsidP="00686C74">
      <w:pPr>
        <w:pStyle w:val="Heading2"/>
      </w:pPr>
      <w:r>
        <w:t>Model Evaluation</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w:lastRenderedPageBreak/>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 w:name="_Toc85614305"/>
      <w:r w:rsidRPr="007C0AB9">
        <w:lastRenderedPageBreak/>
        <w:t>Conclusion</w:t>
      </w:r>
      <w:bookmarkEnd w:id="2"/>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9"/>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3" w:name="_Toc85614306"/>
      <w:r w:rsidRPr="007C0AB9">
        <w:lastRenderedPageBreak/>
        <w:t>&lt;Name of appendix&gt;</w:t>
      </w:r>
      <w:bookmarkEnd w:id="3"/>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4" w:name="_Toc85614307"/>
      <w:r w:rsidRPr="007C0AB9">
        <w:lastRenderedPageBreak/>
        <w:t>&lt;Another appendix&gt;</w:t>
      </w:r>
      <w:bookmarkEnd w:id="4"/>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5" w:name="_Toc85614308"/>
      <w:r w:rsidRPr="007C0AB9">
        <w:lastRenderedPageBreak/>
        <w:t>Bibliography</w:t>
      </w:r>
      <w:bookmarkEnd w:id="5"/>
      <w:r w:rsidR="0052480F" w:rsidRPr="007C0AB9">
        <w:t xml:space="preserve"> </w:t>
      </w:r>
    </w:p>
    <w:p w14:paraId="1AC10FEF" w14:textId="77777777" w:rsidR="0052480F" w:rsidRPr="007C0AB9" w:rsidRDefault="0052480F" w:rsidP="0052480F">
      <w:pPr>
        <w:tabs>
          <w:tab w:val="left" w:pos="426"/>
        </w:tabs>
        <w:rPr>
          <w:sz w:val="20"/>
          <w:szCs w:val="20"/>
        </w:rPr>
      </w:pPr>
      <w:r w:rsidRPr="007C0AB9">
        <w:rPr>
          <w:sz w:val="20"/>
          <w:szCs w:val="20"/>
        </w:rPr>
        <w:t>[1]</w:t>
      </w:r>
      <w:r w:rsidRPr="007C0AB9">
        <w:rPr>
          <w:sz w:val="20"/>
          <w:szCs w:val="20"/>
        </w:rPr>
        <w:tab/>
        <w:t xml:space="preserve">C. Baier and J.-P. Katoen.  </w:t>
      </w:r>
      <w:r w:rsidRPr="007C0AB9">
        <w:rPr>
          <w:i/>
          <w:sz w:val="20"/>
          <w:szCs w:val="20"/>
        </w:rPr>
        <w:t>Principles of Model Checking</w:t>
      </w:r>
      <w:r w:rsidRPr="007C0AB9">
        <w:rPr>
          <w:sz w:val="20"/>
          <w:szCs w:val="20"/>
        </w:rPr>
        <w:t>.  MIT Press, 2008.</w:t>
      </w:r>
    </w:p>
    <w:p w14:paraId="4F311482" w14:textId="77777777" w:rsidR="0052480F" w:rsidRDefault="0052480F">
      <w:pPr>
        <w:spacing w:before="0"/>
        <w:jc w:val="left"/>
        <w:rPr>
          <w:rFonts w:eastAsiaTheme="majorEastAsia" w:cstheme="majorBidi"/>
          <w:b/>
          <w:bCs/>
          <w:sz w:val="32"/>
          <w:szCs w:val="32"/>
        </w:rPr>
      </w:pPr>
    </w:p>
    <w:sectPr w:rsidR="0052480F"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F6E52" w14:textId="77777777" w:rsidR="00EB1574" w:rsidRPr="007C0AB9" w:rsidRDefault="00EB1574" w:rsidP="004F65C9">
      <w:pPr>
        <w:spacing w:before="0"/>
      </w:pPr>
      <w:r w:rsidRPr="007C0AB9">
        <w:separator/>
      </w:r>
    </w:p>
  </w:endnote>
  <w:endnote w:type="continuationSeparator" w:id="0">
    <w:p w14:paraId="4954E116" w14:textId="77777777" w:rsidR="00EB1574" w:rsidRPr="007C0AB9" w:rsidRDefault="00EB1574"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013E0" w14:textId="77777777" w:rsidR="00EB1574" w:rsidRPr="007C0AB9" w:rsidRDefault="00EB1574" w:rsidP="004F65C9">
      <w:pPr>
        <w:spacing w:before="0"/>
      </w:pPr>
      <w:r w:rsidRPr="007C0AB9">
        <w:separator/>
      </w:r>
    </w:p>
  </w:footnote>
  <w:footnote w:type="continuationSeparator" w:id="0">
    <w:p w14:paraId="381D5B43" w14:textId="77777777" w:rsidR="00EB1574" w:rsidRPr="007C0AB9" w:rsidRDefault="00EB1574" w:rsidP="004F65C9">
      <w:pPr>
        <w:spacing w:before="0"/>
      </w:pPr>
      <w:r w:rsidRPr="007C0A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398291">
    <w:abstractNumId w:val="17"/>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6"/>
  </w:num>
  <w:num w:numId="14" w16cid:durableId="2030836555">
    <w:abstractNumId w:val="24"/>
  </w:num>
  <w:num w:numId="15" w16cid:durableId="1957710706">
    <w:abstractNumId w:val="22"/>
  </w:num>
  <w:num w:numId="16" w16cid:durableId="689651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0"/>
  </w:num>
  <w:num w:numId="20" w16cid:durableId="1708530752">
    <w:abstractNumId w:val="36"/>
  </w:num>
  <w:num w:numId="21" w16cid:durableId="251165183">
    <w:abstractNumId w:val="16"/>
  </w:num>
  <w:num w:numId="22" w16cid:durableId="605506812">
    <w:abstractNumId w:val="17"/>
  </w:num>
  <w:num w:numId="23" w16cid:durableId="1780372109">
    <w:abstractNumId w:val="14"/>
  </w:num>
  <w:num w:numId="24" w16cid:durableId="1797067202">
    <w:abstractNumId w:val="18"/>
  </w:num>
  <w:num w:numId="25" w16cid:durableId="109321402">
    <w:abstractNumId w:val="27"/>
  </w:num>
  <w:num w:numId="26" w16cid:durableId="1818955189">
    <w:abstractNumId w:val="33"/>
  </w:num>
  <w:num w:numId="27" w16cid:durableId="809789436">
    <w:abstractNumId w:val="23"/>
  </w:num>
  <w:num w:numId="28" w16cid:durableId="1993869892">
    <w:abstractNumId w:val="35"/>
  </w:num>
  <w:num w:numId="29" w16cid:durableId="1645310968">
    <w:abstractNumId w:val="31"/>
  </w:num>
  <w:num w:numId="30" w16cid:durableId="2015453789">
    <w:abstractNumId w:val="29"/>
  </w:num>
  <w:num w:numId="31" w16cid:durableId="1601990100">
    <w:abstractNumId w:val="34"/>
  </w:num>
  <w:num w:numId="32" w16cid:durableId="1847087379">
    <w:abstractNumId w:val="13"/>
  </w:num>
  <w:num w:numId="33" w16cid:durableId="478769808">
    <w:abstractNumId w:val="21"/>
  </w:num>
  <w:num w:numId="34" w16cid:durableId="10880094">
    <w:abstractNumId w:val="28"/>
  </w:num>
  <w:num w:numId="35" w16cid:durableId="107510175">
    <w:abstractNumId w:val="20"/>
  </w:num>
  <w:num w:numId="36" w16cid:durableId="1651791497">
    <w:abstractNumId w:val="19"/>
  </w:num>
  <w:num w:numId="37" w16cid:durableId="1571307310">
    <w:abstractNumId w:val="15"/>
  </w:num>
  <w:num w:numId="38" w16cid:durableId="705761320">
    <w:abstractNumId w:val="32"/>
  </w:num>
  <w:num w:numId="39" w16cid:durableId="684677315">
    <w:abstractNumId w:val="12"/>
  </w:num>
  <w:num w:numId="40" w16cid:durableId="1061368697">
    <w:abstractNumId w:val="37"/>
  </w:num>
  <w:num w:numId="41" w16cid:durableId="3326887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5900"/>
    <w:rsid w:val="000230D8"/>
    <w:rsid w:val="00064C5D"/>
    <w:rsid w:val="000A1B37"/>
    <w:rsid w:val="000E5A9F"/>
    <w:rsid w:val="000E784C"/>
    <w:rsid w:val="00104F17"/>
    <w:rsid w:val="0013082B"/>
    <w:rsid w:val="00147F45"/>
    <w:rsid w:val="001511E5"/>
    <w:rsid w:val="00153D8D"/>
    <w:rsid w:val="001857E4"/>
    <w:rsid w:val="001A1870"/>
    <w:rsid w:val="001C33CB"/>
    <w:rsid w:val="001D38C1"/>
    <w:rsid w:val="00231F2C"/>
    <w:rsid w:val="00295647"/>
    <w:rsid w:val="002E0BD3"/>
    <w:rsid w:val="00306F24"/>
    <w:rsid w:val="00335EDA"/>
    <w:rsid w:val="003464E3"/>
    <w:rsid w:val="00352241"/>
    <w:rsid w:val="00362964"/>
    <w:rsid w:val="003737A4"/>
    <w:rsid w:val="0038355A"/>
    <w:rsid w:val="003B4123"/>
    <w:rsid w:val="003C7525"/>
    <w:rsid w:val="004518F3"/>
    <w:rsid w:val="0046668C"/>
    <w:rsid w:val="00477517"/>
    <w:rsid w:val="00477E87"/>
    <w:rsid w:val="0049147A"/>
    <w:rsid w:val="004B29BA"/>
    <w:rsid w:val="004C54BC"/>
    <w:rsid w:val="004C641C"/>
    <w:rsid w:val="004F65C9"/>
    <w:rsid w:val="00500A0E"/>
    <w:rsid w:val="0052480F"/>
    <w:rsid w:val="00530753"/>
    <w:rsid w:val="00536C57"/>
    <w:rsid w:val="00574B03"/>
    <w:rsid w:val="00582C46"/>
    <w:rsid w:val="005956EF"/>
    <w:rsid w:val="005E3085"/>
    <w:rsid w:val="00611CC0"/>
    <w:rsid w:val="006626B5"/>
    <w:rsid w:val="00676817"/>
    <w:rsid w:val="00682CD5"/>
    <w:rsid w:val="00686C74"/>
    <w:rsid w:val="007105ED"/>
    <w:rsid w:val="00713754"/>
    <w:rsid w:val="007C0AB9"/>
    <w:rsid w:val="007D4E24"/>
    <w:rsid w:val="007D612D"/>
    <w:rsid w:val="007E466B"/>
    <w:rsid w:val="00827D0F"/>
    <w:rsid w:val="008B6CA7"/>
    <w:rsid w:val="00907927"/>
    <w:rsid w:val="0091702F"/>
    <w:rsid w:val="00933CD9"/>
    <w:rsid w:val="00973815"/>
    <w:rsid w:val="00A133E9"/>
    <w:rsid w:val="00AD5149"/>
    <w:rsid w:val="00AD5C18"/>
    <w:rsid w:val="00AE37DF"/>
    <w:rsid w:val="00B37685"/>
    <w:rsid w:val="00B62E0E"/>
    <w:rsid w:val="00BB690F"/>
    <w:rsid w:val="00BE5B0B"/>
    <w:rsid w:val="00C07B59"/>
    <w:rsid w:val="00C16660"/>
    <w:rsid w:val="00C23FE3"/>
    <w:rsid w:val="00C50DD9"/>
    <w:rsid w:val="00CC4360"/>
    <w:rsid w:val="00CD4A3D"/>
    <w:rsid w:val="00D01157"/>
    <w:rsid w:val="00D214F0"/>
    <w:rsid w:val="00D75477"/>
    <w:rsid w:val="00D947DA"/>
    <w:rsid w:val="00DA3F3C"/>
    <w:rsid w:val="00DC3193"/>
    <w:rsid w:val="00DD5587"/>
    <w:rsid w:val="00DE5BAB"/>
    <w:rsid w:val="00DF7EF8"/>
    <w:rsid w:val="00E0335B"/>
    <w:rsid w:val="00E07A2B"/>
    <w:rsid w:val="00E30434"/>
    <w:rsid w:val="00E33263"/>
    <w:rsid w:val="00E36417"/>
    <w:rsid w:val="00E37976"/>
    <w:rsid w:val="00E414B6"/>
    <w:rsid w:val="00E669E3"/>
    <w:rsid w:val="00E92ABC"/>
    <w:rsid w:val="00EA72DC"/>
    <w:rsid w:val="00EB1574"/>
    <w:rsid w:val="00EB5245"/>
    <w:rsid w:val="00EE5614"/>
    <w:rsid w:val="00EF7129"/>
    <w:rsid w:val="00F33AA4"/>
    <w:rsid w:val="00F72A94"/>
    <w:rsid w:val="00F72F7C"/>
    <w:rsid w:val="00F90D5D"/>
    <w:rsid w:val="00F92A86"/>
    <w:rsid w:val="00FA5C40"/>
    <w:rsid w:val="00FD51F0"/>
    <w:rsid w:val="00FE7445"/>
    <w:rsid w:val="00FF218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40/epjds/s13688-024-00457-2" TargetMode="External"/><Relationship Id="rId18" Type="http://schemas.openxmlformats.org/officeDocument/2006/relationships/hyperlink" Target="http://dx.doi.org/10.2139/ssrn.391021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21511/imfi.20(3).2023.10" TargetMode="External"/><Relationship Id="rId17" Type="http://schemas.openxmlformats.org/officeDocument/2006/relationships/hyperlink" Target="https://doi.org/10.1108/JRF-06-2023-0137" TargetMode="External"/><Relationship Id="rId2" Type="http://schemas.openxmlformats.org/officeDocument/2006/relationships/numbering" Target="numbering.xml"/><Relationship Id="rId16" Type="http://schemas.openxmlformats.org/officeDocument/2006/relationships/hyperlink" Target="http://dx.doi.org/10.2139/ssrn.469527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016/j.ijforecast.2022.08.004"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7717/peerj-cs.1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15</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31</cp:revision>
  <dcterms:created xsi:type="dcterms:W3CDTF">2025-06-30T12:28:00Z</dcterms:created>
  <dcterms:modified xsi:type="dcterms:W3CDTF">2025-07-06T14:29:00Z</dcterms:modified>
</cp:coreProperties>
</file>