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F618E5" w14:textId="77777777" w:rsidR="006626B5" w:rsidRDefault="0049147A" w:rsidP="003B4123">
      <w:pPr>
        <w:pStyle w:val="Fronttitle"/>
      </w:pPr>
      <w:r w:rsidRPr="007C0AB9">
        <w:rPr>
          <w:noProof/>
        </w:rPr>
        <w:drawing>
          <wp:inline distT="0" distB="0" distL="0" distR="0" wp14:anchorId="0B81E457" wp14:editId="11219EB9">
            <wp:extent cx="4457700" cy="685194"/>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460480" cy="685621"/>
                    </a:xfrm>
                    <a:prstGeom prst="rect">
                      <a:avLst/>
                    </a:prstGeom>
                    <a:noFill/>
                    <a:ln w="9525">
                      <a:noFill/>
                      <a:miter lim="800000"/>
                      <a:headEnd/>
                      <a:tailEnd/>
                    </a:ln>
                  </pic:spPr>
                </pic:pic>
              </a:graphicData>
            </a:graphic>
          </wp:inline>
        </w:drawing>
      </w:r>
    </w:p>
    <w:p w14:paraId="7D53223A" w14:textId="5A2FC2A0" w:rsidR="0049147A" w:rsidRPr="007C0AB9" w:rsidRDefault="001D38C1" w:rsidP="003B4123">
      <w:pPr>
        <w:pStyle w:val="Fronttitle"/>
      </w:pPr>
      <w:r w:rsidRPr="007C0AB9">
        <w:t xml:space="preserve">Dynamic </w:t>
      </w:r>
      <w:r w:rsidR="00231F2C">
        <w:t>E</w:t>
      </w:r>
      <w:r w:rsidRPr="007C0AB9">
        <w:t xml:space="preserve">arly </w:t>
      </w:r>
      <w:r w:rsidR="00231F2C">
        <w:t>W</w:t>
      </w:r>
      <w:r w:rsidRPr="007C0AB9">
        <w:t xml:space="preserve">arning </w:t>
      </w:r>
      <w:r w:rsidR="00640C89">
        <w:t>System</w:t>
      </w:r>
      <w:r w:rsidRPr="007C0AB9">
        <w:t xml:space="preserve"> for </w:t>
      </w:r>
      <w:r w:rsidR="00231F2C">
        <w:t>F</w:t>
      </w:r>
      <w:r w:rsidRPr="007C0AB9">
        <w:t xml:space="preserve">inancial </w:t>
      </w:r>
      <w:r w:rsidR="00231F2C">
        <w:t>C</w:t>
      </w:r>
      <w:r w:rsidRPr="007C0AB9">
        <w:t>rashes</w:t>
      </w:r>
    </w:p>
    <w:p w14:paraId="795502BA" w14:textId="3E49159A" w:rsidR="0049147A" w:rsidRPr="007C0AB9" w:rsidRDefault="001D38C1" w:rsidP="00D01157">
      <w:pPr>
        <w:pStyle w:val="Frontauthor"/>
      </w:pPr>
      <w:r w:rsidRPr="007C0AB9">
        <w:t>Mokha Lerthsuwanroj</w:t>
      </w:r>
    </w:p>
    <w:p w14:paraId="4D569CEB" w14:textId="77777777" w:rsidR="0049147A" w:rsidRPr="007C0AB9" w:rsidRDefault="0049147A" w:rsidP="00D01157">
      <w:pPr>
        <w:pStyle w:val="Frontaddressfirstline"/>
      </w:pPr>
      <w:r w:rsidRPr="007C0AB9">
        <w:t>School of Computing Science</w:t>
      </w:r>
    </w:p>
    <w:p w14:paraId="0ECECD40" w14:textId="77777777" w:rsidR="0049147A" w:rsidRPr="007C0AB9" w:rsidRDefault="0049147A" w:rsidP="00D01157">
      <w:pPr>
        <w:pStyle w:val="frontaddress"/>
      </w:pPr>
      <w:r w:rsidRPr="007C0AB9">
        <w:t>Sir Alwyn Williams Building</w:t>
      </w:r>
    </w:p>
    <w:p w14:paraId="2EA4B69D" w14:textId="77777777" w:rsidR="0049147A" w:rsidRPr="007C0AB9" w:rsidRDefault="0049147A" w:rsidP="00D01157">
      <w:pPr>
        <w:pStyle w:val="frontaddress"/>
      </w:pPr>
      <w:r w:rsidRPr="007C0AB9">
        <w:t>University of Glasgow</w:t>
      </w:r>
    </w:p>
    <w:p w14:paraId="7FFE7EDF" w14:textId="77777777" w:rsidR="0049147A" w:rsidRPr="007C0AB9" w:rsidRDefault="0049147A" w:rsidP="00D01157">
      <w:pPr>
        <w:pStyle w:val="frontaddress"/>
      </w:pPr>
      <w:r w:rsidRPr="007C0AB9">
        <w:t>G12 8RZ</w:t>
      </w:r>
    </w:p>
    <w:p w14:paraId="6156290C" w14:textId="37E10703" w:rsidR="0049147A" w:rsidRPr="006626B5" w:rsidRDefault="00D75477" w:rsidP="00D01157">
      <w:pPr>
        <w:pStyle w:val="Frontaddressfirstline"/>
        <w:rPr>
          <w:sz w:val="24"/>
          <w:szCs w:val="24"/>
        </w:rPr>
      </w:pPr>
      <w:r w:rsidRPr="006626B5">
        <w:rPr>
          <w:sz w:val="24"/>
          <w:szCs w:val="24"/>
        </w:rPr>
        <w:t xml:space="preserve">A dissertation presented in part </w:t>
      </w:r>
      <w:proofErr w:type="spellStart"/>
      <w:r w:rsidRPr="006626B5">
        <w:rPr>
          <w:sz w:val="24"/>
          <w:szCs w:val="24"/>
        </w:rPr>
        <w:t>fulfillment</w:t>
      </w:r>
      <w:proofErr w:type="spellEnd"/>
      <w:r w:rsidRPr="006626B5">
        <w:rPr>
          <w:sz w:val="24"/>
          <w:szCs w:val="24"/>
        </w:rPr>
        <w:t xml:space="preserve"> of the requirements of the Degree of Master of Science at the University of Glasgow</w:t>
      </w:r>
    </w:p>
    <w:p w14:paraId="41718AE6" w14:textId="77777777" w:rsidR="0049147A" w:rsidRPr="007C0AB9" w:rsidRDefault="0049147A" w:rsidP="00D01157">
      <w:pPr>
        <w:pStyle w:val="Frontaddressfirstline"/>
      </w:pPr>
      <w:r w:rsidRPr="006626B5">
        <w:rPr>
          <w:sz w:val="24"/>
          <w:szCs w:val="24"/>
        </w:rPr>
        <w:t>&lt;Date of submission placed here&gt;</w:t>
      </w:r>
    </w:p>
    <w:p w14:paraId="3BEA75B8" w14:textId="77777777" w:rsidR="0049147A" w:rsidRPr="007C0AB9" w:rsidRDefault="0049147A" w:rsidP="00D01157"/>
    <w:p w14:paraId="01AE76A6" w14:textId="77777777" w:rsidR="00F33AA4" w:rsidRPr="007C0AB9" w:rsidRDefault="00F33AA4" w:rsidP="00D01157"/>
    <w:p w14:paraId="4ED6E26B" w14:textId="77777777" w:rsidR="00D75477" w:rsidRPr="007C0AB9" w:rsidRDefault="00D75477" w:rsidP="00D01157"/>
    <w:p w14:paraId="6902B56F" w14:textId="77777777" w:rsidR="00D75477" w:rsidRPr="007C0AB9" w:rsidRDefault="00D75477" w:rsidP="00D01157"/>
    <w:p w14:paraId="27F73FA3" w14:textId="77777777" w:rsidR="00D75477" w:rsidRPr="007C0AB9" w:rsidRDefault="00D75477" w:rsidP="00D01157"/>
    <w:p w14:paraId="535121A9" w14:textId="77777777" w:rsidR="00D75477" w:rsidRPr="007C0AB9" w:rsidRDefault="00D75477" w:rsidP="00D01157"/>
    <w:p w14:paraId="6A853B3D" w14:textId="7FE50CCC" w:rsidR="00D75477" w:rsidRPr="007C0AB9" w:rsidRDefault="00D75477" w:rsidP="00D75477">
      <w:pPr>
        <w:jc w:val="center"/>
        <w:rPr>
          <w:b/>
          <w:sz w:val="32"/>
          <w:szCs w:val="32"/>
        </w:rPr>
      </w:pPr>
      <w:r w:rsidRPr="007C0AB9">
        <w:rPr>
          <w:b/>
          <w:sz w:val="32"/>
          <w:szCs w:val="32"/>
        </w:rPr>
        <w:t>Abstract</w:t>
      </w:r>
    </w:p>
    <w:p w14:paraId="143E941D" w14:textId="5B4158AC" w:rsidR="00D75477" w:rsidRPr="007C0AB9" w:rsidRDefault="00D75477" w:rsidP="00D01157">
      <w:r w:rsidRPr="007C0AB9">
        <w:t>&lt;Abstract goes here…&gt;</w:t>
      </w:r>
    </w:p>
    <w:p w14:paraId="545851A7" w14:textId="74F392A0" w:rsidR="00D75477" w:rsidRPr="007C0AB9" w:rsidRDefault="00D75477">
      <w:pPr>
        <w:spacing w:before="0"/>
        <w:jc w:val="left"/>
      </w:pPr>
      <w:r w:rsidRPr="007C0AB9">
        <w:br w:type="page"/>
      </w:r>
    </w:p>
    <w:p w14:paraId="3F4D03A7" w14:textId="77777777" w:rsidR="00D75477" w:rsidRPr="007C0AB9" w:rsidRDefault="00D75477" w:rsidP="00D01157"/>
    <w:p w14:paraId="6A941000" w14:textId="1EF62FEC" w:rsidR="00D75477" w:rsidRPr="007C0AB9" w:rsidRDefault="00D75477" w:rsidP="00D75477">
      <w:pPr>
        <w:pStyle w:val="EarlyHeading"/>
      </w:pPr>
      <w:r w:rsidRPr="007C0AB9">
        <w:t>Education Use Consent</w:t>
      </w:r>
    </w:p>
    <w:p w14:paraId="0F0B2939" w14:textId="77777777" w:rsidR="008B6CA7" w:rsidRPr="007C0AB9" w:rsidRDefault="00D75477" w:rsidP="00D75477">
      <w:r w:rsidRPr="007C0AB9">
        <w:t xml:space="preserve">I hereby give my permission for this project to be shown to other University of Glasgow students and to be distributed in an electronic form.  </w:t>
      </w:r>
    </w:p>
    <w:p w14:paraId="252D228C" w14:textId="6271A338" w:rsidR="00D75477" w:rsidRPr="007C0AB9" w:rsidRDefault="008B6CA7" w:rsidP="00D75477">
      <w:r w:rsidRPr="007C0AB9">
        <w:t>&lt;</w:t>
      </w:r>
      <w:r w:rsidR="00D75477" w:rsidRPr="007C0AB9">
        <w:rPr>
          <w:b/>
        </w:rPr>
        <w:t>Please note that you are under no ob</w:t>
      </w:r>
      <w:r w:rsidRPr="007C0AB9">
        <w:rPr>
          <w:b/>
        </w:rPr>
        <w:t>ligation to sign this declaration, but doing so would help future students.&gt;</w:t>
      </w:r>
    </w:p>
    <w:p w14:paraId="3C8F89A4" w14:textId="77777777" w:rsidR="008B6CA7" w:rsidRPr="007C0AB9" w:rsidRDefault="008B6CA7" w:rsidP="00D75477"/>
    <w:p w14:paraId="66A5C4DF" w14:textId="77777777" w:rsidR="008B6CA7" w:rsidRPr="007C0AB9" w:rsidRDefault="008B6CA7" w:rsidP="00D75477"/>
    <w:p w14:paraId="69A01A70" w14:textId="3E232DED" w:rsidR="008B6CA7" w:rsidRPr="007C0AB9" w:rsidRDefault="008B6CA7" w:rsidP="00D75477">
      <w:r w:rsidRPr="007C0AB9">
        <w:t>Name:</w:t>
      </w:r>
      <w:r w:rsidRPr="007C0AB9">
        <w:tab/>
      </w:r>
      <w:r w:rsidRPr="007C0AB9">
        <w:tab/>
      </w:r>
      <w:r w:rsidRPr="007C0AB9">
        <w:tab/>
      </w:r>
      <w:r w:rsidRPr="007C0AB9">
        <w:tab/>
      </w:r>
      <w:r w:rsidRPr="007C0AB9">
        <w:tab/>
      </w:r>
      <w:r w:rsidRPr="007C0AB9">
        <w:tab/>
        <w:t>Signature:</w:t>
      </w:r>
    </w:p>
    <w:p w14:paraId="2DA27091" w14:textId="4BC52EEF" w:rsidR="008B6CA7" w:rsidRPr="007C0AB9" w:rsidRDefault="008B6CA7">
      <w:pPr>
        <w:spacing w:before="0"/>
        <w:jc w:val="left"/>
      </w:pPr>
      <w:r w:rsidRPr="007C0AB9">
        <w:br w:type="page"/>
      </w:r>
    </w:p>
    <w:p w14:paraId="66A672DE" w14:textId="618077C8" w:rsidR="008B6CA7" w:rsidRPr="007C0AB9" w:rsidRDefault="008B6CA7" w:rsidP="008B6CA7">
      <w:pPr>
        <w:pStyle w:val="EarlyHeading"/>
      </w:pPr>
      <w:r w:rsidRPr="007C0AB9">
        <w:lastRenderedPageBreak/>
        <w:t>Acknowledgements</w:t>
      </w:r>
    </w:p>
    <w:p w14:paraId="1A91AC02" w14:textId="18801032" w:rsidR="008B6CA7" w:rsidRPr="007C0AB9" w:rsidRDefault="008B6CA7" w:rsidP="008B6CA7">
      <w:r w:rsidRPr="007C0AB9">
        <w:t>&lt;Acknowledgements go here&gt;</w:t>
      </w:r>
    </w:p>
    <w:p w14:paraId="06BC7670" w14:textId="77777777" w:rsidR="00D75477" w:rsidRPr="007C0AB9" w:rsidRDefault="00D75477" w:rsidP="00D75477">
      <w:pPr>
        <w:pStyle w:val="EarlyHeading"/>
      </w:pPr>
    </w:p>
    <w:p w14:paraId="07186675" w14:textId="77777777" w:rsidR="00D75477" w:rsidRPr="007C0AB9" w:rsidRDefault="00D75477" w:rsidP="00D75477">
      <w:pPr>
        <w:pStyle w:val="EarlyHeading"/>
        <w:sectPr w:rsidR="00D75477" w:rsidRPr="007C0AB9" w:rsidSect="00C07B59">
          <w:footerReference w:type="even" r:id="rId9"/>
          <w:footerReference w:type="default" r:id="rId10"/>
          <w:pgSz w:w="11900" w:h="16840"/>
          <w:pgMar w:top="1440" w:right="1800" w:bottom="1440" w:left="1800" w:header="708" w:footer="708" w:gutter="0"/>
          <w:cols w:space="708"/>
          <w:docGrid w:linePitch="360"/>
        </w:sectPr>
      </w:pPr>
    </w:p>
    <w:p w14:paraId="004FE977" w14:textId="77777777" w:rsidR="00F33AA4" w:rsidRPr="007C0AB9" w:rsidRDefault="00F33AA4" w:rsidP="004F65C9">
      <w:pPr>
        <w:pStyle w:val="TOC1"/>
        <w:rPr>
          <w:noProof w:val="0"/>
          <w:sz w:val="32"/>
          <w:szCs w:val="32"/>
        </w:rPr>
      </w:pPr>
      <w:r w:rsidRPr="007C0AB9">
        <w:rPr>
          <w:noProof w:val="0"/>
          <w:sz w:val="32"/>
          <w:szCs w:val="32"/>
        </w:rPr>
        <w:lastRenderedPageBreak/>
        <w:t>Contents</w:t>
      </w:r>
    </w:p>
    <w:p w14:paraId="10947609" w14:textId="562E73E0" w:rsidR="00611CC0" w:rsidRPr="007C0AB9" w:rsidRDefault="00611CC0" w:rsidP="00611CC0">
      <w:r w:rsidRPr="007C0AB9">
        <w:t>&lt;Update the table of contents by right-clicking on it and selecting Update Field… and then select page numbers only.&gt;</w:t>
      </w:r>
    </w:p>
    <w:p w14:paraId="723E2C17" w14:textId="77777777" w:rsidR="00611CC0" w:rsidRPr="007C0AB9" w:rsidRDefault="00611CC0" w:rsidP="00611CC0"/>
    <w:p w14:paraId="2632E6B7" w14:textId="745CE7DC" w:rsidR="005903FA" w:rsidRDefault="00F33AA4">
      <w:pPr>
        <w:pStyle w:val="TOC1"/>
        <w:tabs>
          <w:tab w:val="left" w:pos="1540"/>
        </w:tabs>
        <w:rPr>
          <w:rFonts w:asciiTheme="minorHAnsi" w:hAnsiTheme="minorHAnsi"/>
          <w:b w:val="0"/>
          <w:kern w:val="2"/>
          <w:szCs w:val="30"/>
          <w:lang w:val="en-US" w:bidi="th-TH"/>
          <w14:ligatures w14:val="standardContextual"/>
        </w:rPr>
      </w:pPr>
      <w:r w:rsidRPr="007C0AB9">
        <w:rPr>
          <w:noProof w:val="0"/>
        </w:rPr>
        <w:fldChar w:fldCharType="begin"/>
      </w:r>
      <w:r w:rsidR="005956EF" w:rsidRPr="007C0AB9">
        <w:rPr>
          <w:noProof w:val="0"/>
        </w:rPr>
        <w:instrText xml:space="preserve"> TOC \o "1-7</w:instrText>
      </w:r>
      <w:r w:rsidRPr="007C0AB9">
        <w:rPr>
          <w:noProof w:val="0"/>
        </w:rPr>
        <w:instrText xml:space="preserve">" </w:instrText>
      </w:r>
      <w:r w:rsidRPr="007C0AB9">
        <w:rPr>
          <w:noProof w:val="0"/>
        </w:rPr>
        <w:fldChar w:fldCharType="separate"/>
      </w:r>
      <w:r w:rsidR="005903FA">
        <w:t>Chapter 1</w:t>
      </w:r>
      <w:r w:rsidR="005903FA">
        <w:rPr>
          <w:rFonts w:asciiTheme="minorHAnsi" w:hAnsiTheme="minorHAnsi"/>
          <w:b w:val="0"/>
          <w:kern w:val="2"/>
          <w:szCs w:val="30"/>
          <w:lang w:val="en-US" w:bidi="th-TH"/>
          <w14:ligatures w14:val="standardContextual"/>
        </w:rPr>
        <w:tab/>
      </w:r>
      <w:r w:rsidR="005903FA">
        <w:t>Introduction</w:t>
      </w:r>
      <w:r w:rsidR="005903FA">
        <w:tab/>
      </w:r>
      <w:r w:rsidR="005903FA">
        <w:fldChar w:fldCharType="begin"/>
      </w:r>
      <w:r w:rsidR="005903FA">
        <w:instrText xml:space="preserve"> PAGEREF _Toc204515556 \h </w:instrText>
      </w:r>
      <w:r w:rsidR="005903FA">
        <w:fldChar w:fldCharType="separate"/>
      </w:r>
      <w:r w:rsidR="005903FA">
        <w:t>1</w:t>
      </w:r>
      <w:r w:rsidR="005903FA">
        <w:fldChar w:fldCharType="end"/>
      </w:r>
    </w:p>
    <w:p w14:paraId="09C9B5AD" w14:textId="187EA67B" w:rsidR="005903FA" w:rsidRDefault="005903FA">
      <w:pPr>
        <w:pStyle w:val="TOC2"/>
        <w:rPr>
          <w:b w:val="0"/>
          <w:noProof/>
          <w:kern w:val="2"/>
          <w:sz w:val="24"/>
          <w:szCs w:val="30"/>
          <w:lang w:val="en-US" w:bidi="th-TH"/>
          <w14:ligatures w14:val="standardContextual"/>
        </w:rPr>
      </w:pPr>
      <w:r>
        <w:rPr>
          <w:noProof/>
        </w:rPr>
        <w:t>1.1</w:t>
      </w:r>
      <w:r>
        <w:rPr>
          <w:b w:val="0"/>
          <w:noProof/>
          <w:kern w:val="2"/>
          <w:sz w:val="24"/>
          <w:szCs w:val="30"/>
          <w:lang w:val="en-US" w:bidi="th-TH"/>
          <w14:ligatures w14:val="standardContextual"/>
        </w:rPr>
        <w:tab/>
      </w:r>
      <w:r>
        <w:rPr>
          <w:noProof/>
        </w:rPr>
        <w:t>Motivation</w:t>
      </w:r>
      <w:r>
        <w:rPr>
          <w:noProof/>
        </w:rPr>
        <w:tab/>
      </w:r>
      <w:r>
        <w:rPr>
          <w:noProof/>
        </w:rPr>
        <w:fldChar w:fldCharType="begin"/>
      </w:r>
      <w:r>
        <w:rPr>
          <w:noProof/>
        </w:rPr>
        <w:instrText xml:space="preserve"> PAGEREF _Toc204515557 \h </w:instrText>
      </w:r>
      <w:r>
        <w:rPr>
          <w:noProof/>
        </w:rPr>
      </w:r>
      <w:r>
        <w:rPr>
          <w:noProof/>
        </w:rPr>
        <w:fldChar w:fldCharType="separate"/>
      </w:r>
      <w:r>
        <w:rPr>
          <w:noProof/>
        </w:rPr>
        <w:t>1</w:t>
      </w:r>
      <w:r>
        <w:rPr>
          <w:noProof/>
        </w:rPr>
        <w:fldChar w:fldCharType="end"/>
      </w:r>
    </w:p>
    <w:p w14:paraId="1A4B745C" w14:textId="2BA038BB" w:rsidR="005903FA" w:rsidRDefault="005903FA">
      <w:pPr>
        <w:pStyle w:val="TOC2"/>
        <w:rPr>
          <w:b w:val="0"/>
          <w:noProof/>
          <w:kern w:val="2"/>
          <w:sz w:val="24"/>
          <w:szCs w:val="30"/>
          <w:lang w:val="en-US" w:bidi="th-TH"/>
          <w14:ligatures w14:val="standardContextual"/>
        </w:rPr>
      </w:pPr>
      <w:r>
        <w:rPr>
          <w:noProof/>
        </w:rPr>
        <w:t>1.2</w:t>
      </w:r>
      <w:r>
        <w:rPr>
          <w:b w:val="0"/>
          <w:noProof/>
          <w:kern w:val="2"/>
          <w:sz w:val="24"/>
          <w:szCs w:val="30"/>
          <w:lang w:val="en-US" w:bidi="th-TH"/>
          <w14:ligatures w14:val="standardContextual"/>
        </w:rPr>
        <w:tab/>
      </w:r>
      <w:r>
        <w:rPr>
          <w:noProof/>
        </w:rPr>
        <w:t>Purpose</w:t>
      </w:r>
      <w:r>
        <w:rPr>
          <w:noProof/>
        </w:rPr>
        <w:tab/>
      </w:r>
      <w:r>
        <w:rPr>
          <w:noProof/>
        </w:rPr>
        <w:fldChar w:fldCharType="begin"/>
      </w:r>
      <w:r>
        <w:rPr>
          <w:noProof/>
        </w:rPr>
        <w:instrText xml:space="preserve"> PAGEREF _Toc204515558 \h </w:instrText>
      </w:r>
      <w:r>
        <w:rPr>
          <w:noProof/>
        </w:rPr>
      </w:r>
      <w:r>
        <w:rPr>
          <w:noProof/>
        </w:rPr>
        <w:fldChar w:fldCharType="separate"/>
      </w:r>
      <w:r>
        <w:rPr>
          <w:noProof/>
        </w:rPr>
        <w:t>1</w:t>
      </w:r>
      <w:r>
        <w:rPr>
          <w:noProof/>
        </w:rPr>
        <w:fldChar w:fldCharType="end"/>
      </w:r>
    </w:p>
    <w:p w14:paraId="5BBB9DF9" w14:textId="5958FA19" w:rsidR="005903FA" w:rsidRDefault="005903FA">
      <w:pPr>
        <w:pStyle w:val="TOC1"/>
        <w:tabs>
          <w:tab w:val="left" w:pos="1540"/>
        </w:tabs>
        <w:rPr>
          <w:rFonts w:asciiTheme="minorHAnsi" w:hAnsiTheme="minorHAnsi"/>
          <w:b w:val="0"/>
          <w:kern w:val="2"/>
          <w:szCs w:val="30"/>
          <w:lang w:val="en-US" w:bidi="th-TH"/>
          <w14:ligatures w14:val="standardContextual"/>
        </w:rPr>
      </w:pPr>
      <w:r>
        <w:t>Chapter 2</w:t>
      </w:r>
      <w:r>
        <w:rPr>
          <w:rFonts w:asciiTheme="minorHAnsi" w:hAnsiTheme="minorHAnsi"/>
          <w:b w:val="0"/>
          <w:kern w:val="2"/>
          <w:szCs w:val="30"/>
          <w:lang w:val="en-US" w:bidi="th-TH"/>
          <w14:ligatures w14:val="standardContextual"/>
        </w:rPr>
        <w:tab/>
      </w:r>
      <w:r>
        <w:t>Survey</w:t>
      </w:r>
      <w:r>
        <w:tab/>
      </w:r>
      <w:r>
        <w:fldChar w:fldCharType="begin"/>
      </w:r>
      <w:r>
        <w:instrText xml:space="preserve"> PAGEREF _Toc204515559 \h </w:instrText>
      </w:r>
      <w:r>
        <w:fldChar w:fldCharType="separate"/>
      </w:r>
      <w:r>
        <w:t>2</w:t>
      </w:r>
      <w:r>
        <w:fldChar w:fldCharType="end"/>
      </w:r>
    </w:p>
    <w:p w14:paraId="47A84E45" w14:textId="431EDDF3" w:rsidR="005903FA" w:rsidRDefault="005903FA">
      <w:pPr>
        <w:pStyle w:val="TOC2"/>
        <w:rPr>
          <w:b w:val="0"/>
          <w:noProof/>
          <w:kern w:val="2"/>
          <w:sz w:val="24"/>
          <w:szCs w:val="30"/>
          <w:lang w:val="en-US" w:bidi="th-TH"/>
          <w14:ligatures w14:val="standardContextual"/>
        </w:rPr>
      </w:pPr>
      <w:r>
        <w:rPr>
          <w:noProof/>
        </w:rPr>
        <w:t>2.1</w:t>
      </w:r>
      <w:r>
        <w:rPr>
          <w:b w:val="0"/>
          <w:noProof/>
          <w:kern w:val="2"/>
          <w:sz w:val="24"/>
          <w:szCs w:val="30"/>
          <w:lang w:val="en-US" w:bidi="th-TH"/>
          <w14:ligatures w14:val="standardContextual"/>
        </w:rPr>
        <w:tab/>
      </w:r>
      <w:r>
        <w:rPr>
          <w:noProof/>
        </w:rPr>
        <w:t>Background Survey</w:t>
      </w:r>
      <w:r>
        <w:rPr>
          <w:noProof/>
        </w:rPr>
        <w:tab/>
      </w:r>
      <w:r>
        <w:rPr>
          <w:noProof/>
        </w:rPr>
        <w:fldChar w:fldCharType="begin"/>
      </w:r>
      <w:r>
        <w:rPr>
          <w:noProof/>
        </w:rPr>
        <w:instrText xml:space="preserve"> PAGEREF _Toc204515560 \h </w:instrText>
      </w:r>
      <w:r>
        <w:rPr>
          <w:noProof/>
        </w:rPr>
      </w:r>
      <w:r>
        <w:rPr>
          <w:noProof/>
        </w:rPr>
        <w:fldChar w:fldCharType="separate"/>
      </w:r>
      <w:r>
        <w:rPr>
          <w:noProof/>
        </w:rPr>
        <w:t>2</w:t>
      </w:r>
      <w:r>
        <w:rPr>
          <w:noProof/>
        </w:rPr>
        <w:fldChar w:fldCharType="end"/>
      </w:r>
    </w:p>
    <w:p w14:paraId="1ECF8DBA" w14:textId="2DCC4E8B" w:rsidR="005903FA" w:rsidRDefault="005903FA">
      <w:pPr>
        <w:pStyle w:val="TOC3"/>
        <w:tabs>
          <w:tab w:val="left" w:pos="1320"/>
          <w:tab w:val="right" w:leader="dot" w:pos="8290"/>
        </w:tabs>
        <w:rPr>
          <w:noProof/>
          <w:kern w:val="2"/>
          <w:sz w:val="24"/>
          <w:szCs w:val="30"/>
          <w:lang w:val="en-US" w:bidi="th-TH"/>
          <w14:ligatures w14:val="standardContextual"/>
        </w:rPr>
      </w:pPr>
      <w:r>
        <w:rPr>
          <w:noProof/>
        </w:rPr>
        <w:t>2.1.1</w:t>
      </w:r>
      <w:r>
        <w:rPr>
          <w:noProof/>
          <w:kern w:val="2"/>
          <w:sz w:val="24"/>
          <w:szCs w:val="30"/>
          <w:lang w:val="en-US" w:bidi="th-TH"/>
          <w14:ligatures w14:val="standardContextual"/>
        </w:rPr>
        <w:tab/>
      </w:r>
      <w:r>
        <w:rPr>
          <w:noProof/>
        </w:rPr>
        <w:t>Current Methods for Early Warning Systems (EWS)</w:t>
      </w:r>
      <w:r>
        <w:rPr>
          <w:noProof/>
        </w:rPr>
        <w:tab/>
      </w:r>
      <w:r>
        <w:rPr>
          <w:noProof/>
        </w:rPr>
        <w:fldChar w:fldCharType="begin"/>
      </w:r>
      <w:r>
        <w:rPr>
          <w:noProof/>
        </w:rPr>
        <w:instrText xml:space="preserve"> PAGEREF _Toc204515561 \h </w:instrText>
      </w:r>
      <w:r>
        <w:rPr>
          <w:noProof/>
        </w:rPr>
      </w:r>
      <w:r>
        <w:rPr>
          <w:noProof/>
        </w:rPr>
        <w:fldChar w:fldCharType="separate"/>
      </w:r>
      <w:r>
        <w:rPr>
          <w:noProof/>
        </w:rPr>
        <w:t>2</w:t>
      </w:r>
      <w:r>
        <w:rPr>
          <w:noProof/>
        </w:rPr>
        <w:fldChar w:fldCharType="end"/>
      </w:r>
    </w:p>
    <w:p w14:paraId="1B7CD830" w14:textId="707FE790" w:rsidR="005903FA" w:rsidRDefault="005903FA">
      <w:pPr>
        <w:pStyle w:val="TOC3"/>
        <w:tabs>
          <w:tab w:val="left" w:pos="1320"/>
          <w:tab w:val="right" w:leader="dot" w:pos="8290"/>
        </w:tabs>
        <w:rPr>
          <w:noProof/>
          <w:kern w:val="2"/>
          <w:sz w:val="24"/>
          <w:szCs w:val="30"/>
          <w:lang w:val="en-US" w:bidi="th-TH"/>
          <w14:ligatures w14:val="standardContextual"/>
        </w:rPr>
      </w:pPr>
      <w:r>
        <w:rPr>
          <w:noProof/>
        </w:rPr>
        <w:t>2.1.2</w:t>
      </w:r>
      <w:r>
        <w:rPr>
          <w:noProof/>
          <w:kern w:val="2"/>
          <w:sz w:val="24"/>
          <w:szCs w:val="30"/>
          <w:lang w:val="en-US" w:bidi="th-TH"/>
          <w14:ligatures w14:val="standardContextual"/>
        </w:rPr>
        <w:tab/>
      </w:r>
      <w:r>
        <w:rPr>
          <w:noProof/>
        </w:rPr>
        <w:t>Various Choices of Feature Extraction and Machine Learning Methods for Stock Price Prediction</w:t>
      </w:r>
      <w:r>
        <w:rPr>
          <w:noProof/>
        </w:rPr>
        <w:tab/>
      </w:r>
      <w:r>
        <w:rPr>
          <w:noProof/>
        </w:rPr>
        <w:fldChar w:fldCharType="begin"/>
      </w:r>
      <w:r>
        <w:rPr>
          <w:noProof/>
        </w:rPr>
        <w:instrText xml:space="preserve"> PAGEREF _Toc204515562 \h </w:instrText>
      </w:r>
      <w:r>
        <w:rPr>
          <w:noProof/>
        </w:rPr>
      </w:r>
      <w:r>
        <w:rPr>
          <w:noProof/>
        </w:rPr>
        <w:fldChar w:fldCharType="separate"/>
      </w:r>
      <w:r>
        <w:rPr>
          <w:noProof/>
        </w:rPr>
        <w:t>3</w:t>
      </w:r>
      <w:r>
        <w:rPr>
          <w:noProof/>
        </w:rPr>
        <w:fldChar w:fldCharType="end"/>
      </w:r>
    </w:p>
    <w:p w14:paraId="1F7E6515" w14:textId="3072413A" w:rsidR="005903FA" w:rsidRDefault="005903FA">
      <w:pPr>
        <w:pStyle w:val="TOC3"/>
        <w:tabs>
          <w:tab w:val="left" w:pos="1320"/>
          <w:tab w:val="right" w:leader="dot" w:pos="8290"/>
        </w:tabs>
        <w:rPr>
          <w:noProof/>
          <w:kern w:val="2"/>
          <w:sz w:val="24"/>
          <w:szCs w:val="30"/>
          <w:lang w:val="en-US" w:bidi="th-TH"/>
          <w14:ligatures w14:val="standardContextual"/>
        </w:rPr>
      </w:pPr>
      <w:r>
        <w:rPr>
          <w:noProof/>
        </w:rPr>
        <w:t>2.1.3</w:t>
      </w:r>
      <w:r>
        <w:rPr>
          <w:noProof/>
          <w:kern w:val="2"/>
          <w:sz w:val="24"/>
          <w:szCs w:val="30"/>
          <w:lang w:val="en-US" w:bidi="th-TH"/>
          <w14:ligatures w14:val="standardContextual"/>
        </w:rPr>
        <w:tab/>
      </w:r>
      <w:r>
        <w:rPr>
          <w:noProof/>
        </w:rPr>
        <w:t>Key Crash Indicator</w:t>
      </w:r>
      <w:r>
        <w:rPr>
          <w:noProof/>
        </w:rPr>
        <w:tab/>
      </w:r>
      <w:r>
        <w:rPr>
          <w:noProof/>
        </w:rPr>
        <w:fldChar w:fldCharType="begin"/>
      </w:r>
      <w:r>
        <w:rPr>
          <w:noProof/>
        </w:rPr>
        <w:instrText xml:space="preserve"> PAGEREF _Toc204515563 \h </w:instrText>
      </w:r>
      <w:r>
        <w:rPr>
          <w:noProof/>
        </w:rPr>
      </w:r>
      <w:r>
        <w:rPr>
          <w:noProof/>
        </w:rPr>
        <w:fldChar w:fldCharType="separate"/>
      </w:r>
      <w:r>
        <w:rPr>
          <w:noProof/>
        </w:rPr>
        <w:t>3</w:t>
      </w:r>
      <w:r>
        <w:rPr>
          <w:noProof/>
        </w:rPr>
        <w:fldChar w:fldCharType="end"/>
      </w:r>
    </w:p>
    <w:p w14:paraId="4EF8A095" w14:textId="03B00FAC" w:rsidR="005903FA" w:rsidRDefault="005903FA">
      <w:pPr>
        <w:pStyle w:val="TOC3"/>
        <w:tabs>
          <w:tab w:val="left" w:pos="1320"/>
          <w:tab w:val="right" w:leader="dot" w:pos="8290"/>
        </w:tabs>
        <w:rPr>
          <w:noProof/>
          <w:kern w:val="2"/>
          <w:sz w:val="24"/>
          <w:szCs w:val="30"/>
          <w:lang w:val="en-US" w:bidi="th-TH"/>
          <w14:ligatures w14:val="standardContextual"/>
        </w:rPr>
      </w:pPr>
      <w:r>
        <w:rPr>
          <w:noProof/>
        </w:rPr>
        <w:t>2.1.4</w:t>
      </w:r>
      <w:r>
        <w:rPr>
          <w:noProof/>
          <w:kern w:val="2"/>
          <w:sz w:val="24"/>
          <w:szCs w:val="30"/>
          <w:lang w:val="en-US" w:bidi="th-TH"/>
          <w14:ligatures w14:val="standardContextual"/>
        </w:rPr>
        <w:tab/>
      </w:r>
      <w:r>
        <w:rPr>
          <w:noProof/>
        </w:rPr>
        <w:t>Lags Selection</w:t>
      </w:r>
      <w:r>
        <w:rPr>
          <w:noProof/>
        </w:rPr>
        <w:tab/>
      </w:r>
      <w:r>
        <w:rPr>
          <w:noProof/>
        </w:rPr>
        <w:fldChar w:fldCharType="begin"/>
      </w:r>
      <w:r>
        <w:rPr>
          <w:noProof/>
        </w:rPr>
        <w:instrText xml:space="preserve"> PAGEREF _Toc204515564 \h </w:instrText>
      </w:r>
      <w:r>
        <w:rPr>
          <w:noProof/>
        </w:rPr>
      </w:r>
      <w:r>
        <w:rPr>
          <w:noProof/>
        </w:rPr>
        <w:fldChar w:fldCharType="separate"/>
      </w:r>
      <w:r>
        <w:rPr>
          <w:noProof/>
        </w:rPr>
        <w:t>4</w:t>
      </w:r>
      <w:r>
        <w:rPr>
          <w:noProof/>
        </w:rPr>
        <w:fldChar w:fldCharType="end"/>
      </w:r>
    </w:p>
    <w:p w14:paraId="333558AF" w14:textId="3C964BE3" w:rsidR="005903FA" w:rsidRDefault="005903FA">
      <w:pPr>
        <w:pStyle w:val="TOC3"/>
        <w:tabs>
          <w:tab w:val="left" w:pos="1320"/>
          <w:tab w:val="right" w:leader="dot" w:pos="8290"/>
        </w:tabs>
        <w:rPr>
          <w:noProof/>
          <w:kern w:val="2"/>
          <w:sz w:val="24"/>
          <w:szCs w:val="30"/>
          <w:lang w:val="en-US" w:bidi="th-TH"/>
          <w14:ligatures w14:val="standardContextual"/>
        </w:rPr>
      </w:pPr>
      <w:r>
        <w:rPr>
          <w:noProof/>
        </w:rPr>
        <w:t>2.1.5</w:t>
      </w:r>
      <w:r>
        <w:rPr>
          <w:noProof/>
          <w:kern w:val="2"/>
          <w:sz w:val="24"/>
          <w:szCs w:val="30"/>
          <w:lang w:val="en-US" w:bidi="th-TH"/>
          <w14:ligatures w14:val="standardContextual"/>
        </w:rPr>
        <w:tab/>
      </w:r>
      <w:r>
        <w:rPr>
          <w:noProof/>
        </w:rPr>
        <w:t>Rationale for Focusing on Index-Level Predictions</w:t>
      </w:r>
      <w:r>
        <w:rPr>
          <w:noProof/>
        </w:rPr>
        <w:tab/>
      </w:r>
      <w:r>
        <w:rPr>
          <w:noProof/>
        </w:rPr>
        <w:fldChar w:fldCharType="begin"/>
      </w:r>
      <w:r>
        <w:rPr>
          <w:noProof/>
        </w:rPr>
        <w:instrText xml:space="preserve"> PAGEREF _Toc204515565 \h </w:instrText>
      </w:r>
      <w:r>
        <w:rPr>
          <w:noProof/>
        </w:rPr>
      </w:r>
      <w:r>
        <w:rPr>
          <w:noProof/>
        </w:rPr>
        <w:fldChar w:fldCharType="separate"/>
      </w:r>
      <w:r>
        <w:rPr>
          <w:noProof/>
        </w:rPr>
        <w:t>4</w:t>
      </w:r>
      <w:r>
        <w:rPr>
          <w:noProof/>
        </w:rPr>
        <w:fldChar w:fldCharType="end"/>
      </w:r>
    </w:p>
    <w:p w14:paraId="20980246" w14:textId="6E0578E6" w:rsidR="005903FA" w:rsidRDefault="005903FA">
      <w:pPr>
        <w:pStyle w:val="TOC3"/>
        <w:tabs>
          <w:tab w:val="left" w:pos="1320"/>
          <w:tab w:val="right" w:leader="dot" w:pos="8290"/>
        </w:tabs>
        <w:rPr>
          <w:noProof/>
          <w:kern w:val="2"/>
          <w:sz w:val="24"/>
          <w:szCs w:val="30"/>
          <w:lang w:val="en-US" w:bidi="th-TH"/>
          <w14:ligatures w14:val="standardContextual"/>
        </w:rPr>
      </w:pPr>
      <w:r>
        <w:rPr>
          <w:noProof/>
        </w:rPr>
        <w:t>2.1.6</w:t>
      </w:r>
      <w:r>
        <w:rPr>
          <w:noProof/>
          <w:kern w:val="2"/>
          <w:sz w:val="24"/>
          <w:szCs w:val="30"/>
          <w:lang w:val="en-US" w:bidi="th-TH"/>
          <w14:ligatures w14:val="standardContextual"/>
        </w:rPr>
        <w:tab/>
      </w:r>
      <w:r>
        <w:rPr>
          <w:noProof/>
        </w:rPr>
        <w:t>Limitations in Crash Prediction</w:t>
      </w:r>
      <w:r>
        <w:rPr>
          <w:noProof/>
        </w:rPr>
        <w:tab/>
      </w:r>
      <w:r>
        <w:rPr>
          <w:noProof/>
        </w:rPr>
        <w:fldChar w:fldCharType="begin"/>
      </w:r>
      <w:r>
        <w:rPr>
          <w:noProof/>
        </w:rPr>
        <w:instrText xml:space="preserve"> PAGEREF _Toc204515566 \h </w:instrText>
      </w:r>
      <w:r>
        <w:rPr>
          <w:noProof/>
        </w:rPr>
      </w:r>
      <w:r>
        <w:rPr>
          <w:noProof/>
        </w:rPr>
        <w:fldChar w:fldCharType="separate"/>
      </w:r>
      <w:r>
        <w:rPr>
          <w:noProof/>
        </w:rPr>
        <w:t>4</w:t>
      </w:r>
      <w:r>
        <w:rPr>
          <w:noProof/>
        </w:rPr>
        <w:fldChar w:fldCharType="end"/>
      </w:r>
    </w:p>
    <w:p w14:paraId="029C02F6" w14:textId="7AB05A53" w:rsidR="005903FA" w:rsidRDefault="005903FA">
      <w:pPr>
        <w:pStyle w:val="TOC2"/>
        <w:rPr>
          <w:b w:val="0"/>
          <w:noProof/>
          <w:kern w:val="2"/>
          <w:sz w:val="24"/>
          <w:szCs w:val="30"/>
          <w:lang w:val="en-US" w:bidi="th-TH"/>
          <w14:ligatures w14:val="standardContextual"/>
        </w:rPr>
      </w:pPr>
      <w:r>
        <w:rPr>
          <w:noProof/>
        </w:rPr>
        <w:t>2.2</w:t>
      </w:r>
      <w:r>
        <w:rPr>
          <w:b w:val="0"/>
          <w:noProof/>
          <w:kern w:val="2"/>
          <w:sz w:val="24"/>
          <w:szCs w:val="30"/>
          <w:lang w:val="en-US" w:bidi="th-TH"/>
          <w14:ligatures w14:val="standardContextual"/>
        </w:rPr>
        <w:tab/>
      </w:r>
      <w:r>
        <w:rPr>
          <w:noProof/>
        </w:rPr>
        <w:t>Research Objectives</w:t>
      </w:r>
      <w:r>
        <w:rPr>
          <w:noProof/>
        </w:rPr>
        <w:tab/>
      </w:r>
      <w:r>
        <w:rPr>
          <w:noProof/>
        </w:rPr>
        <w:fldChar w:fldCharType="begin"/>
      </w:r>
      <w:r>
        <w:rPr>
          <w:noProof/>
        </w:rPr>
        <w:instrText xml:space="preserve"> PAGEREF _Toc204515567 \h </w:instrText>
      </w:r>
      <w:r>
        <w:rPr>
          <w:noProof/>
        </w:rPr>
      </w:r>
      <w:r>
        <w:rPr>
          <w:noProof/>
        </w:rPr>
        <w:fldChar w:fldCharType="separate"/>
      </w:r>
      <w:r>
        <w:rPr>
          <w:noProof/>
        </w:rPr>
        <w:t>5</w:t>
      </w:r>
      <w:r>
        <w:rPr>
          <w:noProof/>
        </w:rPr>
        <w:fldChar w:fldCharType="end"/>
      </w:r>
    </w:p>
    <w:p w14:paraId="362A4E71" w14:textId="656DFF90" w:rsidR="005903FA" w:rsidRDefault="005903FA">
      <w:pPr>
        <w:pStyle w:val="TOC2"/>
        <w:rPr>
          <w:b w:val="0"/>
          <w:noProof/>
          <w:kern w:val="2"/>
          <w:sz w:val="24"/>
          <w:szCs w:val="30"/>
          <w:lang w:val="en-US" w:bidi="th-TH"/>
          <w14:ligatures w14:val="standardContextual"/>
        </w:rPr>
      </w:pPr>
      <w:r>
        <w:rPr>
          <w:noProof/>
        </w:rPr>
        <w:t>2.3</w:t>
      </w:r>
      <w:r>
        <w:rPr>
          <w:b w:val="0"/>
          <w:noProof/>
          <w:kern w:val="2"/>
          <w:sz w:val="24"/>
          <w:szCs w:val="30"/>
          <w:lang w:val="en-US" w:bidi="th-TH"/>
          <w14:ligatures w14:val="standardContextual"/>
        </w:rPr>
        <w:tab/>
      </w:r>
      <w:r>
        <w:rPr>
          <w:noProof/>
        </w:rPr>
        <w:t>Research Questions</w:t>
      </w:r>
      <w:r>
        <w:rPr>
          <w:noProof/>
        </w:rPr>
        <w:tab/>
      </w:r>
      <w:r>
        <w:rPr>
          <w:noProof/>
        </w:rPr>
        <w:fldChar w:fldCharType="begin"/>
      </w:r>
      <w:r>
        <w:rPr>
          <w:noProof/>
        </w:rPr>
        <w:instrText xml:space="preserve"> PAGEREF _Toc204515568 \h </w:instrText>
      </w:r>
      <w:r>
        <w:rPr>
          <w:noProof/>
        </w:rPr>
      </w:r>
      <w:r>
        <w:rPr>
          <w:noProof/>
        </w:rPr>
        <w:fldChar w:fldCharType="separate"/>
      </w:r>
      <w:r>
        <w:rPr>
          <w:noProof/>
        </w:rPr>
        <w:t>5</w:t>
      </w:r>
      <w:r>
        <w:rPr>
          <w:noProof/>
        </w:rPr>
        <w:fldChar w:fldCharType="end"/>
      </w:r>
    </w:p>
    <w:p w14:paraId="10100BF0" w14:textId="2DBC6901" w:rsidR="005903FA" w:rsidRDefault="005903FA">
      <w:pPr>
        <w:pStyle w:val="TOC1"/>
        <w:tabs>
          <w:tab w:val="left" w:pos="1540"/>
        </w:tabs>
        <w:rPr>
          <w:rFonts w:asciiTheme="minorHAnsi" w:hAnsiTheme="minorHAnsi"/>
          <w:b w:val="0"/>
          <w:kern w:val="2"/>
          <w:szCs w:val="30"/>
          <w:lang w:val="en-US" w:bidi="th-TH"/>
          <w14:ligatures w14:val="standardContextual"/>
        </w:rPr>
      </w:pPr>
      <w:r>
        <w:t>Chapter 3</w:t>
      </w:r>
      <w:r>
        <w:rPr>
          <w:rFonts w:asciiTheme="minorHAnsi" w:hAnsiTheme="minorHAnsi"/>
          <w:b w:val="0"/>
          <w:kern w:val="2"/>
          <w:szCs w:val="30"/>
          <w:lang w:val="en-US" w:bidi="th-TH"/>
          <w14:ligatures w14:val="standardContextual"/>
        </w:rPr>
        <w:tab/>
      </w:r>
      <w:r>
        <w:t>Design and Implementation</w:t>
      </w:r>
      <w:r>
        <w:tab/>
      </w:r>
      <w:r>
        <w:fldChar w:fldCharType="begin"/>
      </w:r>
      <w:r>
        <w:instrText xml:space="preserve"> PAGEREF _Toc204515569 \h </w:instrText>
      </w:r>
      <w:r>
        <w:fldChar w:fldCharType="separate"/>
      </w:r>
      <w:r>
        <w:t>7</w:t>
      </w:r>
      <w:r>
        <w:fldChar w:fldCharType="end"/>
      </w:r>
    </w:p>
    <w:p w14:paraId="52A6BA39" w14:textId="33588F0F" w:rsidR="005903FA" w:rsidRDefault="005903FA">
      <w:pPr>
        <w:pStyle w:val="TOC2"/>
        <w:rPr>
          <w:b w:val="0"/>
          <w:noProof/>
          <w:kern w:val="2"/>
          <w:sz w:val="24"/>
          <w:szCs w:val="30"/>
          <w:lang w:val="en-US" w:bidi="th-TH"/>
          <w14:ligatures w14:val="standardContextual"/>
        </w:rPr>
      </w:pPr>
      <w:r>
        <w:rPr>
          <w:noProof/>
        </w:rPr>
        <w:t>3.1</w:t>
      </w:r>
      <w:r>
        <w:rPr>
          <w:b w:val="0"/>
          <w:noProof/>
          <w:kern w:val="2"/>
          <w:sz w:val="24"/>
          <w:szCs w:val="30"/>
          <w:lang w:val="en-US" w:bidi="th-TH"/>
          <w14:ligatures w14:val="standardContextual"/>
        </w:rPr>
        <w:tab/>
      </w:r>
      <w:r>
        <w:rPr>
          <w:noProof/>
        </w:rPr>
        <w:t>Data Collection and Preprocessing</w:t>
      </w:r>
      <w:r>
        <w:rPr>
          <w:noProof/>
        </w:rPr>
        <w:tab/>
      </w:r>
      <w:r>
        <w:rPr>
          <w:noProof/>
        </w:rPr>
        <w:fldChar w:fldCharType="begin"/>
      </w:r>
      <w:r>
        <w:rPr>
          <w:noProof/>
        </w:rPr>
        <w:instrText xml:space="preserve"> PAGEREF _Toc204515570 \h </w:instrText>
      </w:r>
      <w:r>
        <w:rPr>
          <w:noProof/>
        </w:rPr>
      </w:r>
      <w:r>
        <w:rPr>
          <w:noProof/>
        </w:rPr>
        <w:fldChar w:fldCharType="separate"/>
      </w:r>
      <w:r>
        <w:rPr>
          <w:noProof/>
        </w:rPr>
        <w:t>7</w:t>
      </w:r>
      <w:r>
        <w:rPr>
          <w:noProof/>
        </w:rPr>
        <w:fldChar w:fldCharType="end"/>
      </w:r>
    </w:p>
    <w:p w14:paraId="6142F3D9" w14:textId="0F4E711A" w:rsidR="005903FA" w:rsidRDefault="005903FA">
      <w:pPr>
        <w:pStyle w:val="TOC3"/>
        <w:tabs>
          <w:tab w:val="left" w:pos="1320"/>
          <w:tab w:val="right" w:leader="dot" w:pos="8290"/>
        </w:tabs>
        <w:rPr>
          <w:noProof/>
          <w:kern w:val="2"/>
          <w:sz w:val="24"/>
          <w:szCs w:val="30"/>
          <w:lang w:val="en-US" w:bidi="th-TH"/>
          <w14:ligatures w14:val="standardContextual"/>
        </w:rPr>
      </w:pPr>
      <w:r>
        <w:rPr>
          <w:noProof/>
        </w:rPr>
        <w:t>3.1.1</w:t>
      </w:r>
      <w:r>
        <w:rPr>
          <w:noProof/>
          <w:kern w:val="2"/>
          <w:sz w:val="24"/>
          <w:szCs w:val="30"/>
          <w:lang w:val="en-US" w:bidi="th-TH"/>
          <w14:ligatures w14:val="standardContextual"/>
        </w:rPr>
        <w:tab/>
      </w:r>
      <w:r>
        <w:rPr>
          <w:noProof/>
        </w:rPr>
        <w:t>Dataset Structure and Columns</w:t>
      </w:r>
      <w:r>
        <w:rPr>
          <w:noProof/>
        </w:rPr>
        <w:tab/>
      </w:r>
      <w:r>
        <w:rPr>
          <w:noProof/>
        </w:rPr>
        <w:fldChar w:fldCharType="begin"/>
      </w:r>
      <w:r>
        <w:rPr>
          <w:noProof/>
        </w:rPr>
        <w:instrText xml:space="preserve"> PAGEREF _Toc204515571 \h </w:instrText>
      </w:r>
      <w:r>
        <w:rPr>
          <w:noProof/>
        </w:rPr>
      </w:r>
      <w:r>
        <w:rPr>
          <w:noProof/>
        </w:rPr>
        <w:fldChar w:fldCharType="separate"/>
      </w:r>
      <w:r>
        <w:rPr>
          <w:noProof/>
        </w:rPr>
        <w:t>7</w:t>
      </w:r>
      <w:r>
        <w:rPr>
          <w:noProof/>
        </w:rPr>
        <w:fldChar w:fldCharType="end"/>
      </w:r>
    </w:p>
    <w:p w14:paraId="6091AF2F" w14:textId="2623E561" w:rsidR="005903FA" w:rsidRDefault="005903FA">
      <w:pPr>
        <w:pStyle w:val="TOC3"/>
        <w:tabs>
          <w:tab w:val="left" w:pos="1320"/>
          <w:tab w:val="right" w:leader="dot" w:pos="8290"/>
        </w:tabs>
        <w:rPr>
          <w:noProof/>
          <w:kern w:val="2"/>
          <w:sz w:val="24"/>
          <w:szCs w:val="30"/>
          <w:lang w:val="en-US" w:bidi="th-TH"/>
          <w14:ligatures w14:val="standardContextual"/>
        </w:rPr>
      </w:pPr>
      <w:r>
        <w:rPr>
          <w:noProof/>
        </w:rPr>
        <w:t>3.1.2</w:t>
      </w:r>
      <w:r>
        <w:rPr>
          <w:noProof/>
          <w:kern w:val="2"/>
          <w:sz w:val="24"/>
          <w:szCs w:val="30"/>
          <w:lang w:val="en-US" w:bidi="th-TH"/>
          <w14:ligatures w14:val="standardContextual"/>
        </w:rPr>
        <w:tab/>
      </w:r>
      <w:r>
        <w:rPr>
          <w:noProof/>
        </w:rPr>
        <w:t>Labelling Crash Events</w:t>
      </w:r>
      <w:r>
        <w:rPr>
          <w:noProof/>
        </w:rPr>
        <w:tab/>
      </w:r>
      <w:r>
        <w:rPr>
          <w:noProof/>
        </w:rPr>
        <w:fldChar w:fldCharType="begin"/>
      </w:r>
      <w:r>
        <w:rPr>
          <w:noProof/>
        </w:rPr>
        <w:instrText xml:space="preserve"> PAGEREF _Toc204515572 \h </w:instrText>
      </w:r>
      <w:r>
        <w:rPr>
          <w:noProof/>
        </w:rPr>
      </w:r>
      <w:r>
        <w:rPr>
          <w:noProof/>
        </w:rPr>
        <w:fldChar w:fldCharType="separate"/>
      </w:r>
      <w:r>
        <w:rPr>
          <w:noProof/>
        </w:rPr>
        <w:t>7</w:t>
      </w:r>
      <w:r>
        <w:rPr>
          <w:noProof/>
        </w:rPr>
        <w:fldChar w:fldCharType="end"/>
      </w:r>
    </w:p>
    <w:p w14:paraId="4FFA98BB" w14:textId="4F4B5396" w:rsidR="005903FA" w:rsidRDefault="005903FA">
      <w:pPr>
        <w:pStyle w:val="TOC3"/>
        <w:tabs>
          <w:tab w:val="left" w:pos="1320"/>
          <w:tab w:val="right" w:leader="dot" w:pos="8290"/>
        </w:tabs>
        <w:rPr>
          <w:noProof/>
          <w:kern w:val="2"/>
          <w:sz w:val="24"/>
          <w:szCs w:val="30"/>
          <w:lang w:val="en-US" w:bidi="th-TH"/>
          <w14:ligatures w14:val="standardContextual"/>
        </w:rPr>
      </w:pPr>
      <w:r>
        <w:rPr>
          <w:noProof/>
        </w:rPr>
        <w:t>3.1.3</w:t>
      </w:r>
      <w:r>
        <w:rPr>
          <w:noProof/>
          <w:kern w:val="2"/>
          <w:sz w:val="24"/>
          <w:szCs w:val="30"/>
          <w:lang w:val="en-US" w:bidi="th-TH"/>
          <w14:ligatures w14:val="standardContextual"/>
        </w:rPr>
        <w:tab/>
      </w:r>
      <w:r>
        <w:rPr>
          <w:noProof/>
        </w:rPr>
        <w:t>Data Splitting and Class Imbalance Handling</w:t>
      </w:r>
      <w:r>
        <w:rPr>
          <w:noProof/>
        </w:rPr>
        <w:tab/>
      </w:r>
      <w:r>
        <w:rPr>
          <w:noProof/>
        </w:rPr>
        <w:fldChar w:fldCharType="begin"/>
      </w:r>
      <w:r>
        <w:rPr>
          <w:noProof/>
        </w:rPr>
        <w:instrText xml:space="preserve"> PAGEREF _Toc204515573 \h </w:instrText>
      </w:r>
      <w:r>
        <w:rPr>
          <w:noProof/>
        </w:rPr>
      </w:r>
      <w:r>
        <w:rPr>
          <w:noProof/>
        </w:rPr>
        <w:fldChar w:fldCharType="separate"/>
      </w:r>
      <w:r>
        <w:rPr>
          <w:noProof/>
        </w:rPr>
        <w:t>8</w:t>
      </w:r>
      <w:r>
        <w:rPr>
          <w:noProof/>
        </w:rPr>
        <w:fldChar w:fldCharType="end"/>
      </w:r>
    </w:p>
    <w:p w14:paraId="5BC22509" w14:textId="03647FF0" w:rsidR="005903FA" w:rsidRDefault="005903FA">
      <w:pPr>
        <w:pStyle w:val="TOC3"/>
        <w:tabs>
          <w:tab w:val="left" w:pos="1320"/>
          <w:tab w:val="right" w:leader="dot" w:pos="8290"/>
        </w:tabs>
        <w:rPr>
          <w:noProof/>
          <w:kern w:val="2"/>
          <w:sz w:val="24"/>
          <w:szCs w:val="30"/>
          <w:lang w:val="en-US" w:bidi="th-TH"/>
          <w14:ligatures w14:val="standardContextual"/>
        </w:rPr>
      </w:pPr>
      <w:r>
        <w:rPr>
          <w:noProof/>
        </w:rPr>
        <w:t>3.1.4</w:t>
      </w:r>
      <w:r>
        <w:rPr>
          <w:noProof/>
          <w:kern w:val="2"/>
          <w:sz w:val="24"/>
          <w:szCs w:val="30"/>
          <w:lang w:val="en-US" w:bidi="th-TH"/>
          <w14:ligatures w14:val="standardContextual"/>
        </w:rPr>
        <w:tab/>
      </w:r>
      <w:r>
        <w:rPr>
          <w:noProof/>
        </w:rPr>
        <w:t>Custom Sentiment Scoring using FinBERT</w:t>
      </w:r>
      <w:r>
        <w:rPr>
          <w:noProof/>
        </w:rPr>
        <w:tab/>
      </w:r>
      <w:r>
        <w:rPr>
          <w:noProof/>
        </w:rPr>
        <w:fldChar w:fldCharType="begin"/>
      </w:r>
      <w:r>
        <w:rPr>
          <w:noProof/>
        </w:rPr>
        <w:instrText xml:space="preserve"> PAGEREF _Toc204515574 \h </w:instrText>
      </w:r>
      <w:r>
        <w:rPr>
          <w:noProof/>
        </w:rPr>
      </w:r>
      <w:r>
        <w:rPr>
          <w:noProof/>
        </w:rPr>
        <w:fldChar w:fldCharType="separate"/>
      </w:r>
      <w:r>
        <w:rPr>
          <w:noProof/>
        </w:rPr>
        <w:t>8</w:t>
      </w:r>
      <w:r>
        <w:rPr>
          <w:noProof/>
        </w:rPr>
        <w:fldChar w:fldCharType="end"/>
      </w:r>
    </w:p>
    <w:p w14:paraId="4213A1B6" w14:textId="53F6CAB1" w:rsidR="005903FA" w:rsidRDefault="005903FA">
      <w:pPr>
        <w:pStyle w:val="TOC3"/>
        <w:tabs>
          <w:tab w:val="left" w:pos="1320"/>
          <w:tab w:val="right" w:leader="dot" w:pos="8290"/>
        </w:tabs>
        <w:rPr>
          <w:noProof/>
          <w:kern w:val="2"/>
          <w:sz w:val="24"/>
          <w:szCs w:val="30"/>
          <w:lang w:val="en-US" w:bidi="th-TH"/>
          <w14:ligatures w14:val="standardContextual"/>
        </w:rPr>
      </w:pPr>
      <w:r w:rsidRPr="00835151">
        <w:rPr>
          <w:noProof/>
          <w:lang w:val="en-US"/>
        </w:rPr>
        <w:t>3.1.5</w:t>
      </w:r>
      <w:r>
        <w:rPr>
          <w:noProof/>
          <w:kern w:val="2"/>
          <w:sz w:val="24"/>
          <w:szCs w:val="30"/>
          <w:lang w:val="en-US" w:bidi="th-TH"/>
          <w14:ligatures w14:val="standardContextual"/>
        </w:rPr>
        <w:tab/>
      </w:r>
      <w:r w:rsidRPr="00835151">
        <w:rPr>
          <w:noProof/>
          <w:lang w:val="en-US"/>
        </w:rPr>
        <w:t>VaR and ES Features</w:t>
      </w:r>
      <w:r>
        <w:rPr>
          <w:noProof/>
        </w:rPr>
        <w:tab/>
      </w:r>
      <w:r>
        <w:rPr>
          <w:noProof/>
        </w:rPr>
        <w:fldChar w:fldCharType="begin"/>
      </w:r>
      <w:r>
        <w:rPr>
          <w:noProof/>
        </w:rPr>
        <w:instrText xml:space="preserve"> PAGEREF _Toc204515575 \h </w:instrText>
      </w:r>
      <w:r>
        <w:rPr>
          <w:noProof/>
        </w:rPr>
      </w:r>
      <w:r>
        <w:rPr>
          <w:noProof/>
        </w:rPr>
        <w:fldChar w:fldCharType="separate"/>
      </w:r>
      <w:r>
        <w:rPr>
          <w:noProof/>
        </w:rPr>
        <w:t>9</w:t>
      </w:r>
      <w:r>
        <w:rPr>
          <w:noProof/>
        </w:rPr>
        <w:fldChar w:fldCharType="end"/>
      </w:r>
    </w:p>
    <w:p w14:paraId="062F9BFC" w14:textId="2A0A6846" w:rsidR="005903FA" w:rsidRDefault="005903FA">
      <w:pPr>
        <w:pStyle w:val="TOC2"/>
        <w:rPr>
          <w:b w:val="0"/>
          <w:noProof/>
          <w:kern w:val="2"/>
          <w:sz w:val="24"/>
          <w:szCs w:val="30"/>
          <w:lang w:val="en-US" w:bidi="th-TH"/>
          <w14:ligatures w14:val="standardContextual"/>
        </w:rPr>
      </w:pPr>
      <w:r>
        <w:rPr>
          <w:noProof/>
        </w:rPr>
        <w:t>3.2</w:t>
      </w:r>
      <w:r>
        <w:rPr>
          <w:b w:val="0"/>
          <w:noProof/>
          <w:kern w:val="2"/>
          <w:sz w:val="24"/>
          <w:szCs w:val="30"/>
          <w:lang w:val="en-US" w:bidi="th-TH"/>
          <w14:ligatures w14:val="standardContextual"/>
        </w:rPr>
        <w:tab/>
      </w:r>
      <w:r>
        <w:rPr>
          <w:noProof/>
        </w:rPr>
        <w:t>Architecture Design</w:t>
      </w:r>
      <w:r>
        <w:rPr>
          <w:noProof/>
        </w:rPr>
        <w:tab/>
      </w:r>
      <w:r>
        <w:rPr>
          <w:noProof/>
        </w:rPr>
        <w:fldChar w:fldCharType="begin"/>
      </w:r>
      <w:r>
        <w:rPr>
          <w:noProof/>
        </w:rPr>
        <w:instrText xml:space="preserve"> PAGEREF _Toc204515576 \h </w:instrText>
      </w:r>
      <w:r>
        <w:rPr>
          <w:noProof/>
        </w:rPr>
      </w:r>
      <w:r>
        <w:rPr>
          <w:noProof/>
        </w:rPr>
        <w:fldChar w:fldCharType="separate"/>
      </w:r>
      <w:r>
        <w:rPr>
          <w:noProof/>
        </w:rPr>
        <w:t>9</w:t>
      </w:r>
      <w:r>
        <w:rPr>
          <w:noProof/>
        </w:rPr>
        <w:fldChar w:fldCharType="end"/>
      </w:r>
    </w:p>
    <w:p w14:paraId="6B7FD65B" w14:textId="2EC935C5" w:rsidR="005903FA" w:rsidRDefault="005903FA">
      <w:pPr>
        <w:pStyle w:val="TOC2"/>
        <w:rPr>
          <w:b w:val="0"/>
          <w:noProof/>
          <w:kern w:val="2"/>
          <w:sz w:val="24"/>
          <w:szCs w:val="30"/>
          <w:lang w:val="en-US" w:bidi="th-TH"/>
          <w14:ligatures w14:val="standardContextual"/>
        </w:rPr>
      </w:pPr>
      <w:r>
        <w:rPr>
          <w:noProof/>
        </w:rPr>
        <w:t>3.3</w:t>
      </w:r>
      <w:r>
        <w:rPr>
          <w:b w:val="0"/>
          <w:noProof/>
          <w:kern w:val="2"/>
          <w:sz w:val="24"/>
          <w:szCs w:val="30"/>
          <w:lang w:val="en-US" w:bidi="th-TH"/>
          <w14:ligatures w14:val="standardContextual"/>
        </w:rPr>
        <w:tab/>
      </w:r>
      <w:r>
        <w:rPr>
          <w:noProof/>
        </w:rPr>
        <w:t>Model Training</w:t>
      </w:r>
      <w:r>
        <w:rPr>
          <w:noProof/>
        </w:rPr>
        <w:tab/>
      </w:r>
      <w:r>
        <w:rPr>
          <w:noProof/>
        </w:rPr>
        <w:fldChar w:fldCharType="begin"/>
      </w:r>
      <w:r>
        <w:rPr>
          <w:noProof/>
        </w:rPr>
        <w:instrText xml:space="preserve"> PAGEREF _Toc204515577 \h </w:instrText>
      </w:r>
      <w:r>
        <w:rPr>
          <w:noProof/>
        </w:rPr>
      </w:r>
      <w:r>
        <w:rPr>
          <w:noProof/>
        </w:rPr>
        <w:fldChar w:fldCharType="separate"/>
      </w:r>
      <w:r>
        <w:rPr>
          <w:noProof/>
        </w:rPr>
        <w:t>9</w:t>
      </w:r>
      <w:r>
        <w:rPr>
          <w:noProof/>
        </w:rPr>
        <w:fldChar w:fldCharType="end"/>
      </w:r>
    </w:p>
    <w:p w14:paraId="224F49A9" w14:textId="1626CDEC" w:rsidR="005903FA" w:rsidRDefault="005903FA">
      <w:pPr>
        <w:pStyle w:val="TOC2"/>
        <w:rPr>
          <w:b w:val="0"/>
          <w:noProof/>
          <w:kern w:val="2"/>
          <w:sz w:val="24"/>
          <w:szCs w:val="30"/>
          <w:lang w:val="en-US" w:bidi="th-TH"/>
          <w14:ligatures w14:val="standardContextual"/>
        </w:rPr>
      </w:pPr>
      <w:r>
        <w:rPr>
          <w:noProof/>
        </w:rPr>
        <w:t>3.4</w:t>
      </w:r>
      <w:r>
        <w:rPr>
          <w:b w:val="0"/>
          <w:noProof/>
          <w:kern w:val="2"/>
          <w:sz w:val="24"/>
          <w:szCs w:val="30"/>
          <w:lang w:val="en-US" w:bidi="th-TH"/>
          <w14:ligatures w14:val="standardContextual"/>
        </w:rPr>
        <w:tab/>
      </w:r>
      <w:r>
        <w:rPr>
          <w:noProof/>
        </w:rPr>
        <w:t>Evaluation Metrics</w:t>
      </w:r>
      <w:r>
        <w:rPr>
          <w:noProof/>
        </w:rPr>
        <w:tab/>
      </w:r>
      <w:r>
        <w:rPr>
          <w:noProof/>
        </w:rPr>
        <w:fldChar w:fldCharType="begin"/>
      </w:r>
      <w:r>
        <w:rPr>
          <w:noProof/>
        </w:rPr>
        <w:instrText xml:space="preserve"> PAGEREF _Toc204515578 \h </w:instrText>
      </w:r>
      <w:r>
        <w:rPr>
          <w:noProof/>
        </w:rPr>
      </w:r>
      <w:r>
        <w:rPr>
          <w:noProof/>
        </w:rPr>
        <w:fldChar w:fldCharType="separate"/>
      </w:r>
      <w:r>
        <w:rPr>
          <w:noProof/>
        </w:rPr>
        <w:t>10</w:t>
      </w:r>
      <w:r>
        <w:rPr>
          <w:noProof/>
        </w:rPr>
        <w:fldChar w:fldCharType="end"/>
      </w:r>
    </w:p>
    <w:p w14:paraId="56C9A1C0" w14:textId="1CF1F37F" w:rsidR="005903FA" w:rsidRDefault="005903FA">
      <w:pPr>
        <w:pStyle w:val="TOC3"/>
        <w:tabs>
          <w:tab w:val="left" w:pos="1320"/>
          <w:tab w:val="right" w:leader="dot" w:pos="8290"/>
        </w:tabs>
        <w:rPr>
          <w:noProof/>
          <w:kern w:val="2"/>
          <w:sz w:val="24"/>
          <w:szCs w:val="30"/>
          <w:lang w:val="en-US" w:bidi="th-TH"/>
          <w14:ligatures w14:val="standardContextual"/>
        </w:rPr>
      </w:pPr>
      <w:r>
        <w:rPr>
          <w:noProof/>
        </w:rPr>
        <w:t>3.4.1</w:t>
      </w:r>
      <w:r>
        <w:rPr>
          <w:noProof/>
          <w:kern w:val="2"/>
          <w:sz w:val="24"/>
          <w:szCs w:val="30"/>
          <w:lang w:val="en-US" w:bidi="th-TH"/>
          <w14:ligatures w14:val="standardContextual"/>
        </w:rPr>
        <w:tab/>
      </w:r>
      <w:r>
        <w:rPr>
          <w:noProof/>
        </w:rPr>
        <w:t>AUC</w:t>
      </w:r>
      <w:r>
        <w:rPr>
          <w:noProof/>
        </w:rPr>
        <w:tab/>
      </w:r>
      <w:r>
        <w:rPr>
          <w:noProof/>
        </w:rPr>
        <w:fldChar w:fldCharType="begin"/>
      </w:r>
      <w:r>
        <w:rPr>
          <w:noProof/>
        </w:rPr>
        <w:instrText xml:space="preserve"> PAGEREF _Toc204515579 \h </w:instrText>
      </w:r>
      <w:r>
        <w:rPr>
          <w:noProof/>
        </w:rPr>
      </w:r>
      <w:r>
        <w:rPr>
          <w:noProof/>
        </w:rPr>
        <w:fldChar w:fldCharType="separate"/>
      </w:r>
      <w:r>
        <w:rPr>
          <w:noProof/>
        </w:rPr>
        <w:t>10</w:t>
      </w:r>
      <w:r>
        <w:rPr>
          <w:noProof/>
        </w:rPr>
        <w:fldChar w:fldCharType="end"/>
      </w:r>
    </w:p>
    <w:p w14:paraId="104F15EC" w14:textId="5413C3F7" w:rsidR="005903FA" w:rsidRDefault="005903FA">
      <w:pPr>
        <w:pStyle w:val="TOC3"/>
        <w:tabs>
          <w:tab w:val="left" w:pos="1320"/>
          <w:tab w:val="right" w:leader="dot" w:pos="8290"/>
        </w:tabs>
        <w:rPr>
          <w:noProof/>
          <w:kern w:val="2"/>
          <w:sz w:val="24"/>
          <w:szCs w:val="30"/>
          <w:lang w:val="en-US" w:bidi="th-TH"/>
          <w14:ligatures w14:val="standardContextual"/>
        </w:rPr>
      </w:pPr>
      <w:r>
        <w:rPr>
          <w:noProof/>
        </w:rPr>
        <w:t>3.4.2</w:t>
      </w:r>
      <w:r>
        <w:rPr>
          <w:noProof/>
          <w:kern w:val="2"/>
          <w:sz w:val="24"/>
          <w:szCs w:val="30"/>
          <w:lang w:val="en-US" w:bidi="th-TH"/>
          <w14:ligatures w14:val="standardContextual"/>
        </w:rPr>
        <w:tab/>
      </w:r>
      <w:r>
        <w:rPr>
          <w:noProof/>
        </w:rPr>
        <w:t>Confusion Matrix</w:t>
      </w:r>
      <w:r>
        <w:rPr>
          <w:noProof/>
        </w:rPr>
        <w:tab/>
      </w:r>
      <w:r>
        <w:rPr>
          <w:noProof/>
        </w:rPr>
        <w:fldChar w:fldCharType="begin"/>
      </w:r>
      <w:r>
        <w:rPr>
          <w:noProof/>
        </w:rPr>
        <w:instrText xml:space="preserve"> PAGEREF _Toc204515580 \h </w:instrText>
      </w:r>
      <w:r>
        <w:rPr>
          <w:noProof/>
        </w:rPr>
      </w:r>
      <w:r>
        <w:rPr>
          <w:noProof/>
        </w:rPr>
        <w:fldChar w:fldCharType="separate"/>
      </w:r>
      <w:r>
        <w:rPr>
          <w:noProof/>
        </w:rPr>
        <w:t>10</w:t>
      </w:r>
      <w:r>
        <w:rPr>
          <w:noProof/>
        </w:rPr>
        <w:fldChar w:fldCharType="end"/>
      </w:r>
    </w:p>
    <w:p w14:paraId="4508CA0A" w14:textId="790DA7C7" w:rsidR="005903FA" w:rsidRDefault="005903FA">
      <w:pPr>
        <w:pStyle w:val="TOC3"/>
        <w:tabs>
          <w:tab w:val="left" w:pos="1320"/>
          <w:tab w:val="right" w:leader="dot" w:pos="8290"/>
        </w:tabs>
        <w:rPr>
          <w:noProof/>
          <w:kern w:val="2"/>
          <w:sz w:val="24"/>
          <w:szCs w:val="30"/>
          <w:lang w:val="en-US" w:bidi="th-TH"/>
          <w14:ligatures w14:val="standardContextual"/>
        </w:rPr>
      </w:pPr>
      <w:r>
        <w:rPr>
          <w:noProof/>
        </w:rPr>
        <w:t>3.4.3</w:t>
      </w:r>
      <w:r>
        <w:rPr>
          <w:noProof/>
          <w:kern w:val="2"/>
          <w:sz w:val="24"/>
          <w:szCs w:val="30"/>
          <w:lang w:val="en-US" w:bidi="th-TH"/>
          <w14:ligatures w14:val="standardContextual"/>
        </w:rPr>
        <w:tab/>
      </w:r>
      <w:r>
        <w:rPr>
          <w:noProof/>
        </w:rPr>
        <w:t>Sensitivity</w:t>
      </w:r>
      <w:r>
        <w:rPr>
          <w:noProof/>
        </w:rPr>
        <w:tab/>
      </w:r>
      <w:r>
        <w:rPr>
          <w:noProof/>
        </w:rPr>
        <w:fldChar w:fldCharType="begin"/>
      </w:r>
      <w:r>
        <w:rPr>
          <w:noProof/>
        </w:rPr>
        <w:instrText xml:space="preserve"> PAGEREF _Toc204515581 \h </w:instrText>
      </w:r>
      <w:r>
        <w:rPr>
          <w:noProof/>
        </w:rPr>
      </w:r>
      <w:r>
        <w:rPr>
          <w:noProof/>
        </w:rPr>
        <w:fldChar w:fldCharType="separate"/>
      </w:r>
      <w:r>
        <w:rPr>
          <w:noProof/>
        </w:rPr>
        <w:t>10</w:t>
      </w:r>
      <w:r>
        <w:rPr>
          <w:noProof/>
        </w:rPr>
        <w:fldChar w:fldCharType="end"/>
      </w:r>
    </w:p>
    <w:p w14:paraId="7D3BAA29" w14:textId="0ED477C4" w:rsidR="005903FA" w:rsidRDefault="005903FA">
      <w:pPr>
        <w:pStyle w:val="TOC2"/>
        <w:rPr>
          <w:b w:val="0"/>
          <w:noProof/>
          <w:kern w:val="2"/>
          <w:sz w:val="24"/>
          <w:szCs w:val="30"/>
          <w:lang w:val="en-US" w:bidi="th-TH"/>
          <w14:ligatures w14:val="standardContextual"/>
        </w:rPr>
      </w:pPr>
      <w:r>
        <w:rPr>
          <w:noProof/>
        </w:rPr>
        <w:t>3.5</w:t>
      </w:r>
      <w:r>
        <w:rPr>
          <w:b w:val="0"/>
          <w:noProof/>
          <w:kern w:val="2"/>
          <w:sz w:val="24"/>
          <w:szCs w:val="30"/>
          <w:lang w:val="en-US" w:bidi="th-TH"/>
          <w14:ligatures w14:val="standardContextual"/>
        </w:rPr>
        <w:tab/>
      </w:r>
      <w:r>
        <w:rPr>
          <w:noProof/>
        </w:rPr>
        <w:t>Out of Sample Analysis</w:t>
      </w:r>
      <w:r>
        <w:rPr>
          <w:noProof/>
        </w:rPr>
        <w:tab/>
      </w:r>
      <w:r>
        <w:rPr>
          <w:noProof/>
        </w:rPr>
        <w:fldChar w:fldCharType="begin"/>
      </w:r>
      <w:r>
        <w:rPr>
          <w:noProof/>
        </w:rPr>
        <w:instrText xml:space="preserve"> PAGEREF _Toc204515582 \h </w:instrText>
      </w:r>
      <w:r>
        <w:rPr>
          <w:noProof/>
        </w:rPr>
      </w:r>
      <w:r>
        <w:rPr>
          <w:noProof/>
        </w:rPr>
        <w:fldChar w:fldCharType="separate"/>
      </w:r>
      <w:r>
        <w:rPr>
          <w:noProof/>
        </w:rPr>
        <w:t>10</w:t>
      </w:r>
      <w:r>
        <w:rPr>
          <w:noProof/>
        </w:rPr>
        <w:fldChar w:fldCharType="end"/>
      </w:r>
    </w:p>
    <w:p w14:paraId="74FBE080" w14:textId="0163426A" w:rsidR="005903FA" w:rsidRDefault="005903FA">
      <w:pPr>
        <w:pStyle w:val="TOC1"/>
        <w:tabs>
          <w:tab w:val="left" w:pos="1540"/>
        </w:tabs>
        <w:rPr>
          <w:rFonts w:asciiTheme="minorHAnsi" w:hAnsiTheme="minorHAnsi"/>
          <w:b w:val="0"/>
          <w:kern w:val="2"/>
          <w:szCs w:val="30"/>
          <w:lang w:val="en-US" w:bidi="th-TH"/>
          <w14:ligatures w14:val="standardContextual"/>
        </w:rPr>
      </w:pPr>
      <w:r>
        <w:t>Chapter 4</w:t>
      </w:r>
      <w:r>
        <w:rPr>
          <w:rFonts w:asciiTheme="minorHAnsi" w:hAnsiTheme="minorHAnsi"/>
          <w:b w:val="0"/>
          <w:kern w:val="2"/>
          <w:szCs w:val="30"/>
          <w:lang w:val="en-US" w:bidi="th-TH"/>
          <w14:ligatures w14:val="standardContextual"/>
        </w:rPr>
        <w:tab/>
      </w:r>
      <w:r>
        <w:t>Conclusion</w:t>
      </w:r>
      <w:r>
        <w:tab/>
      </w:r>
      <w:r>
        <w:fldChar w:fldCharType="begin"/>
      </w:r>
      <w:r>
        <w:instrText xml:space="preserve"> PAGEREF _Toc204515583 \h </w:instrText>
      </w:r>
      <w:r>
        <w:fldChar w:fldCharType="separate"/>
      </w:r>
      <w:r>
        <w:t>12</w:t>
      </w:r>
      <w:r>
        <w:fldChar w:fldCharType="end"/>
      </w:r>
    </w:p>
    <w:p w14:paraId="7DE08735" w14:textId="4DE8B8E7" w:rsidR="005903FA" w:rsidRDefault="005903FA">
      <w:pPr>
        <w:pStyle w:val="TOC6"/>
        <w:rPr>
          <w:rFonts w:asciiTheme="minorHAnsi" w:hAnsiTheme="minorHAnsi"/>
          <w:b w:val="0"/>
          <w:kern w:val="2"/>
          <w:szCs w:val="30"/>
          <w:lang w:val="en-US" w:bidi="th-TH"/>
          <w14:ligatures w14:val="standardContextual"/>
        </w:rPr>
      </w:pPr>
      <w:r>
        <w:t>Appendix A</w:t>
      </w:r>
      <w:r>
        <w:rPr>
          <w:rFonts w:asciiTheme="minorHAnsi" w:hAnsiTheme="minorHAnsi"/>
          <w:b w:val="0"/>
          <w:kern w:val="2"/>
          <w:szCs w:val="30"/>
          <w:lang w:val="en-US" w:bidi="th-TH"/>
          <w14:ligatures w14:val="standardContextual"/>
        </w:rPr>
        <w:tab/>
      </w:r>
      <w:r>
        <w:t>&lt;Name of appendix&gt;</w:t>
      </w:r>
      <w:r>
        <w:tab/>
      </w:r>
      <w:r>
        <w:fldChar w:fldCharType="begin"/>
      </w:r>
      <w:r>
        <w:instrText xml:space="preserve"> PAGEREF _Toc204515584 \h </w:instrText>
      </w:r>
      <w:r>
        <w:fldChar w:fldCharType="separate"/>
      </w:r>
      <w:r>
        <w:t>1</w:t>
      </w:r>
      <w:r>
        <w:fldChar w:fldCharType="end"/>
      </w:r>
    </w:p>
    <w:p w14:paraId="29AFEE12" w14:textId="4B774D94" w:rsidR="005903FA" w:rsidRDefault="005903FA">
      <w:pPr>
        <w:pStyle w:val="TOC6"/>
        <w:rPr>
          <w:rFonts w:asciiTheme="minorHAnsi" w:hAnsiTheme="minorHAnsi"/>
          <w:b w:val="0"/>
          <w:kern w:val="2"/>
          <w:szCs w:val="30"/>
          <w:lang w:val="en-US" w:bidi="th-TH"/>
          <w14:ligatures w14:val="standardContextual"/>
        </w:rPr>
      </w:pPr>
      <w:r>
        <w:t>Appendix B</w:t>
      </w:r>
      <w:r>
        <w:rPr>
          <w:rFonts w:asciiTheme="minorHAnsi" w:hAnsiTheme="minorHAnsi"/>
          <w:b w:val="0"/>
          <w:kern w:val="2"/>
          <w:szCs w:val="30"/>
          <w:lang w:val="en-US" w:bidi="th-TH"/>
          <w14:ligatures w14:val="standardContextual"/>
        </w:rPr>
        <w:tab/>
      </w:r>
      <w:r>
        <w:t>&lt;Another appendix&gt;</w:t>
      </w:r>
      <w:r>
        <w:tab/>
      </w:r>
      <w:r>
        <w:fldChar w:fldCharType="begin"/>
      </w:r>
      <w:r>
        <w:instrText xml:space="preserve"> PAGEREF _Toc204515585 \h </w:instrText>
      </w:r>
      <w:r>
        <w:fldChar w:fldCharType="separate"/>
      </w:r>
      <w:r>
        <w:t>2</w:t>
      </w:r>
      <w:r>
        <w:fldChar w:fldCharType="end"/>
      </w:r>
    </w:p>
    <w:p w14:paraId="5D4CFF14" w14:textId="71A58964" w:rsidR="005903FA" w:rsidRDefault="005903FA">
      <w:pPr>
        <w:pStyle w:val="TOC1"/>
        <w:rPr>
          <w:rFonts w:asciiTheme="minorHAnsi" w:hAnsiTheme="minorHAnsi"/>
          <w:b w:val="0"/>
          <w:kern w:val="2"/>
          <w:szCs w:val="30"/>
          <w:lang w:val="en-US" w:bidi="th-TH"/>
          <w14:ligatures w14:val="standardContextual"/>
        </w:rPr>
      </w:pPr>
      <w:r>
        <w:t>Bibliography</w:t>
      </w:r>
      <w:r>
        <w:tab/>
      </w:r>
      <w:r>
        <w:fldChar w:fldCharType="begin"/>
      </w:r>
      <w:r>
        <w:instrText xml:space="preserve"> PAGEREF _Toc204515586 \h </w:instrText>
      </w:r>
      <w:r>
        <w:fldChar w:fldCharType="separate"/>
      </w:r>
      <w:r>
        <w:t>3</w:t>
      </w:r>
      <w:r>
        <w:fldChar w:fldCharType="end"/>
      </w:r>
    </w:p>
    <w:p w14:paraId="2966930C" w14:textId="6DE29A99" w:rsidR="00F33AA4" w:rsidRPr="007C0AB9" w:rsidRDefault="00F33AA4" w:rsidP="00D01157">
      <w:r w:rsidRPr="007C0AB9">
        <w:fldChar w:fldCharType="end"/>
      </w:r>
    </w:p>
    <w:p w14:paraId="6AEC260E" w14:textId="77777777" w:rsidR="00611CC0" w:rsidRPr="007C0AB9" w:rsidRDefault="00611CC0" w:rsidP="00D01157">
      <w:pPr>
        <w:sectPr w:rsidR="00611CC0" w:rsidRPr="007C0AB9" w:rsidSect="005E3085">
          <w:footerReference w:type="default" r:id="rId11"/>
          <w:pgSz w:w="11900" w:h="16840"/>
          <w:pgMar w:top="1440" w:right="1800" w:bottom="1440" w:left="1800" w:header="708" w:footer="708" w:gutter="0"/>
          <w:pgNumType w:start="1"/>
          <w:cols w:space="708"/>
          <w:docGrid w:linePitch="360"/>
        </w:sectPr>
      </w:pPr>
    </w:p>
    <w:p w14:paraId="63FC8AC9" w14:textId="2BAA5283" w:rsidR="0049147A" w:rsidRPr="007C0AB9" w:rsidRDefault="0049147A" w:rsidP="00F72F7C">
      <w:pPr>
        <w:pStyle w:val="Heading1"/>
      </w:pPr>
      <w:bookmarkStart w:id="0" w:name="_Toc204515556"/>
      <w:r w:rsidRPr="007C0AB9">
        <w:lastRenderedPageBreak/>
        <w:t>Introduction</w:t>
      </w:r>
      <w:bookmarkEnd w:id="0"/>
    </w:p>
    <w:p w14:paraId="394DD059" w14:textId="73FDE1D5" w:rsidR="00FE7445" w:rsidRPr="007C0AB9" w:rsidRDefault="00FE7445" w:rsidP="00FE7445">
      <w:pPr>
        <w:pStyle w:val="Heading2"/>
      </w:pPr>
      <w:bookmarkStart w:id="1" w:name="_Toc204515557"/>
      <w:r w:rsidRPr="007C0AB9">
        <w:t>Motivation</w:t>
      </w:r>
      <w:bookmarkEnd w:id="1"/>
    </w:p>
    <w:p w14:paraId="21305C46" w14:textId="2FC42265" w:rsidR="004518F3" w:rsidRPr="007C0AB9" w:rsidRDefault="004518F3" w:rsidP="004518F3">
      <w:r w:rsidRPr="009A43DA">
        <w:t>Financial market crashes</w:t>
      </w:r>
      <w:r w:rsidRPr="007C0AB9">
        <w:t xml:space="preserve"> have historically affected to the economic and social disruptions, leading to the downturn, unemployment, and loss of investor confidence. </w:t>
      </w:r>
      <w:r w:rsidRPr="009A43DA">
        <w:t>Early detection and intervention</w:t>
      </w:r>
      <w:r w:rsidRPr="007C0AB9">
        <w:t xml:space="preserve"> are critical for minimizing the impact of such crises on those</w:t>
      </w:r>
      <w:r w:rsidR="007C0AB9" w:rsidRPr="007C0AB9">
        <w:t xml:space="preserve"> affected</w:t>
      </w:r>
      <w:r w:rsidRPr="007C0AB9">
        <w:t>.</w:t>
      </w:r>
    </w:p>
    <w:p w14:paraId="65954046" w14:textId="44B9C549" w:rsidR="004C641C" w:rsidRDefault="007C0AB9" w:rsidP="004518F3">
      <w:r w:rsidRPr="007C0AB9">
        <w:t xml:space="preserve">In recent years, sentiment analysis has emerged as a </w:t>
      </w:r>
      <w:r w:rsidR="004C641C">
        <w:t xml:space="preserve">powerful </w:t>
      </w:r>
      <w:r w:rsidRPr="007C0AB9">
        <w:t>tool in financial risk monitoring</w:t>
      </w:r>
      <w:r w:rsidR="00E07A2B">
        <w:t>, offering</w:t>
      </w:r>
      <w:r w:rsidRPr="007C0AB9">
        <w:t xml:space="preserve"> insights </w:t>
      </w:r>
      <w:r w:rsidR="00E07A2B">
        <w:t xml:space="preserve">into investor </w:t>
      </w:r>
      <w:r w:rsidRPr="007C0AB9">
        <w:t xml:space="preserve">expectations, fears, and </w:t>
      </w:r>
      <w:r w:rsidR="00E07A2B" w:rsidRPr="007C0AB9">
        <w:t>behaviours</w:t>
      </w:r>
      <w:r w:rsidRPr="007C0AB9">
        <w:t xml:space="preserve">. </w:t>
      </w:r>
      <w:r w:rsidR="00E07A2B">
        <w:t>When s</w:t>
      </w:r>
      <w:r>
        <w:t xml:space="preserve">udden shifts in investor sentiment </w:t>
      </w:r>
      <w:r w:rsidR="00E07A2B">
        <w:t>are</w:t>
      </w:r>
      <w:r>
        <w:t xml:space="preserve"> combined with </w:t>
      </w:r>
      <w:r w:rsidR="00E07A2B">
        <w:t>traditional</w:t>
      </w:r>
      <w:r>
        <w:t xml:space="preserve"> volatility</w:t>
      </w:r>
      <w:r w:rsidR="00E07A2B">
        <w:t xml:space="preserve"> indicators, they can provide early signals of impending market instability</w:t>
      </w:r>
      <w:r w:rsidR="004C641C">
        <w:t xml:space="preserve"> (Liu et al., 2023)</w:t>
      </w:r>
      <w:r w:rsidR="00E07A2B">
        <w:t>.</w:t>
      </w:r>
      <w:r w:rsidR="00E414B6">
        <w:t xml:space="preserve"> However, most existing early warning systems rely on static models that struggle to adapt to the fast-changing dynamics of the modern financial markets (</w:t>
      </w:r>
      <w:proofErr w:type="spellStart"/>
      <w:r w:rsidR="00CC4360">
        <w:t>Kustina</w:t>
      </w:r>
      <w:proofErr w:type="spellEnd"/>
      <w:r w:rsidR="00CC4360">
        <w:t xml:space="preserve"> et al., 2023</w:t>
      </w:r>
      <w:r w:rsidR="00E414B6">
        <w:t xml:space="preserve">). </w:t>
      </w:r>
      <w:r w:rsidR="00E414B6" w:rsidRPr="009A43DA">
        <w:t>By integrating both market and sentiment volatility within a dynamic framework</w:t>
      </w:r>
      <w:r w:rsidR="00E414B6">
        <w:t>, this research aims to develop more responsive and accurate tool for crash prediction</w:t>
      </w:r>
      <w:r w:rsidR="00CC4360">
        <w:t>.</w:t>
      </w:r>
    </w:p>
    <w:p w14:paraId="0214988F" w14:textId="79E87C11" w:rsidR="00FE7445" w:rsidRPr="007C0AB9" w:rsidRDefault="00AD5149" w:rsidP="00FE7445">
      <w:pPr>
        <w:pStyle w:val="Heading2"/>
      </w:pPr>
      <w:bookmarkStart w:id="2" w:name="_Toc204515558"/>
      <w:r>
        <w:t>Purpose</w:t>
      </w:r>
      <w:bookmarkEnd w:id="2"/>
    </w:p>
    <w:p w14:paraId="1AEDF427" w14:textId="42B07C7F" w:rsidR="00D214F0" w:rsidRDefault="00AD5149" w:rsidP="00AD5149">
      <w:r w:rsidRPr="00AD5149">
        <w:t xml:space="preserve">The primary purpose of this research is to </w:t>
      </w:r>
      <w:r w:rsidRPr="009A43DA">
        <w:t>develop a dynamic early warning system (EWS)</w:t>
      </w:r>
      <w:r w:rsidRPr="00AD5149">
        <w:t xml:space="preserve"> that integrates both market-based and sentiment-based volatility indicators to enhance the early detection of financial market crashes. Given the increasing complexity and unpredictability of financial markets, especially during periods of heightened uncertainty, there is a growing need for more adaptive and timely forecasting models.</w:t>
      </w:r>
    </w:p>
    <w:p w14:paraId="5BFA109F" w14:textId="6F5BAC68" w:rsidR="00AD5149" w:rsidRDefault="00AD5149" w:rsidP="00AD5149">
      <w:r w:rsidRPr="00AD5149">
        <w:t>This study seeks to address by analysing how time-varying patterns in market</w:t>
      </w:r>
      <w:r>
        <w:t>-based</w:t>
      </w:r>
      <w:r w:rsidRPr="00AD5149">
        <w:t xml:space="preserve"> and sentiment-</w:t>
      </w:r>
      <w:r>
        <w:t>based</w:t>
      </w:r>
      <w:r w:rsidRPr="00AD5149">
        <w:t xml:space="preserve"> volatility relate to the occurrence of past financial crises. Specifically, the research will make use of historical financial news </w:t>
      </w:r>
      <w:r w:rsidR="00955A16">
        <w:t xml:space="preserve">headlines </w:t>
      </w:r>
      <w:r w:rsidR="004C2C76">
        <w:t>to</w:t>
      </w:r>
      <w:r w:rsidRPr="00AD5149">
        <w:t xml:space="preserve"> extract relevant sentiment signals. These sentiment indicators will then be combined with traditional market-based volatility measures</w:t>
      </w:r>
      <w:r w:rsidR="00B7746A">
        <w:t>, using the S&amp;P500 closing prices,</w:t>
      </w:r>
      <w:r w:rsidRPr="00AD5149">
        <w:t xml:space="preserve"> within a dynamic modelling framework designed to capture the evolving relationships between these variables over time.</w:t>
      </w:r>
    </w:p>
    <w:p w14:paraId="6C4BB5AA" w14:textId="1EE6E447" w:rsidR="008B6CA7" w:rsidRPr="007C0AB9" w:rsidRDefault="008B6CA7" w:rsidP="004C641C">
      <w:pPr>
        <w:spacing w:before="0"/>
        <w:jc w:val="left"/>
      </w:pPr>
      <w:r w:rsidRPr="007C0AB9">
        <w:br w:type="page"/>
      </w:r>
    </w:p>
    <w:p w14:paraId="03FA0E28" w14:textId="553764EB" w:rsidR="008B6CA7" w:rsidRPr="007C0AB9" w:rsidRDefault="008B6CA7" w:rsidP="00F72F7C">
      <w:pPr>
        <w:pStyle w:val="Heading1"/>
      </w:pPr>
      <w:bookmarkStart w:id="3" w:name="_Toc204515559"/>
      <w:bookmarkStart w:id="4" w:name="_Hlk204173981"/>
      <w:r w:rsidRPr="007C0AB9">
        <w:lastRenderedPageBreak/>
        <w:t>Survey</w:t>
      </w:r>
      <w:bookmarkEnd w:id="3"/>
      <w:r w:rsidRPr="007C0AB9">
        <w:t xml:space="preserve"> </w:t>
      </w:r>
    </w:p>
    <w:p w14:paraId="5DE6544F" w14:textId="77777777" w:rsidR="0013082B" w:rsidRDefault="00FE7445" w:rsidP="0013082B">
      <w:pPr>
        <w:pStyle w:val="Heading2"/>
      </w:pPr>
      <w:bookmarkStart w:id="5" w:name="_Toc204515560"/>
      <w:r w:rsidRPr="007C0AB9">
        <w:t>Background Survey</w:t>
      </w:r>
      <w:bookmarkEnd w:id="5"/>
    </w:p>
    <w:p w14:paraId="04A0081C" w14:textId="36A11D1B" w:rsidR="0013082B" w:rsidRDefault="0013082B" w:rsidP="0013082B">
      <w:pPr>
        <w:pStyle w:val="Heading3"/>
      </w:pPr>
      <w:bookmarkStart w:id="6" w:name="_Toc204515561"/>
      <w:r>
        <w:t>Current Methods for Early Warning Systems (EWS)</w:t>
      </w:r>
      <w:bookmarkEnd w:id="6"/>
    </w:p>
    <w:p w14:paraId="2BD57063" w14:textId="13DFEC87" w:rsidR="0046668C" w:rsidRDefault="00B37685" w:rsidP="00D214F0">
      <w:r w:rsidRPr="00B37685">
        <w:t xml:space="preserve">Early warning systems (EWS) for financial crashes have </w:t>
      </w:r>
      <w:r w:rsidRPr="006A76EB">
        <w:t>evolved from simple statistical models to more advanced machine learning</w:t>
      </w:r>
      <w:r w:rsidRPr="00B37685">
        <w:t xml:space="preserve"> and nonlinear approaches</w:t>
      </w:r>
      <w:r>
        <w:t xml:space="preserve">. The traditional statistic models, such as logistic regression, have been widely used to detect early signals for financial crashes using predefined relationships between risk indicators and crash probabilities. </w:t>
      </w:r>
      <w:r w:rsidR="00E669E3">
        <w:t>Such models often suffer from rigid parameterization and lagging indicators, limiting their ability to capture regime shifts or sudden market changes (</w:t>
      </w:r>
      <w:proofErr w:type="spellStart"/>
      <w:r w:rsidR="00E669E3">
        <w:t>Kustina</w:t>
      </w:r>
      <w:proofErr w:type="spellEnd"/>
      <w:r w:rsidR="00E669E3">
        <w:t xml:space="preserve"> et al., 2023)</w:t>
      </w:r>
      <w:r>
        <w:t xml:space="preserve">, in contrast with the more recent research that explored the nonlinear approach to overcome </w:t>
      </w:r>
      <w:r w:rsidR="0046668C">
        <w:t>this limitation</w:t>
      </w:r>
      <w:r>
        <w:t>.</w:t>
      </w:r>
      <w:r w:rsidR="0046668C">
        <w:t xml:space="preserve"> Nonlinear </w:t>
      </w:r>
      <w:r w:rsidR="00E669E3">
        <w:t>algorithms</w:t>
      </w:r>
      <w:r w:rsidR="0046668C">
        <w:t xml:space="preserve">, support vector machines (SVM), and neural networks have shown improved capacity for capturing </w:t>
      </w:r>
      <w:r w:rsidR="00005900">
        <w:t xml:space="preserve">the </w:t>
      </w:r>
      <w:r w:rsidR="0046668C">
        <w:t>complex relationships in the real-world financial markets (Son</w:t>
      </w:r>
      <w:r w:rsidR="00DF7EF8">
        <w:t>g et al.</w:t>
      </w:r>
      <w:r w:rsidR="0046668C">
        <w:t>, 2024)</w:t>
      </w:r>
      <w:r w:rsidR="00005900">
        <w:t>, allowing more flexibility when modelling market risks and crash probabilities</w:t>
      </w:r>
      <w:r w:rsidR="00E669E3">
        <w:t xml:space="preserve"> as new data becomes available</w:t>
      </w:r>
      <w:r w:rsidR="00005900">
        <w:t>.</w:t>
      </w:r>
      <w:r w:rsidR="00E669E3">
        <w:t xml:space="preserve"> </w:t>
      </w:r>
      <w:r w:rsidR="00E669E3" w:rsidRPr="00E669E3">
        <w:t xml:space="preserve">Empirical evidence supports that dynamic nonlinear methods outperform static models, providing better crisis prediction under changing market environments </w:t>
      </w:r>
      <w:r w:rsidR="00E669E3">
        <w:t>(Song et al., 2024)</w:t>
      </w:r>
      <w:r w:rsidR="00E669E3" w:rsidRPr="00E669E3">
        <w:t>.</w:t>
      </w:r>
    </w:p>
    <w:p w14:paraId="540D7CF2" w14:textId="09D9BBC0" w:rsidR="00005900" w:rsidRDefault="00005900" w:rsidP="00D214F0">
      <w:r>
        <w:t xml:space="preserve">Beside the market-based indicators, </w:t>
      </w:r>
      <w:r w:rsidRPr="006A76EB">
        <w:t>sentiment analysis has also gained attention</w:t>
      </w:r>
      <w:r>
        <w:t xml:space="preserve"> in financial crash predictions. The rise of social media platforms such as Twitter (now known as X), along with financial news sources, has provided rich datasets for capturing </w:t>
      </w:r>
      <w:r w:rsidR="00DF7EF8">
        <w:t xml:space="preserve">investor mood and behaviours (Liu et al., 2023). </w:t>
      </w:r>
      <w:r w:rsidR="003737A4">
        <w:t xml:space="preserve">However, extracting signals from this unstructured </w:t>
      </w:r>
      <w:r w:rsidR="0013082B">
        <w:t xml:space="preserve">data </w:t>
      </w:r>
      <w:r w:rsidR="003737A4">
        <w:t>often produce</w:t>
      </w:r>
      <w:r w:rsidR="0013082B">
        <w:t>s</w:t>
      </w:r>
      <w:r w:rsidR="003737A4">
        <w:t xml:space="preserve"> noisy which remains a challenge. </w:t>
      </w:r>
      <w:r w:rsidR="00DF7EF8">
        <w:t xml:space="preserve">Liu, Leu, and Holst (2023) proposed a method using </w:t>
      </w:r>
      <w:proofErr w:type="spellStart"/>
      <w:r w:rsidR="00DF7EF8">
        <w:t>FinBERT</w:t>
      </w:r>
      <w:proofErr w:type="spellEnd"/>
      <w:r w:rsidR="00654550">
        <w:rPr>
          <w:rStyle w:val="FootnoteReference"/>
        </w:rPr>
        <w:footnoteReference w:id="1"/>
      </w:r>
      <w:r w:rsidR="00DF7EF8">
        <w:t xml:space="preserve"> combined with an ensemble SVM to </w:t>
      </w:r>
      <w:r w:rsidR="0013082B">
        <w:t>reduce noise and filter out irrelevant content from social media discussions.</w:t>
      </w:r>
    </w:p>
    <w:p w14:paraId="02DCFFF5" w14:textId="0B481D03" w:rsidR="00295647" w:rsidRDefault="00295647" w:rsidP="00D214F0">
      <w:r w:rsidRPr="00295647">
        <w:t>Huang et al. (2020)</w:t>
      </w:r>
      <w:r>
        <w:t xml:space="preserve"> </w:t>
      </w:r>
      <w:r w:rsidRPr="00295647">
        <w:t xml:space="preserve">showed that </w:t>
      </w:r>
      <w:proofErr w:type="spellStart"/>
      <w:r w:rsidRPr="00295647">
        <w:t>FinBERT</w:t>
      </w:r>
      <w:proofErr w:type="spellEnd"/>
      <w:r w:rsidRPr="00295647">
        <w:t xml:space="preserve">, which is specifically pre-trained on financial texts including earnings call transcripts, analyst reports, and financial news articles, </w:t>
      </w:r>
      <w:r w:rsidRPr="006A76EB">
        <w:t>significantly outperforms</w:t>
      </w:r>
      <w:r w:rsidRPr="00295647">
        <w:t xml:space="preserve"> general-purpose language models like </w:t>
      </w:r>
      <w:r w:rsidRPr="006A76EB">
        <w:t>BERT</w:t>
      </w:r>
      <w:r w:rsidRPr="00295647">
        <w:t xml:space="preserve"> and traditional approaches in various financial information extraction tasks</w:t>
      </w:r>
      <w:r w:rsidR="00EF7129">
        <w:t xml:space="preserve">, including the </w:t>
      </w:r>
      <w:r w:rsidR="00EF7129" w:rsidRPr="006A76EB">
        <w:t>LM dictionary, NB, SVM, RF, CNN, and LSTM</w:t>
      </w:r>
      <w:r w:rsidRPr="00295647">
        <w:t>. The model's specialized training on domain-specific vocabulary and financial terminology enables it to better understand the context inherent in financial communications, resulting in improved accuracy for sentiment classification, named entity recognition, and relationship extraction from financial documents</w:t>
      </w:r>
      <w:r w:rsidR="00827D0F">
        <w:t xml:space="preserve"> (</w:t>
      </w:r>
      <w:r w:rsidR="00827D0F" w:rsidRPr="00295647">
        <w:t>Huang et al.</w:t>
      </w:r>
      <w:r w:rsidR="00827D0F">
        <w:t xml:space="preserve">, </w:t>
      </w:r>
      <w:r w:rsidR="00827D0F" w:rsidRPr="00295647">
        <w:t>2020)</w:t>
      </w:r>
      <w:r w:rsidRPr="00295647">
        <w:t>.</w:t>
      </w:r>
      <w:r w:rsidR="00C23FE3">
        <w:t xml:space="preserve"> </w:t>
      </w:r>
      <w:r w:rsidR="00C23FE3" w:rsidRPr="00C23FE3">
        <w:t xml:space="preserve">However, it is important to note that </w:t>
      </w:r>
      <w:proofErr w:type="spellStart"/>
      <w:r w:rsidR="00C23FE3" w:rsidRPr="00C23FE3">
        <w:t>FinBERT</w:t>
      </w:r>
      <w:proofErr w:type="spellEnd"/>
      <w:r w:rsidR="00C23FE3" w:rsidRPr="00C23FE3">
        <w:t xml:space="preserve"> demonstrated superiority applies specifically </w:t>
      </w:r>
      <w:r w:rsidR="00C23FE3" w:rsidRPr="006A76EB">
        <w:t>to financial text analysis tasks</w:t>
      </w:r>
      <w:r w:rsidR="00C23FE3" w:rsidRPr="00C23FE3">
        <w:t>, and not directly to model</w:t>
      </w:r>
      <w:r w:rsidR="00C23FE3">
        <w:t>l</w:t>
      </w:r>
      <w:r w:rsidR="00C23FE3" w:rsidRPr="00C23FE3">
        <w:t>ing financial market volatility.</w:t>
      </w:r>
    </w:p>
    <w:p w14:paraId="471D215F" w14:textId="6255E1F8" w:rsidR="00D8089C" w:rsidRDefault="00D8089C" w:rsidP="00D214F0">
      <w:r w:rsidRPr="00D8089C">
        <w:t xml:space="preserve">As noted by Parras-Gutiérrez et al. (2014), forecasting models </w:t>
      </w:r>
      <w:r w:rsidR="00254C29">
        <w:t>usually</w:t>
      </w:r>
      <w:r w:rsidRPr="00D8089C">
        <w:t xml:space="preserve"> designed for short-term or one-step-ahead predictions due to the increasing</w:t>
      </w:r>
      <w:r w:rsidR="00254C29">
        <w:t xml:space="preserve"> in</w:t>
      </w:r>
      <w:r w:rsidRPr="00D8089C">
        <w:t xml:space="preserve"> difficulty and unreliability of medium- and long-term forecasts caused by error propagation over time.</w:t>
      </w:r>
      <w:r>
        <w:t xml:space="preserve"> </w:t>
      </w:r>
      <w:r w:rsidR="00254C29">
        <w:t>To c</w:t>
      </w:r>
      <w:r w:rsidR="00202C33" w:rsidRPr="00202C33">
        <w:t>omplemen</w:t>
      </w:r>
      <w:r w:rsidR="00254C29">
        <w:t>t</w:t>
      </w:r>
      <w:r w:rsidR="00202C33" w:rsidRPr="00202C33">
        <w:t xml:space="preserve"> this perspective, </w:t>
      </w:r>
      <w:proofErr w:type="spellStart"/>
      <w:r w:rsidR="00202C33" w:rsidRPr="00202C33">
        <w:t>Allaj</w:t>
      </w:r>
      <w:proofErr w:type="spellEnd"/>
      <w:r w:rsidR="00202C33" w:rsidRPr="00202C33">
        <w:t xml:space="preserve"> and </w:t>
      </w:r>
      <w:proofErr w:type="spellStart"/>
      <w:r w:rsidR="00202C33" w:rsidRPr="00202C33">
        <w:t>Sanfelici</w:t>
      </w:r>
      <w:proofErr w:type="spellEnd"/>
      <w:r w:rsidR="00202C33" w:rsidRPr="00202C33">
        <w:t xml:space="preserve"> (2023) introduced a time-</w:t>
      </w:r>
      <w:r w:rsidR="00202C33" w:rsidRPr="00202C33">
        <w:lastRenderedPageBreak/>
        <w:t xml:space="preserve">varying window (e.g., </w:t>
      </w:r>
      <m:oMath>
        <m:r>
          <w:rPr>
            <w:rFonts w:ascii="Cambria Math" w:hAnsi="Cambria Math"/>
          </w:rPr>
          <m:t>T</m:t>
        </m:r>
      </m:oMath>
      <w:r w:rsidR="00202C33" w:rsidRPr="00202C33">
        <w:t xml:space="preserve"> = 22, 66, 132 days) in the context of early warning systems</w:t>
      </w:r>
      <w:r w:rsidR="00202C33">
        <w:t xml:space="preserve"> </w:t>
      </w:r>
      <w:r w:rsidR="00202C33" w:rsidRPr="00202C33">
        <w:t xml:space="preserve">for financial instability. This approach acknowledges the </w:t>
      </w:r>
      <w:r w:rsidR="00A24ADC">
        <w:t>changing</w:t>
      </w:r>
      <w:r w:rsidR="00202C33" w:rsidRPr="00202C33">
        <w:t xml:space="preserve"> nature of financial markets and allows models to capture different temporal dynamics</w:t>
      </w:r>
      <w:r w:rsidR="001811B6">
        <w:t xml:space="preserve"> </w:t>
      </w:r>
      <w:r w:rsidR="00202C33" w:rsidRPr="00202C33">
        <w:t xml:space="preserve">ranging within a unified structure. Together, these insights </w:t>
      </w:r>
      <w:r w:rsidR="00C75B61">
        <w:t>lead to</w:t>
      </w:r>
      <w:r w:rsidR="00202C33" w:rsidRPr="00202C33">
        <w:t xml:space="preserve"> a multi-horizon </w:t>
      </w:r>
      <w:r w:rsidR="001811B6" w:rsidRPr="00202C33">
        <w:t>modelling</w:t>
      </w:r>
      <w:r w:rsidR="00202C33" w:rsidRPr="00202C33">
        <w:t xml:space="preserve"> </w:t>
      </w:r>
      <w:r w:rsidR="00C75B61">
        <w:t>method</w:t>
      </w:r>
      <w:r w:rsidR="00202C33" w:rsidRPr="00202C33">
        <w:t xml:space="preserve"> that balances predictive accuracy with </w:t>
      </w:r>
      <w:r w:rsidR="00C75B61">
        <w:t>a greater understanding of time.</w:t>
      </w:r>
    </w:p>
    <w:p w14:paraId="145D67D8" w14:textId="6F61F149" w:rsidR="00597ED3" w:rsidRDefault="00BE5D10" w:rsidP="00597ED3">
      <w:pPr>
        <w:pStyle w:val="Heading3"/>
      </w:pPr>
      <w:bookmarkStart w:id="7" w:name="_Toc204515562"/>
      <w:r>
        <w:t>Various</w:t>
      </w:r>
      <w:r w:rsidR="00A71D00">
        <w:t xml:space="preserve"> Choices of </w:t>
      </w:r>
      <w:r w:rsidR="00597ED3" w:rsidRPr="00597ED3">
        <w:t>Feature Extraction and Machine Learning Methods for Stock Price Prediction</w:t>
      </w:r>
      <w:bookmarkEnd w:id="7"/>
    </w:p>
    <w:p w14:paraId="4749EB6E" w14:textId="5C2CAC54" w:rsidR="00597ED3" w:rsidRDefault="00597ED3" w:rsidP="00597ED3">
      <w:r w:rsidRPr="00597ED3">
        <w:t xml:space="preserve">Bonde </w:t>
      </w:r>
      <w:r>
        <w:t xml:space="preserve">and Khaled </w:t>
      </w:r>
      <w:r w:rsidRPr="00597ED3">
        <w:t>(2012) explores the effectiveness of various feature extraction strategies and machine learning algorithms in forecasting stock prices</w:t>
      </w:r>
      <w:r>
        <w:t xml:space="preserve"> from financial markets, </w:t>
      </w:r>
      <w:r w:rsidRPr="00597ED3">
        <w:t xml:space="preserve">evaluates a combination of features and classifiers to identify the most predictive configurations. </w:t>
      </w:r>
      <w:r w:rsidR="00B33D32">
        <w:t xml:space="preserve">The study </w:t>
      </w:r>
      <w:r w:rsidRPr="00597ED3">
        <w:t>examines eight different feature sets</w:t>
      </w:r>
      <w:r w:rsidR="00A22F33">
        <w:t xml:space="preserve"> that </w:t>
      </w:r>
      <w:r w:rsidR="009D1B9F" w:rsidRPr="009D1B9F">
        <w:t>represent different levels of contextual and historical integration, ranging from minimalist (</w:t>
      </w:r>
      <w:r w:rsidR="00FA1D82">
        <w:t>C</w:t>
      </w:r>
      <w:r w:rsidR="009D1B9F" w:rsidRPr="009D1B9F">
        <w:t>ompany alone) to comprehensive market-informed (NASDAQ + S&amp;P + Company).</w:t>
      </w:r>
      <w:r w:rsidR="00E87FD0">
        <w:t xml:space="preserve"> </w:t>
      </w:r>
      <w:r w:rsidR="00E87FD0" w:rsidRPr="00E87FD0">
        <w:t xml:space="preserve">and evaluates four machine learning techniques to assess their effectiveness: </w:t>
      </w:r>
      <w:r w:rsidR="009D3385">
        <w:t>n</w:t>
      </w:r>
      <w:r w:rsidR="00E87FD0" w:rsidRPr="00E87FD0">
        <w:t xml:space="preserve">eural </w:t>
      </w:r>
      <w:r w:rsidR="009D3385">
        <w:t>n</w:t>
      </w:r>
      <w:r w:rsidR="00E87FD0" w:rsidRPr="00E87FD0">
        <w:t xml:space="preserve">etworks, Sequential Minimal Optimization (SMO), </w:t>
      </w:r>
      <w:r w:rsidR="009D3385">
        <w:t>b</w:t>
      </w:r>
      <w:r w:rsidR="00E87FD0" w:rsidRPr="00E87FD0">
        <w:t>agging using SMO, and M5P.</w:t>
      </w:r>
    </w:p>
    <w:p w14:paraId="2D40AD22" w14:textId="6C392CCD" w:rsidR="00E87FD0" w:rsidRDefault="00E87FD0" w:rsidP="00E87FD0">
      <w:r>
        <w:t xml:space="preserve">Among these, SMO and </w:t>
      </w:r>
      <w:r w:rsidR="00290BB9">
        <w:t>b</w:t>
      </w:r>
      <w:r>
        <w:t>agging using SMO demonstrated superior performance, especially when combined with rich feature sets like Volume + Company and NASDAQ + S&amp;P + Company. The ensemble approach of bagging helped improve generalization and robustness against overfitting.</w:t>
      </w:r>
    </w:p>
    <w:p w14:paraId="2DCDF6DC" w14:textId="2097915E" w:rsidR="00E87FD0" w:rsidRPr="00597ED3" w:rsidRDefault="00E87FD0" w:rsidP="00E87FD0">
      <w:r>
        <w:t xml:space="preserve">In contrast, while neural networks are often </w:t>
      </w:r>
      <w:r w:rsidR="009C4FDE">
        <w:t>favoured</w:t>
      </w:r>
      <w:r>
        <w:t xml:space="preserve"> for financial </w:t>
      </w:r>
      <w:r w:rsidR="009C4FDE">
        <w:t>modelling</w:t>
      </w:r>
      <w:r>
        <w:t xml:space="preserve"> due to their flexibility, their performance in this study was subpar. The authors attributed this to insufficient tuning and a potential mismatch with the chosen features or architecture. They suggested that, with proper hyperparameter optimization, neural networks could perform competitively</w:t>
      </w:r>
      <w:r w:rsidR="002243D0">
        <w:t xml:space="preserve"> (Bonde et al., 2012)</w:t>
      </w:r>
      <w:r>
        <w:t>.</w:t>
      </w:r>
    </w:p>
    <w:p w14:paraId="21E1BC77" w14:textId="77C0D40B" w:rsidR="0013082B" w:rsidRDefault="007105ED" w:rsidP="0013082B">
      <w:pPr>
        <w:pStyle w:val="Heading3"/>
      </w:pPr>
      <w:bookmarkStart w:id="8" w:name="_Toc204515563"/>
      <w:r>
        <w:t>Key Crash Indicator</w:t>
      </w:r>
      <w:bookmarkEnd w:id="8"/>
    </w:p>
    <w:p w14:paraId="78B6F57A" w14:textId="7C97E29F" w:rsidR="00307312" w:rsidRDefault="005A385C" w:rsidP="0013082B">
      <w:r w:rsidRPr="005A385C">
        <w:t>Most studies operationalize a financial crash using a binary crash indicator equation, where a crash is identified based on a significant drop in asset prices or index returns over a specified time window.</w:t>
      </w:r>
      <w:r>
        <w:t xml:space="preserve"> </w:t>
      </w:r>
      <w:r w:rsidR="003012B6" w:rsidRPr="009A3A51">
        <w:t xml:space="preserve">A common method involves calculating the log return of closing prices over a fixed period (e.g., 5-day or 10-day intervals) and </w:t>
      </w:r>
      <w:r w:rsidR="001F138F" w:rsidRPr="009A3A51">
        <w:t>labelling</w:t>
      </w:r>
      <w:r w:rsidR="003012B6" w:rsidRPr="009A3A51">
        <w:t xml:space="preserve"> an observation as a "crash" if the return falls below a predefined threshold</w:t>
      </w:r>
      <w:r w:rsidR="001F138F">
        <w:t xml:space="preserve"> </w:t>
      </w:r>
      <w:r w:rsidR="001362B6">
        <w:t xml:space="preserve">which </w:t>
      </w:r>
      <w:r w:rsidR="003012B6" w:rsidRPr="009A3A51">
        <w:t>often set at the 10th percentile of historical returns or a fixed percentage drop, such as −10%</w:t>
      </w:r>
      <w:r w:rsidR="003012B6">
        <w:t xml:space="preserve"> (</w:t>
      </w:r>
      <w:r w:rsidR="003012B6" w:rsidRPr="00002B1C">
        <w:t>Kaminsky et al., 1998</w:t>
      </w:r>
      <w:r w:rsidR="003012B6">
        <w:t>)</w:t>
      </w:r>
      <w:r w:rsidR="003012B6" w:rsidRPr="009A3A51">
        <w:t>.</w:t>
      </w:r>
      <w:r w:rsidR="00307312">
        <w:t xml:space="preserve"> </w:t>
      </w:r>
      <w:r w:rsidR="009C3892">
        <w:t>Nonetheless</w:t>
      </w:r>
      <w:r w:rsidR="00307312" w:rsidRPr="00307312">
        <w:t>, early warning models also extend to other types of financial crises,</w:t>
      </w:r>
      <w:r w:rsidR="007873D8">
        <w:t xml:space="preserve"> </w:t>
      </w:r>
      <w:r w:rsidR="00307312" w:rsidRPr="00307312">
        <w:t xml:space="preserve">such as currency and sovereign debt. Kaminsky and Reinhart (1999), for example, define currency crises </w:t>
      </w:r>
      <w:r w:rsidR="007873D8">
        <w:t>based on</w:t>
      </w:r>
      <w:r w:rsidR="00307312" w:rsidRPr="00307312">
        <w:t xml:space="preserve"> a sharp depreciation of the exchange rate coupled with reserve losses, using an exchange market pressure index. </w:t>
      </w:r>
      <w:proofErr w:type="spellStart"/>
      <w:r w:rsidR="00307312" w:rsidRPr="00307312">
        <w:t>Bussière</w:t>
      </w:r>
      <w:proofErr w:type="spellEnd"/>
      <w:r w:rsidR="00307312" w:rsidRPr="00307312">
        <w:t xml:space="preserve"> and Fratzscher (2006) extend this framework to sovereign debt crises by incorporating a wide range of macroeconomic variables, flagging a crisis when key thresholds are breached.</w:t>
      </w:r>
    </w:p>
    <w:p w14:paraId="1231C340" w14:textId="51260C86" w:rsidR="0013082B" w:rsidRDefault="002D122D" w:rsidP="0013082B">
      <w:r>
        <w:t>In addition, v</w:t>
      </w:r>
      <w:r w:rsidR="007105ED">
        <w:t xml:space="preserve">olatility </w:t>
      </w:r>
      <w:r>
        <w:t xml:space="preserve">also </w:t>
      </w:r>
      <w:r w:rsidR="007105ED">
        <w:t>remains one of the most important indicators in crash prediction research. To flag the potential financial instability, both realized volatility (</w:t>
      </w:r>
      <w:r w:rsidR="007105ED" w:rsidRPr="007105ED">
        <w:t>observed historical price variability</w:t>
      </w:r>
      <w:r w:rsidR="007105ED">
        <w:t xml:space="preserve">) and </w:t>
      </w:r>
      <w:r w:rsidR="00A82547">
        <w:t>price-volatility feedback rate</w:t>
      </w:r>
      <w:r w:rsidR="007105ED">
        <w:t xml:space="preserve"> have been used </w:t>
      </w:r>
      <w:r w:rsidR="007105ED" w:rsidRPr="007105ED">
        <w:t>(</w:t>
      </w:r>
      <w:proofErr w:type="spellStart"/>
      <w:r w:rsidR="007105ED" w:rsidRPr="007105ED">
        <w:t>Allaj</w:t>
      </w:r>
      <w:proofErr w:type="spellEnd"/>
      <w:r w:rsidR="007105ED" w:rsidRPr="007105ED">
        <w:t xml:space="preserve"> &amp; </w:t>
      </w:r>
      <w:proofErr w:type="spellStart"/>
      <w:r w:rsidR="007105ED" w:rsidRPr="007105ED">
        <w:t>Sanfelici</w:t>
      </w:r>
      <w:proofErr w:type="spellEnd"/>
      <w:r w:rsidR="007105ED" w:rsidRPr="007105ED">
        <w:t>, 2023)</w:t>
      </w:r>
      <w:r w:rsidR="007105ED">
        <w:t>. Pattern of increased volatility generally precede market downturns, making it useful for</w:t>
      </w:r>
      <w:r w:rsidR="00A91FA6">
        <w:t xml:space="preserve"> early warning system </w:t>
      </w:r>
      <w:r w:rsidR="007105ED">
        <w:t>frameworks.</w:t>
      </w:r>
    </w:p>
    <w:p w14:paraId="1AFA561C" w14:textId="26801D64" w:rsidR="00F92A86" w:rsidRDefault="00F92A86" w:rsidP="0013082B">
      <w:r>
        <w:lastRenderedPageBreak/>
        <w:t>Mentioning the traditional risk measures, Value-at-Risk (</w:t>
      </w:r>
      <w:proofErr w:type="spellStart"/>
      <w:r>
        <w:t>VaR</w:t>
      </w:r>
      <w:proofErr w:type="spellEnd"/>
      <w:r>
        <w:t>) and Expected Shortfall (ES) are widely used as quantitative measures to assess market risk and potential losses under various conditions.</w:t>
      </w:r>
      <w:r w:rsidR="00574B03">
        <w:t xml:space="preserve"> </w:t>
      </w:r>
      <w:r w:rsidR="00574B03" w:rsidRPr="00574B03">
        <w:t xml:space="preserve">However, both </w:t>
      </w:r>
      <w:proofErr w:type="spellStart"/>
      <w:r w:rsidR="00574B03" w:rsidRPr="00574B03">
        <w:t>VaR</w:t>
      </w:r>
      <w:proofErr w:type="spellEnd"/>
      <w:r w:rsidR="00574B03" w:rsidRPr="00574B03">
        <w:t xml:space="preserve"> and ES forecasts often rely on models with specific distributional or structural assumptions (</w:t>
      </w:r>
      <w:proofErr w:type="spellStart"/>
      <w:r w:rsidR="00574B03" w:rsidRPr="00574B03">
        <w:t>Allaj</w:t>
      </w:r>
      <w:proofErr w:type="spellEnd"/>
      <w:r w:rsidR="00574B03" w:rsidRPr="00574B03">
        <w:t xml:space="preserve"> &amp; </w:t>
      </w:r>
      <w:proofErr w:type="spellStart"/>
      <w:r w:rsidR="00574B03" w:rsidRPr="00574B03">
        <w:t>Sanfelici</w:t>
      </w:r>
      <w:proofErr w:type="spellEnd"/>
      <w:r w:rsidR="00574B03" w:rsidRPr="00574B03">
        <w:t xml:space="preserve">, 2023), which may not capture sudden market regime shifts, nonlinear </w:t>
      </w:r>
      <w:r w:rsidR="00352241" w:rsidRPr="00574B03">
        <w:t>behaviours</w:t>
      </w:r>
      <w:r w:rsidR="00574B03" w:rsidRPr="00574B03">
        <w:t>. This is especially true in emerging markets, where volatility is typically higher and market dynamics are less predictable.</w:t>
      </w:r>
    </w:p>
    <w:p w14:paraId="28E5C61F" w14:textId="722CDBD9" w:rsidR="009A3A51" w:rsidRDefault="00574B03" w:rsidP="009A3A51">
      <w:r>
        <w:t xml:space="preserve">A </w:t>
      </w:r>
      <w:r w:rsidR="002E0BD3">
        <w:t xml:space="preserve">recent </w:t>
      </w:r>
      <w:r>
        <w:t xml:space="preserve">study by Le (2024) examined the effectiveness of combining multiple </w:t>
      </w:r>
      <w:proofErr w:type="spellStart"/>
      <w:r>
        <w:t>VaR</w:t>
      </w:r>
      <w:proofErr w:type="spellEnd"/>
      <w:r>
        <w:t xml:space="preserve"> and ES forecasting models in the context of the Vietnamese stock market. The research found that </w:t>
      </w:r>
      <w:r w:rsidRPr="003012B6">
        <w:t>forecast combination techniques</w:t>
      </w:r>
      <w:r>
        <w:t>, such as weighted averaging of outputs from different models (e.g., GARCH</w:t>
      </w:r>
      <w:r w:rsidR="00356EEE">
        <w:t xml:space="preserve"> (</w:t>
      </w:r>
      <w:r w:rsidR="00356EEE" w:rsidRPr="00BA6232">
        <w:t>Bollerslev, 1986</w:t>
      </w:r>
      <w:r w:rsidR="00356EEE">
        <w:rPr>
          <w:sz w:val="20"/>
          <w:szCs w:val="20"/>
        </w:rPr>
        <w:t>)</w:t>
      </w:r>
      <w:r>
        <w:t xml:space="preserve">, </w:t>
      </w:r>
      <w:r w:rsidR="001E03E7">
        <w:t xml:space="preserve">and </w:t>
      </w:r>
      <w:proofErr w:type="spellStart"/>
      <w:r>
        <w:t>CAViaR</w:t>
      </w:r>
      <w:proofErr w:type="spellEnd"/>
      <w:r w:rsidR="00964BE1">
        <w:t xml:space="preserve"> (</w:t>
      </w:r>
      <w:r w:rsidR="00964BE1" w:rsidRPr="00BA6232">
        <w:t>Engle et al., 2004</w:t>
      </w:r>
      <w:r>
        <w:t xml:space="preserve">), </w:t>
      </w:r>
      <w:r w:rsidRPr="003012B6">
        <w:t>significantly improved the accuracy</w:t>
      </w:r>
      <w:r>
        <w:t xml:space="preserve"> and reliability of risk forecasts, especially during periods of high market volatility. The combined models showed better </w:t>
      </w:r>
      <w:r w:rsidR="00582C46">
        <w:t>back testing</w:t>
      </w:r>
      <w:r>
        <w:t xml:space="preserve"> performance and greater compliance with regulatory risk thresholds, compared to any single model </w:t>
      </w:r>
      <w:r w:rsidR="007E466B">
        <w:t>(Le, 2024)</w:t>
      </w:r>
      <w:r>
        <w:t>.</w:t>
      </w:r>
    </w:p>
    <w:p w14:paraId="6BAEFB04" w14:textId="225557B2" w:rsidR="00D8089C" w:rsidRDefault="00D8089C" w:rsidP="00D8089C">
      <w:pPr>
        <w:pStyle w:val="Heading3"/>
      </w:pPr>
      <w:bookmarkStart w:id="9" w:name="_Toc204515564"/>
      <w:r>
        <w:t>Lags</w:t>
      </w:r>
      <w:r w:rsidR="003A4EAB">
        <w:t xml:space="preserve"> Selection</w:t>
      </w:r>
      <w:bookmarkEnd w:id="9"/>
    </w:p>
    <w:p w14:paraId="56DF71EF" w14:textId="1540BF25" w:rsidR="00B42270" w:rsidRPr="00B42270" w:rsidRDefault="00B42270" w:rsidP="00B42270">
      <w:r w:rsidRPr="00B42270">
        <w:t xml:space="preserve">In time series analysis, lags </w:t>
      </w:r>
      <w:r w:rsidR="00E5162E">
        <w:t>involve using</w:t>
      </w:r>
      <w:r w:rsidRPr="00B42270">
        <w:t xml:space="preserve"> past </w:t>
      </w:r>
      <w:r w:rsidR="00E5162E">
        <w:t>data points</w:t>
      </w:r>
      <w:r w:rsidRPr="00B42270">
        <w:t xml:space="preserve"> </w:t>
      </w:r>
      <w:r w:rsidR="00E5162E">
        <w:t>to</w:t>
      </w:r>
      <w:r w:rsidRPr="00B42270">
        <w:t xml:space="preserve"> predict </w:t>
      </w:r>
      <w:r w:rsidR="00E5162E">
        <w:t>the</w:t>
      </w:r>
      <w:r w:rsidRPr="00B42270">
        <w:t xml:space="preserve"> future values. Specifically, a lagged variable is a prior value of the same variable, shifted backward in time by a specific number of time steps. The purpose of </w:t>
      </w:r>
      <w:r w:rsidR="006C7A10">
        <w:t xml:space="preserve">including </w:t>
      </w:r>
      <w:r w:rsidRPr="00B42270">
        <w:t xml:space="preserve">lags is to capture the temporal dependencies, persistence, or </w:t>
      </w:r>
      <w:r w:rsidR="006C7A10">
        <w:t>self-</w:t>
      </w:r>
      <w:r w:rsidRPr="00B42270">
        <w:t xml:space="preserve">correlation </w:t>
      </w:r>
      <w:r w:rsidR="006C7A10">
        <w:t xml:space="preserve">which commonly found </w:t>
      </w:r>
      <w:r w:rsidRPr="00B42270">
        <w:t xml:space="preserve">in sequential data such as </w:t>
      </w:r>
      <w:r w:rsidR="00D17FF4">
        <w:t>stock</w:t>
      </w:r>
      <w:r w:rsidRPr="00B42270">
        <w:t xml:space="preserve"> returns, volatility, or macroeconomic indicators (Box, Jenkins, &amp; Reinsel, 2008).</w:t>
      </w:r>
    </w:p>
    <w:p w14:paraId="67E62DD3" w14:textId="3F777B84" w:rsidR="00D8089C" w:rsidRPr="00D8089C" w:rsidRDefault="007646BF" w:rsidP="00D8089C">
      <w:r w:rsidRPr="007646BF">
        <w:t>The choice of how many</w:t>
      </w:r>
      <w:r w:rsidR="00ED79D3">
        <w:t xml:space="preserve"> lags</w:t>
      </w:r>
      <w:r w:rsidRPr="007646BF">
        <w:t xml:space="preserve"> to include directly impacts a model’s ability to capture relevant temporal dependencies. Parras-Gutiérrez et al. (2014) addressed this issue in the context of short-, medium-, and long-term time series forecasting using the L-Co-R algorithm, which incorporates a cooperative</w:t>
      </w:r>
      <w:r>
        <w:t>-</w:t>
      </w:r>
      <w:r w:rsidRPr="007646BF">
        <w:t xml:space="preserve">competitive evolutionary strategy to automatically select appropriate lags. Their approach revealed that lag structures </w:t>
      </w:r>
      <w:r w:rsidR="00E5188C" w:rsidRPr="007646BF">
        <w:t>reflect</w:t>
      </w:r>
      <w:r w:rsidRPr="007646BF">
        <w:t xml:space="preserve"> a broader challenge in time series </w:t>
      </w:r>
      <w:r w:rsidR="00526217" w:rsidRPr="007646BF">
        <w:t>modelling</w:t>
      </w:r>
      <w:r w:rsidRPr="007646BF">
        <w:t xml:space="preserve">: too few lags may underfit, missing important dependencies, while too many lags may lead to overfitting or increased computational complexity. The study emphasizes that adaptive or data-driven lag selection methods, such as genetic algorithms or information-theoretic criteria (e.g., </w:t>
      </w:r>
      <w:r w:rsidR="00FA1276" w:rsidRPr="00FA1276">
        <w:t xml:space="preserve">Akaike </w:t>
      </w:r>
      <w:r w:rsidR="00AA4BFE">
        <w:t>I</w:t>
      </w:r>
      <w:r w:rsidR="00FA1276" w:rsidRPr="00FA1276">
        <w:t xml:space="preserve">nformation </w:t>
      </w:r>
      <w:r w:rsidR="00AA4BFE">
        <w:t>C</w:t>
      </w:r>
      <w:r w:rsidR="00FA1276" w:rsidRPr="00FA1276">
        <w:t>riterion (AIC)</w:t>
      </w:r>
      <w:r w:rsidRPr="007646BF">
        <w:t>,</w:t>
      </w:r>
      <w:r w:rsidR="00AF347B">
        <w:t xml:space="preserve"> </w:t>
      </w:r>
      <w:r w:rsidR="00F85F65" w:rsidRPr="00F85F65">
        <w:t>Bayesian Information Criterion (BIC)</w:t>
      </w:r>
      <w:r w:rsidRPr="007646BF">
        <w:t>), can enhance model generalizability.</w:t>
      </w:r>
    </w:p>
    <w:p w14:paraId="4B0647B6" w14:textId="0111A4C5" w:rsidR="007105ED" w:rsidRDefault="007105ED" w:rsidP="007105ED">
      <w:pPr>
        <w:pStyle w:val="Heading3"/>
      </w:pPr>
      <w:bookmarkStart w:id="10" w:name="_Toc204515565"/>
      <w:r>
        <w:t>Rationale for Focusing on Index-Level Predictions</w:t>
      </w:r>
      <w:bookmarkEnd w:id="10"/>
    </w:p>
    <w:p w14:paraId="4D76CF83" w14:textId="4F248C80" w:rsidR="007105ED" w:rsidRDefault="00F92A86" w:rsidP="007105ED">
      <w:r w:rsidRPr="00F92A86">
        <w:t xml:space="preserve">Index-level models offer several advantages, including aggregation benefits that help reduce noise and </w:t>
      </w:r>
      <w:r>
        <w:t>unexpected</w:t>
      </w:r>
      <w:r w:rsidRPr="00F92A86">
        <w:t xml:space="preserve"> shocks from individual stocks. </w:t>
      </w:r>
      <w:r w:rsidR="00BC7E9F">
        <w:t>According to Park et al. (2024), the research</w:t>
      </w:r>
      <w:r w:rsidRPr="00F92A86">
        <w:t xml:space="preserve"> has shown that top-down index forecasts tend to be more accurate and informative than bottom-up aggregation of individual stock predictions, particularly for systemic risk assessmen</w:t>
      </w:r>
      <w:r w:rsidR="00B22851">
        <w:t>t</w:t>
      </w:r>
      <w:r w:rsidRPr="00F92A86">
        <w:t xml:space="preserve">. By concentrating on index-level sentiment and market volatility, the model can better capture macro-level signals that reflect </w:t>
      </w:r>
      <w:r w:rsidR="00590AB5">
        <w:t>wide-range</w:t>
      </w:r>
      <w:r w:rsidRPr="00F92A86">
        <w:t xml:space="preserve"> market conditions</w:t>
      </w:r>
      <w:r w:rsidR="003C6245">
        <w:t xml:space="preserve"> (Park et al., 2024)</w:t>
      </w:r>
      <w:r w:rsidRPr="00F92A86">
        <w:t>.</w:t>
      </w:r>
    </w:p>
    <w:p w14:paraId="70DDFD7C" w14:textId="26D7D913" w:rsidR="009A291A" w:rsidRDefault="009A291A" w:rsidP="009A291A">
      <w:pPr>
        <w:pStyle w:val="Heading3"/>
      </w:pPr>
      <w:bookmarkStart w:id="11" w:name="_Toc204515566"/>
      <w:r>
        <w:t>L</w:t>
      </w:r>
      <w:r w:rsidRPr="009A291A">
        <w:t>imitations in Crash Prediction</w:t>
      </w:r>
      <w:bookmarkEnd w:id="11"/>
    </w:p>
    <w:p w14:paraId="058A72B7" w14:textId="163B04E2" w:rsidR="009A291A" w:rsidRDefault="005B4F7E" w:rsidP="009A291A">
      <w:r>
        <w:t>A</w:t>
      </w:r>
      <w:r w:rsidR="009A291A">
        <w:t>s highlighted by Andreou</w:t>
      </w:r>
      <w:r>
        <w:t xml:space="preserve"> et al.</w:t>
      </w:r>
      <w:r w:rsidR="009A291A">
        <w:t xml:space="preserve"> (2019)</w:t>
      </w:r>
      <w:r>
        <w:t>, a</w:t>
      </w:r>
      <w:r w:rsidR="009A291A">
        <w:t xml:space="preserve"> major concern is the widespread reliance on annual distress risk measures, which may overlook short-term fluctuations that are more relevant to crash events. By using monthly data, the authors </w:t>
      </w:r>
      <w:r w:rsidR="009A291A">
        <w:lastRenderedPageBreak/>
        <w:t>demonstrate that short-term increases in distress risk significantly predict future crashes</w:t>
      </w:r>
      <w:r w:rsidR="00D519C4">
        <w:t>,</w:t>
      </w:r>
      <w:r w:rsidR="009A291A">
        <w:t xml:space="preserve"> </w:t>
      </w:r>
      <w:r w:rsidR="00D519C4">
        <w:t xml:space="preserve">which </w:t>
      </w:r>
      <w:r w:rsidR="009A291A">
        <w:t xml:space="preserve">earlier studies likely missed due to insufficient temporal resolution. </w:t>
      </w:r>
      <w:r w:rsidR="00FF4A47" w:rsidRPr="00FF4A47">
        <w:t>Another key limitation is the lack of proper treatment for endogeneity, including reverse causality and missing variable bias, which the authors address through instrumental variable methods and a quasi-experimental design using the Sarbanes–Oxley Act</w:t>
      </w:r>
      <w:r w:rsidR="00AF70CC">
        <w:t xml:space="preserve"> of 2002</w:t>
      </w:r>
      <w:r w:rsidR="00396910">
        <w:t xml:space="preserve"> (Lander, 2002)</w:t>
      </w:r>
      <w:r w:rsidR="00FF4A47" w:rsidRPr="00FF4A47">
        <w:t>.</w:t>
      </w:r>
    </w:p>
    <w:p w14:paraId="37A238B2" w14:textId="6558EE6F" w:rsidR="009A291A" w:rsidRDefault="004B405E" w:rsidP="009A291A">
      <w:r w:rsidRPr="004B405E">
        <w:t>The literature also falls short in explaining the basic mechanisms of crash risk, particularly the role of managers hiding bad news during difficult periods. While financial opacity and information gaps have been recognized, their interaction with distress risk has rarely been tested in practice. Moreover, crash risk is often undervalued in real-world situations, despite being non-diversifiable</w:t>
      </w:r>
      <w:r>
        <w:t xml:space="preserve">, </w:t>
      </w:r>
      <w:r w:rsidRPr="004B405E">
        <w:t>a crucial difference from volatility risk that poses significant threats especially to poorly diversified retail investors</w:t>
      </w:r>
      <w:r w:rsidR="009A291A">
        <w:t xml:space="preserve">. The limited attention to earnings smoothing strategies and </w:t>
      </w:r>
      <w:r w:rsidRPr="004B405E">
        <w:t>unclear financial reporting</w:t>
      </w:r>
      <w:r>
        <w:t xml:space="preserve"> </w:t>
      </w:r>
      <w:r w:rsidR="009A291A">
        <w:t>further weakens the explanatory power of many models</w:t>
      </w:r>
      <w:r w:rsidR="00DF2A88">
        <w:t xml:space="preserve"> </w:t>
      </w:r>
      <w:r w:rsidR="00782B14">
        <w:t>(Andreou et al., 2019)</w:t>
      </w:r>
      <w:r w:rsidR="00661FFA" w:rsidRPr="00661FFA">
        <w:t>.</w:t>
      </w:r>
    </w:p>
    <w:p w14:paraId="4FD78441" w14:textId="5F014798" w:rsidR="00933CD9" w:rsidRPr="00991ADD" w:rsidRDefault="00E0335B" w:rsidP="00933CD9">
      <w:pPr>
        <w:pStyle w:val="Heading2"/>
      </w:pPr>
      <w:bookmarkStart w:id="12" w:name="_Toc204515567"/>
      <w:r>
        <w:t>Research Objectives</w:t>
      </w:r>
      <w:bookmarkEnd w:id="12"/>
    </w:p>
    <w:p w14:paraId="2A92161B" w14:textId="26FF6041" w:rsidR="00E0335B" w:rsidRDefault="00AD5149" w:rsidP="00E0335B">
      <w:r w:rsidRPr="00AD5149">
        <w:t xml:space="preserve">The goal of this project is to assess the following </w:t>
      </w:r>
      <w:r>
        <w:t>objectives</w:t>
      </w:r>
      <w:r w:rsidR="00E0335B">
        <w:t>:</w:t>
      </w:r>
    </w:p>
    <w:p w14:paraId="57ECD91A" w14:textId="7565D340" w:rsidR="00933CD9" w:rsidRDefault="00ED70E6" w:rsidP="00ED70E6">
      <w:pPr>
        <w:pStyle w:val="ListParagraph"/>
        <w:numPr>
          <w:ilvl w:val="0"/>
          <w:numId w:val="39"/>
        </w:numPr>
      </w:pPr>
      <w:r w:rsidRPr="00ED70E6">
        <w:t>To investigate the contribution of both market-based and sentiment-based volatility indicators to financial crash prediction by evaluating their feature importance</w:t>
      </w:r>
      <w:r w:rsidR="00933CD9">
        <w:t>.</w:t>
      </w:r>
    </w:p>
    <w:p w14:paraId="68FEE2A1" w14:textId="104D4DE9" w:rsidR="00933CD9" w:rsidRDefault="00933CD9" w:rsidP="00933CD9">
      <w:pPr>
        <w:pStyle w:val="ListParagraph"/>
        <w:numPr>
          <w:ilvl w:val="0"/>
          <w:numId w:val="39"/>
        </w:numPr>
      </w:pPr>
      <w:r w:rsidRPr="005F1A9F">
        <w:t>To develop a dynamic modelling framework</w:t>
      </w:r>
      <w:r>
        <w:t xml:space="preserve"> to capture the evolving relationship between sentiment-driven and market-based volatility indicators.</w:t>
      </w:r>
    </w:p>
    <w:p w14:paraId="3166B7A0" w14:textId="4A9190F5" w:rsidR="00933CD9" w:rsidRDefault="00933CD9" w:rsidP="00933CD9">
      <w:pPr>
        <w:pStyle w:val="ListParagraph"/>
        <w:numPr>
          <w:ilvl w:val="0"/>
          <w:numId w:val="39"/>
        </w:numPr>
      </w:pPr>
      <w:r w:rsidRPr="005F1A9F">
        <w:t>To evaluate and compare</w:t>
      </w:r>
      <w:r>
        <w:t xml:space="preserve"> the predictive performance of the proposed dynamic </w:t>
      </w:r>
      <w:r w:rsidR="00192A7A">
        <w:t>early warning system</w:t>
      </w:r>
      <w:r>
        <w:t xml:space="preserve"> against traditional static statistical models, with a particular focus on assessing the added value of sentiment-based inputs.</w:t>
      </w:r>
    </w:p>
    <w:p w14:paraId="5CE144BE" w14:textId="0D576608" w:rsidR="00E0335B" w:rsidRDefault="00933CD9" w:rsidP="00933CD9">
      <w:pPr>
        <w:pStyle w:val="ListParagraph"/>
        <w:numPr>
          <w:ilvl w:val="0"/>
          <w:numId w:val="39"/>
        </w:numPr>
      </w:pPr>
      <w:r w:rsidRPr="005F1A9F">
        <w:t>To validate the robustness</w:t>
      </w:r>
      <w:r>
        <w:t xml:space="preserve"> and generalizability of the developed model across different market environments and historical crisis periods</w:t>
      </w:r>
      <w:r w:rsidR="00FF218E">
        <w:t>.</w:t>
      </w:r>
    </w:p>
    <w:p w14:paraId="1C95DBD9" w14:textId="5C36102E" w:rsidR="00D214F0" w:rsidRDefault="00A4256F" w:rsidP="00A4256F">
      <w:pPr>
        <w:pStyle w:val="Heading2"/>
      </w:pPr>
      <w:bookmarkStart w:id="13" w:name="_Toc204515568"/>
      <w:r>
        <w:t>Research Questions</w:t>
      </w:r>
      <w:bookmarkEnd w:id="13"/>
    </w:p>
    <w:p w14:paraId="7A8C77D2" w14:textId="33D9F044" w:rsidR="00991ADD" w:rsidRDefault="00991ADD" w:rsidP="00991ADD">
      <w:r>
        <w:t>Based on the stated objectives, this study seeks to answer the following key research questions:</w:t>
      </w:r>
    </w:p>
    <w:p w14:paraId="4103A96E" w14:textId="77777777" w:rsidR="00991ADD" w:rsidRDefault="00991ADD" w:rsidP="00991ADD">
      <w:pPr>
        <w:pStyle w:val="ListParagraph"/>
        <w:numPr>
          <w:ilvl w:val="0"/>
          <w:numId w:val="42"/>
        </w:numPr>
      </w:pPr>
      <w:r>
        <w:t>How do market-based and sentiment-based volatility indicators individually and jointly relate to the timing and occurrence of past financial crashes at the index level?</w:t>
      </w:r>
    </w:p>
    <w:p w14:paraId="3267FA2F" w14:textId="119231F1" w:rsidR="00991ADD" w:rsidRDefault="00991ADD" w:rsidP="00991ADD">
      <w:pPr>
        <w:pStyle w:val="ListParagraph"/>
        <w:numPr>
          <w:ilvl w:val="0"/>
          <w:numId w:val="42"/>
        </w:numPr>
      </w:pPr>
      <w:r>
        <w:t>Can a dynamic early warning system outperform traditional static models in predicting financial market crashes?</w:t>
      </w:r>
    </w:p>
    <w:p w14:paraId="4ABA7878" w14:textId="10542216" w:rsidR="00991ADD" w:rsidRDefault="00991ADD" w:rsidP="00991ADD">
      <w:pPr>
        <w:pStyle w:val="ListParagraph"/>
        <w:numPr>
          <w:ilvl w:val="0"/>
          <w:numId w:val="42"/>
        </w:numPr>
      </w:pPr>
      <w:r>
        <w:t>To what extent does sentiment volatility enhance the performance of early warning models compared to using market-based indicators alone?</w:t>
      </w:r>
    </w:p>
    <w:p w14:paraId="30B25204" w14:textId="64F8D1F7" w:rsidR="00D21090" w:rsidRDefault="00991ADD" w:rsidP="00D22E00">
      <w:pPr>
        <w:pStyle w:val="ListParagraph"/>
        <w:numPr>
          <w:ilvl w:val="0"/>
          <w:numId w:val="42"/>
        </w:numPr>
      </w:pPr>
      <w:r>
        <w:t xml:space="preserve">Is the proposed dynamic </w:t>
      </w:r>
      <w:r w:rsidR="009936E9">
        <w:t>early warning system</w:t>
      </w:r>
      <w:r>
        <w:t xml:space="preserve"> model robust and generalizable across different market conditions and historical crisis periods?</w:t>
      </w:r>
    </w:p>
    <w:bookmarkEnd w:id="4"/>
    <w:p w14:paraId="30EE3BC4" w14:textId="77777777" w:rsidR="00EC6EBE" w:rsidRPr="007C0AB9" w:rsidRDefault="00EC6EBE" w:rsidP="00EC6EBE"/>
    <w:p w14:paraId="2AFDCCA7" w14:textId="29A8CD9C" w:rsidR="008B6CA7" w:rsidRPr="007C0AB9" w:rsidRDefault="00EB5245" w:rsidP="00F72F7C">
      <w:pPr>
        <w:pStyle w:val="Heading1"/>
      </w:pPr>
      <w:bookmarkStart w:id="14" w:name="_Toc204515569"/>
      <w:r>
        <w:lastRenderedPageBreak/>
        <w:t>Design and Implementation</w:t>
      </w:r>
      <w:bookmarkEnd w:id="14"/>
    </w:p>
    <w:p w14:paraId="5503C140" w14:textId="2AE6AA79" w:rsidR="00686C74" w:rsidRDefault="00686C74" w:rsidP="00686C74">
      <w:pPr>
        <w:pStyle w:val="Heading2"/>
      </w:pPr>
      <w:bookmarkStart w:id="15" w:name="_Toc204515570"/>
      <w:r>
        <w:t>Data Collection and Prep</w:t>
      </w:r>
      <w:r w:rsidR="009D3525">
        <w:t>rocessing</w:t>
      </w:r>
      <w:bookmarkEnd w:id="15"/>
    </w:p>
    <w:p w14:paraId="5AE324CB" w14:textId="40DBBF4C" w:rsidR="00463C2A" w:rsidRDefault="00463C2A" w:rsidP="00463C2A">
      <w:r>
        <w:t>For this study, the dataset S&amp;P 500 with Financial News Headlines (2008-2024)</w:t>
      </w:r>
      <w:r w:rsidR="008116D3">
        <w:rPr>
          <w:rStyle w:val="FootnoteReference"/>
        </w:rPr>
        <w:footnoteReference w:id="2"/>
      </w:r>
      <w:r>
        <w:t xml:space="preserve"> was utilized, which is publicly available on Kaggle. This dataset combines daily S&amp;P 500 stock market data with corresponding financial news headlines, enabling the analysis of market </w:t>
      </w:r>
      <w:r w:rsidR="00EC6EBE">
        <w:t>behaviour</w:t>
      </w:r>
      <w:r>
        <w:t xml:space="preserve"> alongside sentiment-driven news information.</w:t>
      </w:r>
      <w:r w:rsidR="00EC6EBE">
        <w:t xml:space="preserve"> </w:t>
      </w:r>
      <w:r>
        <w:t>The dataset covers the period from August 2008 through 2024, providing a comprehensive view of the S&amp;P 500's price movements along with market-relevant news during this period.</w:t>
      </w:r>
    </w:p>
    <w:p w14:paraId="57075CE2" w14:textId="77777777" w:rsidR="00463C2A" w:rsidRDefault="00463C2A" w:rsidP="00463C2A">
      <w:pPr>
        <w:pStyle w:val="Heading3"/>
      </w:pPr>
      <w:bookmarkStart w:id="16" w:name="_Toc204515571"/>
      <w:r>
        <w:t>Dataset Structure and Columns</w:t>
      </w:r>
      <w:bookmarkEnd w:id="16"/>
    </w:p>
    <w:p w14:paraId="55171274" w14:textId="77777777" w:rsidR="00463C2A" w:rsidRDefault="00463C2A" w:rsidP="00463C2A">
      <w:r>
        <w:t>The dataset consists of multiple columns, which can be broadly categorized into market data and news headlines:</w:t>
      </w:r>
    </w:p>
    <w:p w14:paraId="331B3388" w14:textId="3594C34C" w:rsidR="002260D9" w:rsidRDefault="002260D9" w:rsidP="002260D9">
      <w:pPr>
        <w:pStyle w:val="ListParagraph"/>
        <w:numPr>
          <w:ilvl w:val="0"/>
          <w:numId w:val="44"/>
        </w:numPr>
      </w:pPr>
      <w:r>
        <w:t>Title: This column includes the financial news headline(s) published on the respective trading date. These headlines reflect the key news events, market sentiments, or significant announcements that could potentially influence investor behaviour and market movements.</w:t>
      </w:r>
    </w:p>
    <w:p w14:paraId="575C2249" w14:textId="05E16638" w:rsidR="00463C2A" w:rsidRDefault="00463C2A" w:rsidP="002260D9">
      <w:pPr>
        <w:pStyle w:val="ListParagraph"/>
        <w:numPr>
          <w:ilvl w:val="0"/>
          <w:numId w:val="44"/>
        </w:numPr>
      </w:pPr>
      <w:r>
        <w:t xml:space="preserve">Date: This column records the trading date in the format YYYY-MM-DD. It corresponds to the actual days when the S&amp;P 500 market was </w:t>
      </w:r>
      <w:r w:rsidR="00EC6EBE">
        <w:t>open,</w:t>
      </w:r>
      <w:r>
        <w:t xml:space="preserve"> and trading took place.</w:t>
      </w:r>
    </w:p>
    <w:p w14:paraId="7DE00C80" w14:textId="40F783A0" w:rsidR="00463C2A" w:rsidRDefault="00463C2A" w:rsidP="00463C2A">
      <w:pPr>
        <w:pStyle w:val="ListParagraph"/>
        <w:numPr>
          <w:ilvl w:val="0"/>
          <w:numId w:val="44"/>
        </w:numPr>
      </w:pPr>
      <w:r>
        <w:t>C</w:t>
      </w:r>
      <w:r w:rsidR="00B3624E">
        <w:t>P</w:t>
      </w:r>
      <w:r>
        <w:t>: This column provides the closing price of the S&amp;P 500 index on the given trading date</w:t>
      </w:r>
      <w:r w:rsidR="00EC6EBE">
        <w:t>,</w:t>
      </w:r>
      <w:r>
        <w:t xml:space="preserve"> representing the final price at which the index traded on that day</w:t>
      </w:r>
      <w:r w:rsidR="00EC6EBE">
        <w:t>.</w:t>
      </w:r>
    </w:p>
    <w:p w14:paraId="0F3445F5" w14:textId="7B793E0E" w:rsidR="00322351" w:rsidRDefault="00322351" w:rsidP="00322351">
      <w:pPr>
        <w:pStyle w:val="Heading3"/>
      </w:pPr>
      <w:bookmarkStart w:id="17" w:name="_Toc204515572"/>
      <w:r>
        <w:t>Labelling Crash Events</w:t>
      </w:r>
      <w:bookmarkEnd w:id="17"/>
    </w:p>
    <w:p w14:paraId="62226425" w14:textId="2349A4D5" w:rsidR="00322351" w:rsidRDefault="00322351" w:rsidP="00322351">
      <w:r w:rsidRPr="00322351">
        <w:t>To identify potential future market crashes within the dataset, we introduce a labelling method that flags whether a significant drop in the S&amp;P 500 closing price occurs within a defined future period. This approach allows us to create a binary target variable indicating the presence or absence of a market crash after a given trading day.</w:t>
      </w:r>
    </w:p>
    <w:p w14:paraId="255BB97B" w14:textId="552E4ABD" w:rsidR="001D6245" w:rsidRDefault="001D6245" w:rsidP="001D6245">
      <w:r>
        <w:t>The key parameters in this labelling process are:</w:t>
      </w:r>
    </w:p>
    <w:p w14:paraId="7A7BB02A" w14:textId="69BA3404" w:rsidR="001D6245" w:rsidRDefault="001D6245" w:rsidP="001D6245">
      <w:pPr>
        <w:pStyle w:val="ListParagraph"/>
        <w:numPr>
          <w:ilvl w:val="0"/>
          <w:numId w:val="45"/>
        </w:numPr>
      </w:pPr>
      <w:r>
        <w:t xml:space="preserve">Look-ahead period: The number of trading days into the future over which we examine the price drop. Given approximately </w:t>
      </w:r>
      <w:r w:rsidR="007D4C28">
        <w:t>132</w:t>
      </w:r>
      <w:r>
        <w:t xml:space="preserve"> trading days in a year, this value is set to </w:t>
      </w:r>
      <w:r w:rsidR="007D4C28">
        <w:t>13</w:t>
      </w:r>
      <w:r>
        <w:t xml:space="preserve">2 to </w:t>
      </w:r>
      <w:r w:rsidR="00133BF2">
        <w:t>analyse</w:t>
      </w:r>
      <w:r>
        <w:t xml:space="preserve"> a </w:t>
      </w:r>
      <w:r w:rsidR="007D4C28">
        <w:t>half</w:t>
      </w:r>
      <w:r>
        <w:t>-year ahead horizon.</w:t>
      </w:r>
    </w:p>
    <w:p w14:paraId="35BF727A" w14:textId="4342BAEE" w:rsidR="001D6245" w:rsidRDefault="001D6245" w:rsidP="001D6245">
      <w:pPr>
        <w:pStyle w:val="ListParagraph"/>
        <w:numPr>
          <w:ilvl w:val="0"/>
          <w:numId w:val="45"/>
        </w:numPr>
      </w:pPr>
      <w:r>
        <w:t xml:space="preserve">Drop threshold: The fractional threshold that defines a crash. If the future closing price drops below this fraction of the current closing price, a crash is </w:t>
      </w:r>
      <w:r w:rsidR="00133BF2">
        <w:t>labelled</w:t>
      </w:r>
      <w:r>
        <w:t>. For example, a threshold of 0.9 corresponds to a 10% decline.</w:t>
      </w:r>
    </w:p>
    <w:p w14:paraId="2F34E77A" w14:textId="05BF08CE" w:rsidR="0033396C" w:rsidRDefault="00BE6F54" w:rsidP="009D3525">
      <w:pPr>
        <w:pStyle w:val="Heading3"/>
      </w:pPr>
      <w:bookmarkStart w:id="18" w:name="_Toc204515573"/>
      <w:r>
        <w:t xml:space="preserve">Data Splitting and </w:t>
      </w:r>
      <w:r w:rsidR="007A55F8" w:rsidRPr="007A55F8">
        <w:t>Class Imbalance</w:t>
      </w:r>
      <w:r w:rsidR="00C41707">
        <w:t xml:space="preserve"> Handling</w:t>
      </w:r>
      <w:bookmarkEnd w:id="18"/>
    </w:p>
    <w:p w14:paraId="107C71C6" w14:textId="77777777" w:rsidR="001A7B75" w:rsidRDefault="00155D49" w:rsidP="00F71424">
      <w:r w:rsidRPr="00155D49">
        <w:t xml:space="preserve">The dataset was divided into training and testing portions using a time-based approach to maintain proper temporal sequence and prevent information leakage. </w:t>
      </w:r>
      <w:r w:rsidRPr="004019BE">
        <w:lastRenderedPageBreak/>
        <w:t xml:space="preserve">Data collected from </w:t>
      </w:r>
      <w:r w:rsidR="005650F0" w:rsidRPr="004019BE">
        <w:t>02/01/2008</w:t>
      </w:r>
      <w:r w:rsidRPr="004019BE">
        <w:t xml:space="preserve"> to</w:t>
      </w:r>
      <w:r w:rsidR="005650F0" w:rsidRPr="004019BE">
        <w:t xml:space="preserve"> 31/12/2021</w:t>
      </w:r>
      <w:r w:rsidRPr="004019BE">
        <w:t xml:space="preserve"> formed the training dataset, while </w:t>
      </w:r>
      <w:r w:rsidR="00147298" w:rsidRPr="004019BE">
        <w:t>data</w:t>
      </w:r>
      <w:r w:rsidRPr="004019BE">
        <w:t xml:space="preserve"> from </w:t>
      </w:r>
      <w:r w:rsidR="005650F0" w:rsidRPr="004019BE">
        <w:t xml:space="preserve">01/01/2022 to 04/03/2024 </w:t>
      </w:r>
      <w:r w:rsidRPr="004019BE">
        <w:t xml:space="preserve">constituted the test dataset. </w:t>
      </w:r>
      <w:r w:rsidR="00AA7409">
        <w:t>Training d</w:t>
      </w:r>
      <w:r w:rsidR="00F71424">
        <w:t xml:space="preserve">ata points comprised 2,969 instances, representing 84.66% of the total dataset, while 538 data points (15.34%) were recorded </w:t>
      </w:r>
      <w:r w:rsidR="00AA7409">
        <w:t>for testing</w:t>
      </w:r>
      <w:r w:rsidR="00F71424">
        <w:t xml:space="preserve">. </w:t>
      </w:r>
    </w:p>
    <w:p w14:paraId="3741BEF7" w14:textId="11256644" w:rsidR="004B71D9" w:rsidRPr="00F71424" w:rsidRDefault="00F71424" w:rsidP="00F71424">
      <w:r>
        <w:t xml:space="preserve">In terms of event occurrence, there were 163 crashes before 2022 and 43 crashes after 2022. This corresponds to 79.13% of crashes occurring in the earlier subset and 20.87% in the later subset. </w:t>
      </w:r>
    </w:p>
    <w:p w14:paraId="5C0B5B56" w14:textId="6D8116F0" w:rsidR="00BB5179" w:rsidRDefault="00BB5179" w:rsidP="0033396C">
      <w:r w:rsidRPr="00F71424">
        <w:t xml:space="preserve">In addition, </w:t>
      </w:r>
      <w:r w:rsidR="00A837B6" w:rsidRPr="00F71424">
        <w:t>t</w:t>
      </w:r>
      <w:r w:rsidRPr="00F71424">
        <w:t xml:space="preserve">o mitigate </w:t>
      </w:r>
      <w:r w:rsidR="00A837B6" w:rsidRPr="00F71424">
        <w:t>the highly imbalanced</w:t>
      </w:r>
      <w:r w:rsidRPr="00F71424">
        <w:t xml:space="preserve"> issue</w:t>
      </w:r>
      <w:r w:rsidR="00A837B6" w:rsidRPr="00F71424">
        <w:t xml:space="preserve"> with only </w:t>
      </w:r>
      <w:r w:rsidR="00F71424">
        <w:t>5.87</w:t>
      </w:r>
      <w:r w:rsidR="00A837B6" w:rsidRPr="00F71424">
        <w:t>% of crash instances</w:t>
      </w:r>
      <w:r w:rsidR="001A7B75">
        <w:t xml:space="preserve">, which is 206 crashes </w:t>
      </w:r>
      <w:r w:rsidR="003F5784">
        <w:t>from</w:t>
      </w:r>
      <w:r w:rsidR="001A7B75">
        <w:t xml:space="preserve"> </w:t>
      </w:r>
      <w:r w:rsidR="003F5784">
        <w:t>all instances</w:t>
      </w:r>
      <w:r w:rsidRPr="00F71424">
        <w:t>, we apply the Synthetic Minority Over-sampling Technique (SMOTE)</w:t>
      </w:r>
      <w:r w:rsidR="00C32A20" w:rsidRPr="00F71424">
        <w:t xml:space="preserve"> from imbalanced learn package</w:t>
      </w:r>
      <w:r w:rsidR="00E7340B" w:rsidRPr="00F71424">
        <w:rPr>
          <w:rStyle w:val="FootnoteReference"/>
        </w:rPr>
        <w:footnoteReference w:id="3"/>
      </w:r>
      <w:r w:rsidRPr="00F71424">
        <w:t>, a widely used resampling method that generates synthetic examples of the minority class based on feature space similarities between existing minority instances (Chawla et al., 2002). By interpolating new samples rather than simply duplicating existing ones, SMOTE improves the generalizability of the model and helps it learn decision boundaries that are more representative of both classes (</w:t>
      </w:r>
      <w:proofErr w:type="spellStart"/>
      <w:r w:rsidRPr="00F71424">
        <w:t>Budhidharma</w:t>
      </w:r>
      <w:proofErr w:type="spellEnd"/>
      <w:r w:rsidRPr="00F71424">
        <w:t xml:space="preserve"> et al., 2023).</w:t>
      </w:r>
    </w:p>
    <w:p w14:paraId="62EB6A60" w14:textId="650976B8" w:rsidR="00B57362" w:rsidRDefault="00B57362" w:rsidP="00B57362">
      <w:pPr>
        <w:pStyle w:val="Heading3"/>
      </w:pPr>
      <w:r>
        <w:t>Market Volatility</w:t>
      </w:r>
    </w:p>
    <w:p w14:paraId="1126A283" w14:textId="77777777" w:rsidR="00B57362" w:rsidRPr="0079223B" w:rsidRDefault="00B57362" w:rsidP="00B57362">
      <w:pPr>
        <w:rPr>
          <w:lang w:val="en-US"/>
        </w:rPr>
      </w:pPr>
      <w:r w:rsidRPr="0079223B">
        <w:rPr>
          <w:lang w:val="en-US"/>
        </w:rPr>
        <w:t xml:space="preserve">To capture the market’s price variability over different time horizons, we calculate the n-day market volatility </w:t>
      </w:r>
      <m:oMath>
        <m:sSubSup>
          <m:sSubSupPr>
            <m:ctrlPr>
              <w:rPr>
                <w:rFonts w:ascii="Cambria Math" w:hAnsi="Cambria Math"/>
                <w:i/>
                <w:lang w:val="en-US"/>
              </w:rPr>
            </m:ctrlPr>
          </m:sSubSupPr>
          <m:e>
            <m:r>
              <w:rPr>
                <w:rFonts w:ascii="Cambria Math" w:hAnsi="Cambria Math"/>
                <w:lang w:val="en-US"/>
              </w:rPr>
              <m:t>MV</m:t>
            </m:r>
          </m:e>
          <m:sub>
            <m:r>
              <w:rPr>
                <w:rFonts w:ascii="Cambria Math" w:hAnsi="Cambria Math"/>
                <w:lang w:val="en-US"/>
              </w:rPr>
              <m:t>t</m:t>
            </m:r>
          </m:sub>
          <m:sup>
            <m:r>
              <w:rPr>
                <w:rFonts w:ascii="Cambria Math" w:hAnsi="Cambria Math"/>
                <w:lang w:val="en-US"/>
              </w:rPr>
              <m:t>(n)</m:t>
            </m:r>
          </m:sup>
        </m:sSubSup>
      </m:oMath>
      <w:r w:rsidRPr="0079223B">
        <w:rPr>
          <w:lang w:val="en-US"/>
        </w:rPr>
        <w:t xml:space="preserve"> based on the rolling standard deviation of daily returns scaled by the square root of the window length</w:t>
      </w:r>
      <w:r>
        <w:rPr>
          <w:lang w:val="en-US"/>
        </w:rPr>
        <w:t xml:space="preserve"> </w:t>
      </w:r>
      <m:oMath>
        <m:r>
          <w:rPr>
            <w:rFonts w:ascii="Cambria Math" w:hAnsi="Cambria Math"/>
            <w:lang w:val="en-US"/>
          </w:rPr>
          <m:t>n</m:t>
        </m:r>
      </m:oMath>
      <w:r>
        <w:rPr>
          <w:lang w:val="en-US"/>
        </w:rPr>
        <w:t xml:space="preserve">. </w:t>
      </w:r>
      <w:r w:rsidRPr="0079223B">
        <w:rPr>
          <w:lang w:val="en-US"/>
        </w:rPr>
        <w:t>This scaling converts the volatility estimate to the</w:t>
      </w:r>
      <w:r>
        <w:rPr>
          <w:lang w:val="en-US"/>
        </w:rPr>
        <w:t xml:space="preserve"> </w:t>
      </w:r>
      <m:oMath>
        <m:r>
          <w:rPr>
            <w:rFonts w:ascii="Cambria Math" w:hAnsi="Cambria Math"/>
            <w:lang w:val="en-US"/>
          </w:rPr>
          <m:t>n</m:t>
        </m:r>
      </m:oMath>
      <w:r w:rsidRPr="0079223B">
        <w:rPr>
          <w:lang w:val="en-US"/>
        </w:rPr>
        <w:t>-day horizon, assuming returns are independent and identically distributed.</w:t>
      </w:r>
    </w:p>
    <w:p w14:paraId="12354925" w14:textId="77777777" w:rsidR="00B57362" w:rsidRDefault="00B57362" w:rsidP="00B57362">
      <w:pPr>
        <w:rPr>
          <w:lang w:val="en-US"/>
        </w:rPr>
      </w:pPr>
      <w:r w:rsidRPr="0079223B">
        <w:rPr>
          <w:lang w:val="en-US"/>
        </w:rPr>
        <w:t xml:space="preserve">Given daily returns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t</m:t>
            </m:r>
          </m:sub>
        </m:sSub>
      </m:oMath>
      <w:r>
        <w:rPr>
          <w:lang w:val="en-US"/>
        </w:rPr>
        <w:t xml:space="preserve"> </w:t>
      </w:r>
      <w:r w:rsidRPr="0079223B">
        <w:rPr>
          <w:lang w:val="en-US"/>
        </w:rPr>
        <w:t>calculated as the percentage change in closing prices</w:t>
      </w:r>
      <w:r>
        <w:rPr>
          <w:lang w:val="en-US"/>
        </w:rPr>
        <w:t xml:space="preserve"> </w:t>
      </w:r>
      <m:oMath>
        <m:sSub>
          <m:sSubPr>
            <m:ctrlPr>
              <w:rPr>
                <w:rFonts w:ascii="Cambria Math" w:hAnsi="Cambria Math"/>
                <w:i/>
                <w:lang w:val="en-US"/>
              </w:rPr>
            </m:ctrlPr>
          </m:sSubPr>
          <m:e>
            <m:r>
              <w:rPr>
                <w:rFonts w:ascii="Cambria Math" w:hAnsi="Cambria Math"/>
                <w:lang w:val="en-US"/>
              </w:rPr>
              <m:t>CP</m:t>
            </m:r>
          </m:e>
          <m:sub>
            <m:r>
              <w:rPr>
                <w:rFonts w:ascii="Cambria Math" w:hAnsi="Cambria Math"/>
                <w:lang w:val="en-US"/>
              </w:rPr>
              <m:t>t</m:t>
            </m:r>
          </m:sub>
        </m:sSub>
      </m:oMath>
      <w:r w:rsidRPr="0079223B">
        <w:rPr>
          <w:lang w:val="en-US"/>
        </w:rPr>
        <w:t>:</w:t>
      </w:r>
    </w:p>
    <w:p w14:paraId="2143C3D8" w14:textId="77777777" w:rsidR="00B57362" w:rsidRPr="009E1693" w:rsidRDefault="00000000" w:rsidP="00B57362">
      <w:pPr>
        <w:rPr>
          <w:lang w:val="en-US"/>
        </w:rPr>
      </w:pPr>
      <m:oMathPara>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t</m:t>
              </m:r>
            </m:sub>
          </m:sSub>
          <m:r>
            <w:rPr>
              <w:rFonts w:ascii="Cambria Math" w:hAnsi="Cambria Math"/>
              <w:lang w:val="en-US"/>
            </w:rPr>
            <m:t xml:space="preserve">= </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CP</m:t>
                  </m:r>
                </m:e>
                <m:sub>
                  <m:r>
                    <w:rPr>
                      <w:rFonts w:ascii="Cambria Math" w:hAnsi="Cambria Math"/>
                      <w:lang w:val="en-US"/>
                    </w:rPr>
                    <m:t>t</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CP</m:t>
                  </m:r>
                </m:e>
                <m:sub>
                  <m:r>
                    <w:rPr>
                      <w:rFonts w:ascii="Cambria Math" w:hAnsi="Cambria Math"/>
                      <w:lang w:val="en-US"/>
                    </w:rPr>
                    <m:t>t-1</m:t>
                  </m:r>
                </m:sub>
              </m:sSub>
            </m:num>
            <m:den>
              <m:sSub>
                <m:sSubPr>
                  <m:ctrlPr>
                    <w:rPr>
                      <w:rFonts w:ascii="Cambria Math" w:hAnsi="Cambria Math"/>
                      <w:i/>
                      <w:lang w:val="en-US"/>
                    </w:rPr>
                  </m:ctrlPr>
                </m:sSubPr>
                <m:e>
                  <m:r>
                    <w:rPr>
                      <w:rFonts w:ascii="Cambria Math" w:hAnsi="Cambria Math"/>
                      <w:lang w:val="en-US"/>
                    </w:rPr>
                    <m:t>CP</m:t>
                  </m:r>
                </m:e>
                <m:sub>
                  <m:r>
                    <w:rPr>
                      <w:rFonts w:ascii="Cambria Math" w:hAnsi="Cambria Math"/>
                      <w:lang w:val="en-US"/>
                    </w:rPr>
                    <m:t>t-1</m:t>
                  </m:r>
                </m:sub>
              </m:sSub>
            </m:den>
          </m:f>
          <m:r>
            <w:rPr>
              <w:rFonts w:ascii="Cambria Math" w:hAnsi="Cambria Math"/>
              <w:lang w:val="en-US"/>
            </w:rPr>
            <m:t xml:space="preserve"> ×100</m:t>
          </m:r>
        </m:oMath>
      </m:oMathPara>
    </w:p>
    <w:p w14:paraId="3FBD002C" w14:textId="174FC324" w:rsidR="00B57362" w:rsidRDefault="00B57362" w:rsidP="00B57362">
      <w:pPr>
        <w:rPr>
          <w:lang w:val="en-US"/>
        </w:rPr>
      </w:pPr>
      <w:r w:rsidRPr="00D20635">
        <w:rPr>
          <w:lang w:val="en-US"/>
        </w:rPr>
        <w:t>Market volatility is typically computed from returns, which are often modeled as a random walk or a Brownian motion</w:t>
      </w:r>
      <w:r w:rsidR="004B2E5B">
        <w:rPr>
          <w:lang w:val="en-US"/>
        </w:rPr>
        <w:t xml:space="preserve"> </w:t>
      </w:r>
      <w:r w:rsidR="006161F3">
        <w:rPr>
          <w:lang w:val="en-US"/>
        </w:rPr>
        <w:t>(</w:t>
      </w:r>
      <w:r w:rsidR="006161F3" w:rsidRPr="002B35C0">
        <w:t>Osborne, 1959</w:t>
      </w:r>
      <w:r w:rsidR="006161F3">
        <w:rPr>
          <w:lang w:val="en-US"/>
        </w:rPr>
        <w:t>)</w:t>
      </w:r>
      <w:r w:rsidRPr="00D20635">
        <w:rPr>
          <w:lang w:val="en-US"/>
        </w:rPr>
        <w:t xml:space="preserve"> process where daily returns are assumed to be independent and identically distributed (</w:t>
      </w:r>
      <w:proofErr w:type="spellStart"/>
      <w:r w:rsidRPr="00D20635">
        <w:rPr>
          <w:lang w:val="en-US"/>
        </w:rPr>
        <w:t>i.i.d.</w:t>
      </w:r>
      <w:proofErr w:type="spellEnd"/>
      <w:r w:rsidRPr="00D20635">
        <w:rPr>
          <w:lang w:val="en-US"/>
        </w:rPr>
        <w:t>)</w:t>
      </w:r>
      <w:r>
        <w:rPr>
          <w:lang w:val="en-US"/>
        </w:rPr>
        <w:t xml:space="preserve"> </w:t>
      </w:r>
      <w:r w:rsidR="001F54A5">
        <w:rPr>
          <w:lang w:val="en-US"/>
        </w:rPr>
        <w:t>(</w:t>
      </w:r>
      <w:r w:rsidR="001F54A5" w:rsidRPr="002B35C0">
        <w:t>Ren et al., 2017</w:t>
      </w:r>
      <w:r w:rsidR="001F54A5">
        <w:rPr>
          <w:lang w:val="en-US"/>
        </w:rPr>
        <w:t>)</w:t>
      </w:r>
      <w:r w:rsidRPr="00D20635">
        <w:rPr>
          <w:lang w:val="en-US"/>
        </w:rPr>
        <w:t>. Under this assumption, the variance of returns over</w:t>
      </w:r>
      <w:r>
        <w:rPr>
          <w:lang w:val="en-US"/>
        </w:rPr>
        <w:t xml:space="preserve"> </w:t>
      </w:r>
      <m:oMath>
        <m:r>
          <w:rPr>
            <w:rFonts w:ascii="Cambria Math" w:hAnsi="Cambria Math"/>
            <w:lang w:val="en-US"/>
          </w:rPr>
          <m:t>n</m:t>
        </m:r>
      </m:oMath>
      <w:r w:rsidRPr="00D20635">
        <w:rPr>
          <w:lang w:val="en-US"/>
        </w:rPr>
        <w:t xml:space="preserve"> days scales linearly with</w:t>
      </w:r>
      <w:r>
        <w:rPr>
          <w:lang w:val="en-US"/>
        </w:rPr>
        <w:t xml:space="preserve"> </w:t>
      </w:r>
      <m:oMath>
        <m:r>
          <w:rPr>
            <w:rFonts w:ascii="Cambria Math" w:hAnsi="Cambria Math"/>
            <w:lang w:val="en-US"/>
          </w:rPr>
          <m:t>n</m:t>
        </m:r>
      </m:oMath>
      <w:r w:rsidRPr="00D20635">
        <w:rPr>
          <w:lang w:val="en-US"/>
        </w:rPr>
        <w:t>:</w:t>
      </w:r>
    </w:p>
    <w:p w14:paraId="50BC757F" w14:textId="77777777" w:rsidR="00B57362" w:rsidRPr="001057A2" w:rsidRDefault="00000000" w:rsidP="00B57362">
      <w:pPr>
        <w:rPr>
          <w:lang w:val="en-US"/>
        </w:rPr>
      </w:pPr>
      <m:oMathPara>
        <m:oMath>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R</m:t>
                  </m:r>
                </m:e>
                <m:sub>
                  <m:r>
                    <w:rPr>
                      <w:rFonts w:ascii="Cambria Math" w:hAnsi="Cambria Math"/>
                      <w:lang w:val="en-US"/>
                    </w:rPr>
                    <m:t>t</m:t>
                  </m:r>
                </m:sub>
                <m:sup>
                  <m:d>
                    <m:dPr>
                      <m:ctrlPr>
                        <w:rPr>
                          <w:rFonts w:ascii="Cambria Math" w:hAnsi="Cambria Math"/>
                          <w:i/>
                          <w:lang w:val="en-US"/>
                        </w:rPr>
                      </m:ctrlPr>
                    </m:dPr>
                    <m:e>
                      <m:r>
                        <w:rPr>
                          <w:rFonts w:ascii="Cambria Math" w:hAnsi="Cambria Math"/>
                          <w:lang w:val="en-US"/>
                        </w:rPr>
                        <m:t>n</m:t>
                      </m:r>
                    </m:e>
                  </m:d>
                </m:sup>
              </m:sSubSup>
            </m:e>
          </m:d>
          <m:r>
            <w:rPr>
              <w:rFonts w:ascii="Cambria Math" w:hAnsi="Cambria Math"/>
              <w:lang w:val="en-US"/>
            </w:rPr>
            <m:t xml:space="preserve">=n × </m:t>
          </m:r>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R</m:t>
                  </m:r>
                </m:e>
                <m:sub>
                  <m:r>
                    <w:rPr>
                      <w:rFonts w:ascii="Cambria Math" w:hAnsi="Cambria Math"/>
                      <w:lang w:val="en-US"/>
                    </w:rPr>
                    <m:t>t</m:t>
                  </m:r>
                </m:sub>
                <m:sup>
                  <m:d>
                    <m:dPr>
                      <m:ctrlPr>
                        <w:rPr>
                          <w:rFonts w:ascii="Cambria Math" w:hAnsi="Cambria Math"/>
                          <w:i/>
                          <w:lang w:val="en-US"/>
                        </w:rPr>
                      </m:ctrlPr>
                    </m:dPr>
                    <m:e>
                      <m:r>
                        <w:rPr>
                          <w:rFonts w:ascii="Cambria Math" w:hAnsi="Cambria Math"/>
                          <w:lang w:val="en-US"/>
                        </w:rPr>
                        <m:t>1</m:t>
                      </m:r>
                    </m:e>
                  </m:d>
                </m:sup>
              </m:sSubSup>
            </m:e>
          </m:d>
        </m:oMath>
      </m:oMathPara>
    </w:p>
    <w:p w14:paraId="68F456FC" w14:textId="77777777" w:rsidR="00B57362" w:rsidRDefault="00B57362" w:rsidP="00B57362">
      <w:pPr>
        <w:rPr>
          <w:lang w:val="en-US"/>
        </w:rPr>
      </w:pPr>
      <w:r w:rsidRPr="001057A2">
        <w:rPr>
          <w:lang w:val="en-US"/>
        </w:rPr>
        <w:t>Since standard deviation is the square root of variance, the</w:t>
      </w:r>
      <w:r>
        <w:rPr>
          <w:lang w:val="en-US"/>
        </w:rPr>
        <w:t xml:space="preserve"> </w:t>
      </w:r>
      <m:oMath>
        <m:r>
          <w:rPr>
            <w:rFonts w:ascii="Cambria Math" w:hAnsi="Cambria Math"/>
            <w:lang w:val="en-US"/>
          </w:rPr>
          <m:t>n</m:t>
        </m:r>
      </m:oMath>
      <w:r w:rsidRPr="001057A2">
        <w:rPr>
          <w:lang w:val="en-US"/>
        </w:rPr>
        <w:t xml:space="preserve">-day standard deviation scales with </w:t>
      </w:r>
      <m:oMath>
        <m:rad>
          <m:radPr>
            <m:degHide m:val="1"/>
            <m:ctrlPr>
              <w:rPr>
                <w:rFonts w:ascii="Cambria Math" w:hAnsi="Cambria Math"/>
                <w:i/>
                <w:lang w:val="en-US"/>
              </w:rPr>
            </m:ctrlPr>
          </m:radPr>
          <m:deg/>
          <m:e>
            <m:r>
              <w:rPr>
                <w:rFonts w:ascii="Cambria Math" w:hAnsi="Cambria Math"/>
                <w:lang w:val="en-US"/>
              </w:rPr>
              <m:t>n</m:t>
            </m:r>
          </m:e>
        </m:rad>
      </m:oMath>
      <w:r>
        <w:rPr>
          <w:lang w:val="en-US"/>
        </w:rPr>
        <w:t xml:space="preserve">. </w:t>
      </w:r>
      <w:r w:rsidRPr="001057A2">
        <w:rPr>
          <w:lang w:val="en-US"/>
        </w:rPr>
        <w:t>This scaling allows us to compare volatility estimates over different time frames on a consistent basis.</w:t>
      </w:r>
    </w:p>
    <w:p w14:paraId="00B9F730" w14:textId="77777777" w:rsidR="00B57362" w:rsidRDefault="00B57362" w:rsidP="00B57362">
      <w:pPr>
        <w:rPr>
          <w:lang w:val="en-US"/>
        </w:rPr>
      </w:pPr>
      <w:r>
        <w:rPr>
          <w:lang w:val="en-US"/>
        </w:rPr>
        <w:t xml:space="preserve">At this point, the </w:t>
      </w:r>
      <m:oMath>
        <m:r>
          <w:rPr>
            <w:rFonts w:ascii="Cambria Math" w:hAnsi="Cambria Math"/>
            <w:lang w:val="en-US"/>
          </w:rPr>
          <m:t>n</m:t>
        </m:r>
      </m:oMath>
      <w:r w:rsidRPr="0079223B">
        <w:rPr>
          <w:lang w:val="en-US"/>
        </w:rPr>
        <w:t>-day</w:t>
      </w:r>
      <w:r>
        <w:rPr>
          <w:lang w:val="en-US"/>
        </w:rPr>
        <w:t xml:space="preserve"> market volatility at day </w:t>
      </w:r>
      <m:oMath>
        <m:r>
          <w:rPr>
            <w:rFonts w:ascii="Cambria Math" w:hAnsi="Cambria Math"/>
            <w:lang w:val="en-US"/>
          </w:rPr>
          <m:t>t</m:t>
        </m:r>
      </m:oMath>
      <w:r>
        <w:rPr>
          <w:lang w:val="en-US"/>
        </w:rPr>
        <w:t xml:space="preserve"> defined as:</w:t>
      </w:r>
    </w:p>
    <w:p w14:paraId="794CA6A7" w14:textId="77777777" w:rsidR="00B57362" w:rsidRPr="00372A57" w:rsidRDefault="00000000" w:rsidP="00B57362">
      <w:pPr>
        <w:rPr>
          <w:lang w:val="en-US"/>
        </w:rPr>
      </w:pPr>
      <m:oMathPara>
        <m:oMath>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MV</m:t>
                  </m:r>
                </m:e>
                <m:sub>
                  <m:r>
                    <w:rPr>
                      <w:rFonts w:ascii="Cambria Math" w:hAnsi="Cambria Math"/>
                      <w:lang w:val="en-US"/>
                    </w:rPr>
                    <m:t>t</m:t>
                  </m:r>
                </m:sub>
              </m:sSub>
            </m:e>
            <m:sup>
              <m:r>
                <w:rPr>
                  <w:rFonts w:ascii="Cambria Math" w:hAnsi="Cambria Math"/>
                  <w:lang w:val="en-US"/>
                </w:rPr>
                <m:t>(n)</m:t>
              </m:r>
            </m:sup>
          </m:sSup>
          <m:r>
            <w:rPr>
              <w:rFonts w:ascii="Cambria Math" w:hAnsi="Cambria Math"/>
              <w:lang w:val="en-US"/>
            </w:rPr>
            <m:t xml:space="preserve">= </m:t>
          </m:r>
          <m:rad>
            <m:radPr>
              <m:degHide m:val="1"/>
              <m:ctrlPr>
                <w:rPr>
                  <w:rFonts w:ascii="Cambria Math" w:hAnsi="Cambria Math"/>
                  <w:i/>
                  <w:lang w:val="en-US"/>
                </w:rPr>
              </m:ctrlPr>
            </m:radPr>
            <m:deg/>
            <m:e>
              <m:r>
                <w:rPr>
                  <w:rFonts w:ascii="Cambria Math" w:hAnsi="Cambria Math"/>
                  <w:lang w:val="en-US"/>
                </w:rPr>
                <m:t>n</m:t>
              </m:r>
            </m:e>
          </m:rad>
          <m:r>
            <w:rPr>
              <w:rFonts w:ascii="Cambria Math" w:hAnsi="Cambria Math"/>
              <w:lang w:val="en-US"/>
            </w:rPr>
            <m:t xml:space="preserve"> ×</m:t>
          </m:r>
          <m:rad>
            <m:radPr>
              <m:degHide m:val="1"/>
              <m:ctrlPr>
                <w:rPr>
                  <w:rFonts w:ascii="Cambria Math" w:hAnsi="Cambria Math"/>
                  <w:i/>
                  <w:lang w:val="en-US"/>
                </w:rPr>
              </m:ctrlPr>
            </m:radPr>
            <m:deg/>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j=t-n+1</m:t>
                  </m:r>
                </m:sub>
                <m:sup>
                  <m:r>
                    <w:rPr>
                      <w:rFonts w:ascii="Cambria Math" w:hAnsi="Cambria Math"/>
                      <w:lang w:val="en-US"/>
                    </w:rPr>
                    <m:t>t</m:t>
                  </m:r>
                </m:sup>
                <m:e>
                  <m:sSup>
                    <m:sSupPr>
                      <m:ctrlPr>
                        <w:rPr>
                          <w:rFonts w:ascii="Cambria Math" w:hAnsi="Cambria Math"/>
                          <w:i/>
                          <w:lang w:val="en-US"/>
                        </w:rPr>
                      </m:ctrlPr>
                    </m:sSupPr>
                    <m:e>
                      <m:r>
                        <w:rPr>
                          <w:rFonts w:ascii="Cambria Math" w:hAnsi="Cambria Math"/>
                          <w:lang w:val="en-US"/>
                        </w:rPr>
                        <m:t>(</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j</m:t>
                              </m:r>
                            </m:sub>
                          </m:sSub>
                        </m:e>
                      </m:acc>
                      <m:r>
                        <w:rPr>
                          <w:rFonts w:ascii="Cambria Math" w:hAnsi="Cambria Math"/>
                          <w:lang w:val="en-US"/>
                        </w:rPr>
                        <m:t>-</m:t>
                      </m:r>
                      <m:sSubSup>
                        <m:sSubSupPr>
                          <m:ctrlPr>
                            <w:rPr>
                              <w:rFonts w:ascii="Cambria Math" w:hAnsi="Cambria Math"/>
                              <w:i/>
                              <w:lang w:val="en-US"/>
                            </w:rPr>
                          </m:ctrlPr>
                        </m:sSubSupPr>
                        <m:e>
                          <m:acc>
                            <m:accPr>
                              <m:chr m:val="̅"/>
                              <m:ctrlPr>
                                <w:rPr>
                                  <w:rFonts w:ascii="Cambria Math" w:hAnsi="Cambria Math"/>
                                  <w:i/>
                                  <w:lang w:val="en-US"/>
                                </w:rPr>
                              </m:ctrlPr>
                            </m:accPr>
                            <m:e>
                              <m:r>
                                <w:rPr>
                                  <w:rFonts w:ascii="Cambria Math" w:hAnsi="Cambria Math"/>
                                  <w:lang w:val="en-US"/>
                                </w:rPr>
                                <m:t>R</m:t>
                              </m:r>
                            </m:e>
                          </m:acc>
                        </m:e>
                        <m:sub>
                          <m:r>
                            <w:rPr>
                              <w:rFonts w:ascii="Cambria Math" w:hAnsi="Cambria Math"/>
                              <w:lang w:val="en-US"/>
                            </w:rPr>
                            <m:t>t</m:t>
                          </m:r>
                        </m:sub>
                        <m:sup>
                          <m:r>
                            <w:rPr>
                              <w:rFonts w:ascii="Cambria Math" w:hAnsi="Cambria Math"/>
                              <w:lang w:val="en-US"/>
                            </w:rPr>
                            <m:t>(n)</m:t>
                          </m:r>
                        </m:sup>
                      </m:sSubSup>
                      <m:r>
                        <w:rPr>
                          <w:rFonts w:ascii="Cambria Math" w:hAnsi="Cambria Math"/>
                          <w:lang w:val="en-US"/>
                        </w:rPr>
                        <m:t>)</m:t>
                      </m:r>
                    </m:e>
                    <m:sup>
                      <m:r>
                        <w:rPr>
                          <w:rFonts w:ascii="Cambria Math" w:hAnsi="Cambria Math"/>
                          <w:lang w:val="en-US"/>
                        </w:rPr>
                        <m:t>2</m:t>
                      </m:r>
                    </m:sup>
                  </m:sSup>
                </m:e>
              </m:nary>
            </m:e>
          </m:rad>
        </m:oMath>
      </m:oMathPara>
    </w:p>
    <w:p w14:paraId="32C6D6AE" w14:textId="0CA25A0C" w:rsidR="00B57362" w:rsidRDefault="00B57362" w:rsidP="00B57362">
      <w:pPr>
        <w:rPr>
          <w:lang w:val="en-US"/>
        </w:rPr>
      </w:pPr>
      <w:r>
        <w:rPr>
          <w:lang w:val="en-US"/>
        </w:rPr>
        <w:t xml:space="preserve">where </w:t>
      </w:r>
      <m:oMath>
        <m:sSubSup>
          <m:sSubSupPr>
            <m:ctrlPr>
              <w:rPr>
                <w:rFonts w:ascii="Cambria Math" w:hAnsi="Cambria Math"/>
                <w:i/>
                <w:lang w:val="en-US"/>
              </w:rPr>
            </m:ctrlPr>
          </m:sSubSupPr>
          <m:e>
            <m:acc>
              <m:accPr>
                <m:chr m:val="̅"/>
                <m:ctrlPr>
                  <w:rPr>
                    <w:rFonts w:ascii="Cambria Math" w:hAnsi="Cambria Math"/>
                    <w:i/>
                    <w:lang w:val="en-US"/>
                  </w:rPr>
                </m:ctrlPr>
              </m:accPr>
              <m:e>
                <m:r>
                  <w:rPr>
                    <w:rFonts w:ascii="Cambria Math" w:hAnsi="Cambria Math"/>
                    <w:lang w:val="en-US"/>
                  </w:rPr>
                  <m:t>R</m:t>
                </m:r>
              </m:e>
            </m:acc>
          </m:e>
          <m:sub>
            <m:r>
              <w:rPr>
                <w:rFonts w:ascii="Cambria Math" w:hAnsi="Cambria Math"/>
                <w:lang w:val="en-US"/>
              </w:rPr>
              <m:t>t</m:t>
            </m:r>
          </m:sub>
          <m:sup>
            <m:r>
              <w:rPr>
                <w:rFonts w:ascii="Cambria Math" w:hAnsi="Cambria Math"/>
                <w:lang w:val="en-US"/>
              </w:rPr>
              <m:t>(n)</m:t>
            </m:r>
          </m:sup>
        </m:sSubSup>
      </m:oMath>
      <w:r>
        <w:rPr>
          <w:lang w:val="en-US"/>
        </w:rPr>
        <w:t xml:space="preserve"> is the mean of </w:t>
      </w:r>
      <m:oMath>
        <m:acc>
          <m:accPr>
            <m:chr m:val="̅"/>
            <m:ctrlPr>
              <w:rPr>
                <w:rFonts w:ascii="Cambria Math" w:hAnsi="Cambria Math"/>
                <w:i/>
                <w:lang w:val="en-US"/>
              </w:rPr>
            </m:ctrlPr>
          </m:accPr>
          <m:e>
            <m:r>
              <w:rPr>
                <w:rFonts w:ascii="Cambria Math" w:hAnsi="Cambria Math"/>
                <w:lang w:val="en-US"/>
              </w:rPr>
              <m:t>R</m:t>
            </m:r>
          </m:e>
        </m:acc>
      </m:oMath>
      <w:r>
        <w:rPr>
          <w:lang w:val="en-US"/>
        </w:rPr>
        <w:t xml:space="preserve"> over the </w:t>
      </w:r>
      <m:oMath>
        <m:r>
          <w:rPr>
            <w:rFonts w:ascii="Cambria Math" w:hAnsi="Cambria Math"/>
            <w:lang w:val="en-US"/>
          </w:rPr>
          <m:t>n</m:t>
        </m:r>
      </m:oMath>
      <w:r>
        <w:rPr>
          <w:lang w:val="en-US"/>
        </w:rPr>
        <w:t xml:space="preserve">-day window ending at day </w:t>
      </w:r>
      <m:oMath>
        <m:r>
          <w:rPr>
            <w:rFonts w:ascii="Cambria Math" w:hAnsi="Cambria Math"/>
            <w:lang w:val="en-US"/>
          </w:rPr>
          <m:t>t</m:t>
        </m:r>
      </m:oMath>
      <w:r>
        <w:rPr>
          <w:lang w:val="en-US"/>
        </w:rPr>
        <w:t>.</w:t>
      </w:r>
    </w:p>
    <w:p w14:paraId="33A73309" w14:textId="032FCF7F" w:rsidR="009D3525" w:rsidRDefault="003871C3" w:rsidP="009D3525">
      <w:pPr>
        <w:pStyle w:val="Heading3"/>
      </w:pPr>
      <w:bookmarkStart w:id="19" w:name="_Toc204515574"/>
      <w:r>
        <w:lastRenderedPageBreak/>
        <w:t xml:space="preserve">Sentiment </w:t>
      </w:r>
      <w:bookmarkEnd w:id="19"/>
      <w:r w:rsidR="00171AEA">
        <w:t>Volatility</w:t>
      </w:r>
    </w:p>
    <w:p w14:paraId="00F07E26" w14:textId="3C8AB94E" w:rsidR="003871C3" w:rsidRDefault="003871C3" w:rsidP="003871C3">
      <w:pPr>
        <w:rPr>
          <w:lang w:val="en-US"/>
        </w:rPr>
      </w:pPr>
      <w:r w:rsidRPr="003871C3">
        <w:rPr>
          <w:lang w:val="en-US"/>
        </w:rPr>
        <w:t xml:space="preserve">To quantify the sentiment expressed in financial news headlines, we employ a custom sentiment score derived from the </w:t>
      </w:r>
      <w:proofErr w:type="spellStart"/>
      <w:r w:rsidRPr="003871C3">
        <w:rPr>
          <w:lang w:val="en-US"/>
        </w:rPr>
        <w:t>FinBERT</w:t>
      </w:r>
      <w:proofErr w:type="spellEnd"/>
      <w:r w:rsidRPr="003871C3">
        <w:rPr>
          <w:lang w:val="en-US"/>
        </w:rPr>
        <w:t xml:space="preserve"> model's output probabilities. </w:t>
      </w:r>
      <w:proofErr w:type="spellStart"/>
      <w:r w:rsidRPr="003871C3">
        <w:rPr>
          <w:lang w:val="en-US"/>
        </w:rPr>
        <w:t>FinBERT</w:t>
      </w:r>
      <w:proofErr w:type="spellEnd"/>
      <w:r w:rsidRPr="003871C3">
        <w:rPr>
          <w:lang w:val="en-US"/>
        </w:rPr>
        <w:t xml:space="preserve"> classifies each input text into three sentiment categories: negative,</w:t>
      </w:r>
      <w:r>
        <w:rPr>
          <w:lang w:val="en-US"/>
        </w:rPr>
        <w:t xml:space="preserve"> </w:t>
      </w:r>
      <w:r w:rsidRPr="003871C3">
        <w:rPr>
          <w:lang w:val="en-US"/>
        </w:rPr>
        <w:t xml:space="preserve">neutral, and positive, producing corresponding probabilities. Rather than relying solely on discrete class labels, we calculate a continuous sentiment score </w:t>
      </w:r>
      <m:oMath>
        <m:r>
          <w:rPr>
            <w:rFonts w:ascii="Cambria Math" w:hAnsi="Cambria Math"/>
            <w:lang w:val="en-US"/>
          </w:rPr>
          <m:t>S</m:t>
        </m:r>
      </m:oMath>
      <w:r w:rsidRPr="003871C3">
        <w:rPr>
          <w:lang w:val="en-US"/>
        </w:rPr>
        <w:t xml:space="preserve"> defined as the difference between the positive and negative probabilities</w:t>
      </w:r>
      <w:r w:rsidR="00132845">
        <w:rPr>
          <w:lang w:val="en-US"/>
        </w:rPr>
        <w:t xml:space="preserve"> (Hiew et al., 2019)</w:t>
      </w:r>
      <w:r w:rsidRPr="003871C3">
        <w:rPr>
          <w:lang w:val="en-US"/>
        </w:rPr>
        <w:t>:</w:t>
      </w:r>
    </w:p>
    <w:p w14:paraId="48ACE1ED" w14:textId="30AFC4E8" w:rsidR="004D69B1" w:rsidRPr="003871C3" w:rsidRDefault="00000000" w:rsidP="003871C3">
      <w:pPr>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t</m:t>
                  </m:r>
                </m:sub>
                <m:sup>
                  <m:r>
                    <w:rPr>
                      <w:rFonts w:ascii="Cambria Math" w:hAnsi="Cambria Math"/>
                      <w:lang w:val="en-US"/>
                    </w:rPr>
                    <m:t>pos</m:t>
                  </m:r>
                </m:sup>
              </m:sSubSup>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t</m:t>
                  </m:r>
                </m:sub>
                <m:sup>
                  <m:r>
                    <w:rPr>
                      <w:rFonts w:ascii="Cambria Math" w:hAnsi="Cambria Math"/>
                      <w:lang w:val="en-US"/>
                    </w:rPr>
                    <m:t>neg</m:t>
                  </m:r>
                </m:sup>
              </m:sSubSup>
            </m:num>
            <m:den>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t</m:t>
                  </m:r>
                </m:sub>
                <m:sup>
                  <m:r>
                    <w:rPr>
                      <w:rFonts w:ascii="Cambria Math" w:hAnsi="Cambria Math"/>
                      <w:lang w:val="en-US"/>
                    </w:rPr>
                    <m:t>pos</m:t>
                  </m:r>
                </m:sup>
              </m:sSubSup>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t</m:t>
                  </m:r>
                </m:sub>
                <m:sup>
                  <m:r>
                    <w:rPr>
                      <w:rFonts w:ascii="Cambria Math" w:hAnsi="Cambria Math"/>
                      <w:lang w:val="en-US"/>
                    </w:rPr>
                    <m:t>neu</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t</m:t>
                  </m:r>
                </m:sub>
                <m:sup>
                  <m:r>
                    <w:rPr>
                      <w:rFonts w:ascii="Cambria Math" w:hAnsi="Cambria Math"/>
                      <w:lang w:val="en-US"/>
                    </w:rPr>
                    <m:t>neg</m:t>
                  </m:r>
                </m:sup>
              </m:sSubSup>
            </m:den>
          </m:f>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P</m:t>
              </m:r>
            </m:e>
            <m:sub>
              <m:r>
                <w:rPr>
                  <w:rFonts w:ascii="Cambria Math" w:hAnsi="Cambria Math"/>
                  <w:lang w:val="en-US"/>
                </w:rPr>
                <m:t>t</m:t>
              </m:r>
            </m:sub>
            <m:sup>
              <m:r>
                <w:rPr>
                  <w:rFonts w:ascii="Cambria Math" w:hAnsi="Cambria Math"/>
                  <w:lang w:val="en-US"/>
                </w:rPr>
                <m:t>pos</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P</m:t>
              </m:r>
            </m:e>
            <m:sub>
              <m:r>
                <w:rPr>
                  <w:rFonts w:ascii="Cambria Math" w:hAnsi="Cambria Math"/>
                  <w:lang w:val="en-US"/>
                </w:rPr>
                <m:t>t</m:t>
              </m:r>
            </m:sub>
            <m:sup>
              <m:r>
                <w:rPr>
                  <w:rFonts w:ascii="Cambria Math" w:hAnsi="Cambria Math"/>
                  <w:lang w:val="en-US"/>
                </w:rPr>
                <m:t>neg</m:t>
              </m:r>
            </m:sup>
          </m:sSubSup>
        </m:oMath>
      </m:oMathPara>
    </w:p>
    <w:p w14:paraId="00D3E7C7" w14:textId="602282F7" w:rsidR="003871C3" w:rsidRDefault="009C0A30" w:rsidP="003871C3">
      <w:pPr>
        <w:rPr>
          <w:lang w:val="en-US"/>
        </w:rPr>
      </w:pPr>
      <w:r>
        <w:rPr>
          <w:lang w:val="en-US"/>
        </w:rPr>
        <w:t>w</w:t>
      </w:r>
      <w:r w:rsidR="004F3D6C">
        <w:rPr>
          <w:lang w:val="en-US"/>
        </w:rPr>
        <w:t xml:space="preserve">here </w:t>
      </w:r>
      <m:oMath>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t</m:t>
            </m:r>
          </m:sub>
          <m:sup>
            <m:r>
              <w:rPr>
                <w:rFonts w:ascii="Cambria Math" w:hAnsi="Cambria Math"/>
                <w:lang w:val="en-US"/>
              </w:rPr>
              <m:t>pos</m:t>
            </m:r>
          </m:sup>
        </m:sSubSup>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t</m:t>
            </m:r>
          </m:sub>
          <m:sup>
            <m:r>
              <w:rPr>
                <w:rFonts w:ascii="Cambria Math" w:hAnsi="Cambria Math"/>
                <w:lang w:val="en-US"/>
              </w:rPr>
              <m:t>neu</m:t>
            </m:r>
          </m:sup>
        </m:sSubSup>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t</m:t>
            </m:r>
          </m:sub>
          <m:sup>
            <m:r>
              <w:rPr>
                <w:rFonts w:ascii="Cambria Math" w:hAnsi="Cambria Math"/>
                <w:lang w:val="en-US"/>
              </w:rPr>
              <m:t>neg</m:t>
            </m:r>
          </m:sup>
        </m:sSubSup>
      </m:oMath>
      <w:r w:rsidR="00132845">
        <w:rPr>
          <w:lang w:val="en-US"/>
        </w:rPr>
        <w:t xml:space="preserve"> are the number of positive, neutral</w:t>
      </w:r>
      <w:r w:rsidR="0025499C">
        <w:rPr>
          <w:lang w:val="en-US"/>
        </w:rPr>
        <w:t>, and negative texts within the period</w:t>
      </w:r>
      <w:r>
        <w:rPr>
          <w:lang w:val="en-US"/>
        </w:rPr>
        <w:t>, w</w:t>
      </w:r>
      <w:r w:rsidR="0025499C">
        <w:rPr>
          <w:lang w:val="en-US"/>
        </w:rPr>
        <w:t xml:space="preserve">hile </w:t>
      </w:r>
      <m:oMath>
        <m:sSubSup>
          <m:sSubSupPr>
            <m:ctrlPr>
              <w:rPr>
                <w:rFonts w:ascii="Cambria Math" w:hAnsi="Cambria Math"/>
                <w:i/>
                <w:lang w:val="en-US"/>
              </w:rPr>
            </m:ctrlPr>
          </m:sSubSupPr>
          <m:e>
            <m:r>
              <w:rPr>
                <w:rFonts w:ascii="Cambria Math" w:hAnsi="Cambria Math"/>
                <w:lang w:val="en-US"/>
              </w:rPr>
              <m:t>P</m:t>
            </m:r>
          </m:e>
          <m:sub>
            <m:r>
              <w:rPr>
                <w:rFonts w:ascii="Cambria Math" w:hAnsi="Cambria Math"/>
                <w:lang w:val="en-US"/>
              </w:rPr>
              <m:t>t</m:t>
            </m:r>
          </m:sub>
          <m:sup>
            <m:r>
              <w:rPr>
                <w:rFonts w:ascii="Cambria Math" w:hAnsi="Cambria Math"/>
                <w:lang w:val="en-US"/>
              </w:rPr>
              <m:t>pos</m:t>
            </m:r>
          </m:sup>
        </m:sSubSup>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P</m:t>
            </m:r>
          </m:e>
          <m:sub>
            <m:r>
              <w:rPr>
                <w:rFonts w:ascii="Cambria Math" w:hAnsi="Cambria Math"/>
                <w:lang w:val="en-US"/>
              </w:rPr>
              <m:t>t</m:t>
            </m:r>
          </m:sub>
          <m:sup>
            <m:r>
              <w:rPr>
                <w:rFonts w:ascii="Cambria Math" w:hAnsi="Cambria Math"/>
                <w:lang w:val="en-US"/>
              </w:rPr>
              <m:t>neg</m:t>
            </m:r>
          </m:sup>
        </m:sSubSup>
      </m:oMath>
      <w:r w:rsidR="0025499C">
        <w:rPr>
          <w:lang w:val="en-US"/>
        </w:rPr>
        <w:t xml:space="preserve"> are the p</w:t>
      </w:r>
      <w:r w:rsidR="0025499C" w:rsidRPr="0025499C">
        <w:rPr>
          <w:lang w:val="en-US"/>
        </w:rPr>
        <w:t>robability of the headline at tim</w:t>
      </w:r>
      <w:r w:rsidR="0025499C">
        <w:rPr>
          <w:lang w:val="en-US"/>
        </w:rPr>
        <w:t>e</w:t>
      </w:r>
      <w:r w:rsidR="0025499C" w:rsidRPr="0025499C">
        <w:rPr>
          <w:lang w:val="en-US"/>
        </w:rPr>
        <w:t xml:space="preserve"> </w:t>
      </w:r>
      <m:oMath>
        <m:r>
          <w:rPr>
            <w:rFonts w:ascii="Cambria Math" w:hAnsi="Cambria Math"/>
            <w:lang w:val="en-US"/>
          </w:rPr>
          <m:t>t</m:t>
        </m:r>
      </m:oMath>
      <w:r w:rsidR="0025499C" w:rsidRPr="0025499C">
        <w:rPr>
          <w:lang w:val="en-US"/>
        </w:rPr>
        <w:t xml:space="preserve"> being classified as positive</w:t>
      </w:r>
      <w:r w:rsidR="0025499C">
        <w:rPr>
          <w:lang w:val="en-US"/>
        </w:rPr>
        <w:t xml:space="preserve"> and negative.</w:t>
      </w:r>
      <w:r w:rsidR="00946BC3">
        <w:rPr>
          <w:lang w:val="en-US"/>
        </w:rPr>
        <w:t xml:space="preserve"> </w:t>
      </w:r>
      <w:r w:rsidR="003871C3" w:rsidRPr="003871C3">
        <w:rPr>
          <w:lang w:val="en-US"/>
        </w:rPr>
        <w:t>This formulation captures the net sentiment polarity by balancing positive and negative signals while effectively ignoring the neutral component.</w:t>
      </w:r>
    </w:p>
    <w:p w14:paraId="2D884306" w14:textId="6F5C4302" w:rsidR="00327871" w:rsidRDefault="00327871" w:rsidP="003871C3">
      <w:pPr>
        <w:rPr>
          <w:lang w:val="en-US"/>
        </w:rPr>
      </w:pPr>
      <w:r w:rsidRPr="00327871">
        <w:rPr>
          <w:lang w:val="en-US"/>
        </w:rPr>
        <w:t>To capture the temporal dynamics and fluctuations in market sentiment, we compute the daily average sentiment score and its rolling volatility over various time horizons. This is formalized as:</w:t>
      </w:r>
    </w:p>
    <w:p w14:paraId="59E41BC2" w14:textId="1B04BC93" w:rsidR="009C0A30" w:rsidRPr="009C0A30" w:rsidRDefault="00000000" w:rsidP="003871C3">
      <w:pPr>
        <w:rPr>
          <w:lang w:val="en-US"/>
        </w:rPr>
      </w:pPr>
      <m:oMathPara>
        <m:oMath>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acc>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t</m:t>
                  </m:r>
                </m:sub>
              </m:sSub>
            </m:den>
          </m:f>
          <m:nary>
            <m:naryPr>
              <m:chr m:val="∑"/>
              <m:limLoc m:val="undOvr"/>
              <m:ctrlPr>
                <w:rPr>
                  <w:rFonts w:ascii="Cambria Math" w:hAnsi="Cambria Math"/>
                  <w:i/>
                  <w:lang w:val="en-US"/>
                </w:rPr>
              </m:ctrlPr>
            </m:naryPr>
            <m:sub>
              <m:r>
                <w:rPr>
                  <w:rFonts w:ascii="Cambria Math" w:hAnsi="Cambria Math"/>
                  <w:lang w:val="en-US"/>
                </w:rPr>
                <m:t>i=1</m:t>
              </m:r>
            </m:sub>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t</m:t>
                  </m:r>
                </m:sub>
              </m:sSub>
            </m:sup>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i,t</m:t>
                  </m:r>
                </m:sub>
              </m:sSub>
            </m:e>
          </m:nary>
        </m:oMath>
      </m:oMathPara>
    </w:p>
    <w:p w14:paraId="19A9435E" w14:textId="0CB5F22A" w:rsidR="009C0A30" w:rsidRDefault="00A7427B" w:rsidP="003871C3">
      <w:pPr>
        <w:rPr>
          <w:lang w:val="en-US"/>
        </w:rPr>
      </w:pPr>
      <w:r>
        <w:rPr>
          <w:lang w:val="en-US"/>
        </w:rPr>
        <w:t xml:space="preserve">where </w:t>
      </w:r>
      <m:oMath>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acc>
      </m:oMath>
      <w:r>
        <w:rPr>
          <w:lang w:val="en-US"/>
        </w:rPr>
        <w:t xml:space="preserve"> represents the average sentiment score on the day </w:t>
      </w:r>
      <m:oMath>
        <m:r>
          <w:rPr>
            <w:rFonts w:ascii="Cambria Math" w:hAnsi="Cambria Math"/>
            <w:lang w:val="en-US"/>
          </w:rPr>
          <m:t>t</m:t>
        </m:r>
      </m:oMath>
      <w:r>
        <w:rPr>
          <w:lang w:val="en-US"/>
        </w:rPr>
        <w:t xml:space="preserve">,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i,t</m:t>
            </m:r>
          </m:sub>
        </m:sSub>
      </m:oMath>
      <w:r>
        <w:rPr>
          <w:lang w:val="en-US"/>
        </w:rPr>
        <w:t xml:space="preserve"> is the sentiment score of the </w:t>
      </w:r>
      <m:oMath>
        <m:r>
          <w:rPr>
            <w:rFonts w:ascii="Cambria Math" w:hAnsi="Cambria Math"/>
            <w:lang w:val="en-US"/>
          </w:rPr>
          <m:t>i</m:t>
        </m:r>
      </m:oMath>
      <w:r>
        <w:rPr>
          <w:lang w:val="en-US"/>
        </w:rPr>
        <w:t xml:space="preserve">-th headline, and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t</m:t>
            </m:r>
          </m:sub>
        </m:sSub>
      </m:oMath>
      <w:r>
        <w:rPr>
          <w:lang w:val="en-US"/>
        </w:rPr>
        <w:t xml:space="preserve"> is the total number of headlines on that day.</w:t>
      </w:r>
    </w:p>
    <w:p w14:paraId="228FA035" w14:textId="727EE459" w:rsidR="00A7427B" w:rsidRDefault="004967B2" w:rsidP="00A7427B">
      <w:pPr>
        <w:rPr>
          <w:lang w:val="en-US"/>
        </w:rPr>
      </w:pPr>
      <w:r>
        <w:rPr>
          <w:lang w:val="en-US"/>
        </w:rPr>
        <w:t>T</w:t>
      </w:r>
      <w:r w:rsidR="006F4881">
        <w:rPr>
          <w:lang w:val="en-US"/>
        </w:rPr>
        <w:t>hen</w:t>
      </w:r>
      <w:r w:rsidR="00A7427B" w:rsidRPr="00A7427B">
        <w:rPr>
          <w:lang w:val="en-US"/>
        </w:rPr>
        <w:t xml:space="preserve"> compute the rolling standard deviation across multiple window lengths, corresponding to different market time frames: one week (5 trading days), one month (22 days), one quarter (66 days), and half a year (1</w:t>
      </w:r>
      <w:r w:rsidR="008F55C3">
        <w:rPr>
          <w:lang w:val="en-US"/>
        </w:rPr>
        <w:t>32</w:t>
      </w:r>
      <w:r w:rsidR="00A7427B" w:rsidRPr="00A7427B">
        <w:rPr>
          <w:lang w:val="en-US"/>
        </w:rPr>
        <w:t xml:space="preserve"> days). For each window </w:t>
      </w:r>
      <m:oMath>
        <m:r>
          <w:rPr>
            <w:rFonts w:ascii="Cambria Math" w:hAnsi="Cambria Math"/>
            <w:lang w:val="en-US"/>
          </w:rPr>
          <m:t>n</m:t>
        </m:r>
      </m:oMath>
      <w:r w:rsidR="00A7427B" w:rsidRPr="00A7427B">
        <w:rPr>
          <w:lang w:val="en-US"/>
        </w:rPr>
        <w:t>, the sentiment volatility</w:t>
      </w:r>
      <w:r w:rsidR="00A7427B">
        <w:rPr>
          <w:lang w:val="en-US"/>
        </w:rPr>
        <w:t xml:space="preserve"> </w:t>
      </w:r>
      <m:oMath>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SV</m:t>
                </m:r>
              </m:e>
              <m:sub>
                <m:r>
                  <w:rPr>
                    <w:rFonts w:ascii="Cambria Math" w:hAnsi="Cambria Math"/>
                    <w:lang w:val="en-US"/>
                  </w:rPr>
                  <m:t>t</m:t>
                </m:r>
              </m:sub>
            </m:sSub>
          </m:e>
          <m:sup>
            <m:r>
              <w:rPr>
                <w:rFonts w:ascii="Cambria Math" w:hAnsi="Cambria Math"/>
                <w:lang w:val="en-US"/>
              </w:rPr>
              <m:t>(n)</m:t>
            </m:r>
          </m:sup>
        </m:sSup>
      </m:oMath>
      <w:r w:rsidR="00A7427B">
        <w:rPr>
          <w:lang w:val="en-US"/>
        </w:rPr>
        <w:t xml:space="preserve"> </w:t>
      </w:r>
      <w:r w:rsidR="00A7427B" w:rsidRPr="00A7427B">
        <w:rPr>
          <w:lang w:val="en-US"/>
        </w:rPr>
        <w:t>is given by:</w:t>
      </w:r>
    </w:p>
    <w:p w14:paraId="4DEA04DC" w14:textId="237438EF" w:rsidR="00BE6AD9" w:rsidRPr="00F41DA2" w:rsidRDefault="00000000" w:rsidP="00A7427B">
      <w:pPr>
        <w:rPr>
          <w:lang w:val="en-US"/>
        </w:rPr>
      </w:pPr>
      <m:oMathPara>
        <m:oMath>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SV</m:t>
                  </m:r>
                </m:e>
                <m:sub>
                  <m:r>
                    <w:rPr>
                      <w:rFonts w:ascii="Cambria Math" w:hAnsi="Cambria Math"/>
                      <w:lang w:val="en-US"/>
                    </w:rPr>
                    <m:t>t</m:t>
                  </m:r>
                </m:sub>
              </m:sSub>
            </m:e>
            <m:sup>
              <m:r>
                <w:rPr>
                  <w:rFonts w:ascii="Cambria Math" w:hAnsi="Cambria Math"/>
                  <w:lang w:val="en-US"/>
                </w:rPr>
                <m:t>(n)</m:t>
              </m:r>
            </m:sup>
          </m:sSup>
          <m:r>
            <w:rPr>
              <w:rFonts w:ascii="Cambria Math" w:hAnsi="Cambria Math"/>
              <w:lang w:val="en-US"/>
            </w:rPr>
            <m:t xml:space="preserve">= </m:t>
          </m:r>
          <m:rad>
            <m:radPr>
              <m:degHide m:val="1"/>
              <m:ctrlPr>
                <w:rPr>
                  <w:rFonts w:ascii="Cambria Math" w:hAnsi="Cambria Math"/>
                  <w:i/>
                  <w:lang w:val="en-US"/>
                </w:rPr>
              </m:ctrlPr>
            </m:radPr>
            <m:deg/>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j=t-n+1</m:t>
                  </m:r>
                </m:sub>
                <m:sup>
                  <m:r>
                    <w:rPr>
                      <w:rFonts w:ascii="Cambria Math" w:hAnsi="Cambria Math"/>
                      <w:lang w:val="en-US"/>
                    </w:rPr>
                    <m:t>t</m:t>
                  </m:r>
                </m:sup>
                <m:e>
                  <m:sSup>
                    <m:sSupPr>
                      <m:ctrlPr>
                        <w:rPr>
                          <w:rFonts w:ascii="Cambria Math" w:hAnsi="Cambria Math"/>
                          <w:i/>
                          <w:lang w:val="en-US"/>
                        </w:rPr>
                      </m:ctrlPr>
                    </m:sSupPr>
                    <m:e>
                      <m:r>
                        <w:rPr>
                          <w:rFonts w:ascii="Cambria Math" w:hAnsi="Cambria Math"/>
                          <w:lang w:val="en-US"/>
                        </w:rPr>
                        <m:t>(</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j</m:t>
                              </m:r>
                            </m:sub>
                          </m:sSub>
                        </m:e>
                      </m:acc>
                      <m:r>
                        <w:rPr>
                          <w:rFonts w:ascii="Cambria Math" w:hAnsi="Cambria Math"/>
                          <w:lang w:val="en-US"/>
                        </w:rPr>
                        <m:t>-</m:t>
                      </m:r>
                      <m:sSubSup>
                        <m:sSubSupPr>
                          <m:ctrlPr>
                            <w:rPr>
                              <w:rFonts w:ascii="Cambria Math" w:hAnsi="Cambria Math"/>
                              <w:i/>
                              <w:lang w:val="en-US"/>
                            </w:rPr>
                          </m:ctrlPr>
                        </m:sSubSupPr>
                        <m:e>
                          <m:acc>
                            <m:accPr>
                              <m:chr m:val="̅"/>
                              <m:ctrlPr>
                                <w:rPr>
                                  <w:rFonts w:ascii="Cambria Math" w:hAnsi="Cambria Math"/>
                                  <w:i/>
                                  <w:lang w:val="en-US"/>
                                </w:rPr>
                              </m:ctrlPr>
                            </m:accPr>
                            <m:e>
                              <m:r>
                                <w:rPr>
                                  <w:rFonts w:ascii="Cambria Math" w:hAnsi="Cambria Math"/>
                                  <w:lang w:val="en-US"/>
                                </w:rPr>
                                <m:t>S</m:t>
                              </m:r>
                            </m:e>
                          </m:acc>
                        </m:e>
                        <m:sub>
                          <m:r>
                            <w:rPr>
                              <w:rFonts w:ascii="Cambria Math" w:hAnsi="Cambria Math"/>
                              <w:lang w:val="en-US"/>
                            </w:rPr>
                            <m:t>t</m:t>
                          </m:r>
                        </m:sub>
                        <m:sup>
                          <m:r>
                            <w:rPr>
                              <w:rFonts w:ascii="Cambria Math" w:hAnsi="Cambria Math"/>
                              <w:lang w:val="en-US"/>
                            </w:rPr>
                            <m:t>(n)</m:t>
                          </m:r>
                        </m:sup>
                      </m:sSubSup>
                      <m:r>
                        <w:rPr>
                          <w:rFonts w:ascii="Cambria Math" w:hAnsi="Cambria Math"/>
                          <w:lang w:val="en-US"/>
                        </w:rPr>
                        <m:t>)</m:t>
                      </m:r>
                    </m:e>
                    <m:sup>
                      <m:r>
                        <w:rPr>
                          <w:rFonts w:ascii="Cambria Math" w:hAnsi="Cambria Math"/>
                          <w:lang w:val="en-US"/>
                        </w:rPr>
                        <m:t>2</m:t>
                      </m:r>
                    </m:sup>
                  </m:sSup>
                </m:e>
              </m:nary>
            </m:e>
          </m:rad>
        </m:oMath>
      </m:oMathPara>
    </w:p>
    <w:p w14:paraId="2CE6919D" w14:textId="5F239BCE" w:rsidR="00F41DA2" w:rsidRDefault="00F41DA2" w:rsidP="00A7427B">
      <w:pPr>
        <w:rPr>
          <w:lang w:val="en-US"/>
        </w:rPr>
      </w:pPr>
      <w:r>
        <w:rPr>
          <w:lang w:val="en-US"/>
        </w:rPr>
        <w:t xml:space="preserve">where </w:t>
      </w:r>
      <m:oMath>
        <m:sSubSup>
          <m:sSubSupPr>
            <m:ctrlPr>
              <w:rPr>
                <w:rFonts w:ascii="Cambria Math" w:hAnsi="Cambria Math"/>
                <w:i/>
                <w:lang w:val="en-US"/>
              </w:rPr>
            </m:ctrlPr>
          </m:sSubSupPr>
          <m:e>
            <m:acc>
              <m:accPr>
                <m:chr m:val="̅"/>
                <m:ctrlPr>
                  <w:rPr>
                    <w:rFonts w:ascii="Cambria Math" w:hAnsi="Cambria Math"/>
                    <w:i/>
                    <w:lang w:val="en-US"/>
                  </w:rPr>
                </m:ctrlPr>
              </m:accPr>
              <m:e>
                <m:r>
                  <w:rPr>
                    <w:rFonts w:ascii="Cambria Math" w:hAnsi="Cambria Math"/>
                    <w:lang w:val="en-US"/>
                  </w:rPr>
                  <m:t>S</m:t>
                </m:r>
              </m:e>
            </m:acc>
          </m:e>
          <m:sub>
            <m:r>
              <w:rPr>
                <w:rFonts w:ascii="Cambria Math" w:hAnsi="Cambria Math"/>
                <w:lang w:val="en-US"/>
              </w:rPr>
              <m:t>t</m:t>
            </m:r>
          </m:sub>
          <m:sup>
            <m:r>
              <w:rPr>
                <w:rFonts w:ascii="Cambria Math" w:hAnsi="Cambria Math"/>
                <w:lang w:val="en-US"/>
              </w:rPr>
              <m:t>(n)</m:t>
            </m:r>
          </m:sup>
        </m:sSubSup>
      </m:oMath>
      <w:r>
        <w:rPr>
          <w:lang w:val="en-US"/>
        </w:rPr>
        <w:t xml:space="preserve"> is the mean of </w:t>
      </w:r>
      <m:oMath>
        <m:acc>
          <m:accPr>
            <m:chr m:val="̅"/>
            <m:ctrlPr>
              <w:rPr>
                <w:rFonts w:ascii="Cambria Math" w:hAnsi="Cambria Math"/>
                <w:i/>
                <w:lang w:val="en-US"/>
              </w:rPr>
            </m:ctrlPr>
          </m:accPr>
          <m:e>
            <m:r>
              <w:rPr>
                <w:rFonts w:ascii="Cambria Math" w:hAnsi="Cambria Math"/>
                <w:lang w:val="en-US"/>
              </w:rPr>
              <m:t>S</m:t>
            </m:r>
          </m:e>
        </m:acc>
      </m:oMath>
      <w:r>
        <w:rPr>
          <w:lang w:val="en-US"/>
        </w:rPr>
        <w:t xml:space="preserve"> over the </w:t>
      </w:r>
      <m:oMath>
        <m:r>
          <w:rPr>
            <w:rFonts w:ascii="Cambria Math" w:hAnsi="Cambria Math"/>
            <w:lang w:val="en-US"/>
          </w:rPr>
          <m:t>n</m:t>
        </m:r>
      </m:oMath>
      <w:r>
        <w:rPr>
          <w:lang w:val="en-US"/>
        </w:rPr>
        <w:t xml:space="preserve">-day window ending at day </w:t>
      </w:r>
      <m:oMath>
        <m:r>
          <w:rPr>
            <w:rFonts w:ascii="Cambria Math" w:hAnsi="Cambria Math"/>
            <w:lang w:val="en-US"/>
          </w:rPr>
          <m:t>t</m:t>
        </m:r>
      </m:oMath>
      <w:r w:rsidR="00563E18">
        <w:rPr>
          <w:lang w:val="en-US"/>
        </w:rPr>
        <w:t>.</w:t>
      </w:r>
    </w:p>
    <w:p w14:paraId="61AA99FC" w14:textId="0BA89297" w:rsidR="00565DF4" w:rsidRDefault="00565DF4" w:rsidP="00565DF4">
      <w:pPr>
        <w:rPr>
          <w:lang w:val="en-US"/>
        </w:rPr>
      </w:pPr>
      <w:r w:rsidRPr="00565DF4">
        <w:rPr>
          <w:lang w:val="en-US"/>
        </w:rPr>
        <w:t>Sentiment volatility is usually calculated as the rolling standard deviation of a sentiment score or index, which is not necessarily a return or increment-like variable</w:t>
      </w:r>
      <w:r>
        <w:rPr>
          <w:lang w:val="en-US"/>
        </w:rPr>
        <w:t>.</w:t>
      </w:r>
      <w:r>
        <w:t xml:space="preserve"> </w:t>
      </w:r>
      <w:r w:rsidRPr="00565DF4">
        <w:rPr>
          <w:lang w:val="en-US"/>
        </w:rPr>
        <w:t xml:space="preserve">The </w:t>
      </w:r>
      <w:r w:rsidR="00AA31A2" w:rsidRPr="00565DF4">
        <w:rPr>
          <w:lang w:val="en-US"/>
        </w:rPr>
        <w:t>sentimental</w:t>
      </w:r>
      <w:r w:rsidRPr="00565DF4">
        <w:rPr>
          <w:lang w:val="en-US"/>
        </w:rPr>
        <w:t xml:space="preserve"> data often reflects an aggregate or smooth measure of market mood or perception and may</w:t>
      </w:r>
      <w:r w:rsidR="00AA31A2">
        <w:rPr>
          <w:lang w:val="en-US"/>
        </w:rPr>
        <w:t xml:space="preserve"> h</w:t>
      </w:r>
      <w:r w:rsidRPr="00565DF4">
        <w:rPr>
          <w:lang w:val="en-US"/>
        </w:rPr>
        <w:t xml:space="preserve">ave different statistical properties than returns (e.g., not </w:t>
      </w:r>
      <w:proofErr w:type="spellStart"/>
      <w:r w:rsidRPr="00565DF4">
        <w:rPr>
          <w:lang w:val="en-US"/>
        </w:rPr>
        <w:t>i.i.d.</w:t>
      </w:r>
      <w:proofErr w:type="spellEnd"/>
      <w:r w:rsidRPr="00565DF4">
        <w:rPr>
          <w:lang w:val="en-US"/>
        </w:rPr>
        <w:t>, possibly autocorrelated).</w:t>
      </w:r>
    </w:p>
    <w:p w14:paraId="7F0100DF" w14:textId="713421D7" w:rsidR="00ED6C39" w:rsidRDefault="00AA31A2" w:rsidP="0079223B">
      <w:pPr>
        <w:rPr>
          <w:lang w:val="en-US"/>
        </w:rPr>
      </w:pPr>
      <w:r w:rsidRPr="00AA31A2">
        <w:rPr>
          <w:lang w:val="en-US"/>
        </w:rPr>
        <w:t xml:space="preserve">Thus, when computing sentiment volatility, just take the rolling standard deviation over the window without multiplying by </w:t>
      </w:r>
      <m:oMath>
        <m:r>
          <w:rPr>
            <w:rFonts w:ascii="Cambria Math" w:hAnsi="Cambria Math"/>
            <w:lang w:val="en-US"/>
          </w:rPr>
          <m:t>n</m:t>
        </m:r>
      </m:oMath>
      <w:r w:rsidRPr="00AA31A2">
        <w:rPr>
          <w:lang w:val="en-US"/>
        </w:rPr>
        <w:t xml:space="preserve"> because</w:t>
      </w:r>
      <w:r w:rsidRPr="00AA31A2">
        <w:t xml:space="preserve"> </w:t>
      </w:r>
      <w:r>
        <w:rPr>
          <w:lang w:val="en-US"/>
        </w:rPr>
        <w:t>t</w:t>
      </w:r>
      <w:r w:rsidRPr="00AA31A2">
        <w:rPr>
          <w:lang w:val="en-US"/>
        </w:rPr>
        <w:t>he interpretation of sentiment volatility is often relative variability within that window.</w:t>
      </w:r>
      <w:r>
        <w:rPr>
          <w:lang w:val="en-US"/>
        </w:rPr>
        <w:t xml:space="preserve"> Moreover, i</w:t>
      </w:r>
      <w:r w:rsidRPr="00AA31A2">
        <w:rPr>
          <w:lang w:val="en-US"/>
        </w:rPr>
        <w:t>t</w:t>
      </w:r>
      <w:r w:rsidR="004167FD">
        <w:rPr>
          <w:lang w:val="en-US"/>
        </w:rPr>
        <w:t xml:space="preserve"> </w:t>
      </w:r>
      <w:r w:rsidR="004167FD">
        <w:rPr>
          <w:lang w:val="en-US"/>
        </w:rPr>
        <w:lastRenderedPageBreak/>
        <w:t>i</w:t>
      </w:r>
      <w:r w:rsidRPr="00AA31A2">
        <w:rPr>
          <w:lang w:val="en-US"/>
        </w:rPr>
        <w:t>s treated more as a descriptive statistic rather than a time-scaled measure like market volatility.</w:t>
      </w:r>
    </w:p>
    <w:p w14:paraId="7338BC2E" w14:textId="45A0B745" w:rsidR="00F14D98" w:rsidRDefault="00F14D98" w:rsidP="00F14D98">
      <w:pPr>
        <w:pStyle w:val="Heading3"/>
        <w:rPr>
          <w:lang w:val="en-US"/>
        </w:rPr>
      </w:pPr>
      <w:bookmarkStart w:id="20" w:name="_Toc204515575"/>
      <w:proofErr w:type="spellStart"/>
      <w:r>
        <w:rPr>
          <w:lang w:val="en-US"/>
        </w:rPr>
        <w:t>VaR</w:t>
      </w:r>
      <w:proofErr w:type="spellEnd"/>
      <w:r>
        <w:rPr>
          <w:lang w:val="en-US"/>
        </w:rPr>
        <w:t xml:space="preserve"> and ES Features</w:t>
      </w:r>
      <w:bookmarkEnd w:id="20"/>
    </w:p>
    <w:p w14:paraId="4062854E" w14:textId="4D88279A" w:rsidR="00F14D98" w:rsidRDefault="00F14D98" w:rsidP="00F14D98">
      <w:pPr>
        <w:rPr>
          <w:lang w:val="en-US"/>
        </w:rPr>
      </w:pPr>
      <w:r w:rsidRPr="00F14D98">
        <w:rPr>
          <w:lang w:val="en-US"/>
        </w:rPr>
        <w:t>To enrich the model with forward-looking risk measures, we incorporate parametric Value-at-Risk (</w:t>
      </w:r>
      <w:proofErr w:type="spellStart"/>
      <w:r w:rsidRPr="00F14D98">
        <w:rPr>
          <w:lang w:val="en-US"/>
        </w:rPr>
        <w:t>VaR</w:t>
      </w:r>
      <w:proofErr w:type="spellEnd"/>
      <w:r w:rsidRPr="00F14D98">
        <w:rPr>
          <w:lang w:val="en-US"/>
        </w:rPr>
        <w:t xml:space="preserve">) and Expected Shortfall (ES) as additional features. These measures are computed under the assumption of normally distributed returns using a rolling window approach. For each window length </w:t>
      </w:r>
      <m:oMath>
        <m:r>
          <w:rPr>
            <w:rFonts w:ascii="Cambria Math" w:hAnsi="Cambria Math"/>
            <w:lang w:val="en-US"/>
          </w:rPr>
          <m:t>n</m:t>
        </m:r>
      </m:oMath>
      <w:r>
        <w:rPr>
          <w:lang w:val="en-US"/>
        </w:rPr>
        <w:t xml:space="preserve">, </w:t>
      </w:r>
      <w:r w:rsidRPr="00F14D98">
        <w:rPr>
          <w:lang w:val="en-US"/>
        </w:rPr>
        <w:t>and standard deviation</w:t>
      </w:r>
      <w:r>
        <w:rPr>
          <w:lang w:val="en-US"/>
        </w:rPr>
        <w:t xml:space="preserve"> </w:t>
      </w:r>
      <w:r w:rsidRPr="00F14D98">
        <w:rPr>
          <w:lang w:val="en-US"/>
        </w:rPr>
        <w:t>of</w:t>
      </w:r>
      <w:r>
        <w:rPr>
          <w:lang w:val="en-US"/>
        </w:rPr>
        <w:t xml:space="preserve"> </w:t>
      </w:r>
      <m:oMath>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t</m:t>
            </m:r>
          </m:sub>
        </m:sSub>
      </m:oMath>
      <w:r w:rsidR="007919C2">
        <w:rPr>
          <w:lang w:val="en-US"/>
        </w:rPr>
        <w:t xml:space="preserve"> </w:t>
      </w:r>
      <w:r w:rsidRPr="00F14D98">
        <w:rPr>
          <w:lang w:val="en-US"/>
        </w:rPr>
        <w:t xml:space="preserve">daily returns are calculated. The one-day </w:t>
      </w:r>
      <w:proofErr w:type="spellStart"/>
      <w:r w:rsidRPr="00F14D98">
        <w:rPr>
          <w:lang w:val="en-US"/>
        </w:rPr>
        <w:t>VaR</w:t>
      </w:r>
      <w:proofErr w:type="spellEnd"/>
      <w:r w:rsidRPr="00F14D98">
        <w:rPr>
          <w:lang w:val="en-US"/>
        </w:rPr>
        <w:t xml:space="preserve"> at confidence level </w:t>
      </w:r>
      <m:oMath>
        <m:r>
          <w:rPr>
            <w:rFonts w:ascii="Cambria Math" w:hAnsi="Cambria Math"/>
            <w:lang w:val="en-US"/>
          </w:rPr>
          <m:t>α</m:t>
        </m:r>
      </m:oMath>
      <w:r>
        <w:rPr>
          <w:lang w:val="en-US"/>
        </w:rPr>
        <w:t xml:space="preserve"> </w:t>
      </w:r>
      <w:r w:rsidRPr="00F14D98">
        <w:rPr>
          <w:lang w:val="en-US"/>
        </w:rPr>
        <w:t>is given by:</w:t>
      </w:r>
    </w:p>
    <w:p w14:paraId="57BE7DA3" w14:textId="33093D47" w:rsidR="00744C45" w:rsidRPr="00C74F68" w:rsidRDefault="00000000" w:rsidP="00F14D98">
      <w:pPr>
        <w:rPr>
          <w:lang w:val="en-US"/>
        </w:rPr>
      </w:pPr>
      <m:oMathPara>
        <m:oMath>
          <m:sSubSup>
            <m:sSubSupPr>
              <m:ctrlPr>
                <w:rPr>
                  <w:rFonts w:ascii="Cambria Math" w:hAnsi="Cambria Math"/>
                  <w:i/>
                  <w:lang w:val="en-US"/>
                </w:rPr>
              </m:ctrlPr>
            </m:sSubSupPr>
            <m:e>
              <m:r>
                <w:rPr>
                  <w:rFonts w:ascii="Cambria Math" w:hAnsi="Cambria Math"/>
                  <w:lang w:val="en-US"/>
                </w:rPr>
                <m:t>VaR</m:t>
              </m:r>
            </m:e>
            <m:sub>
              <m:r>
                <w:rPr>
                  <w:rFonts w:ascii="Cambria Math" w:hAnsi="Cambria Math"/>
                  <w:lang w:val="en-US"/>
                </w:rPr>
                <m:t>t</m:t>
              </m:r>
            </m:sub>
            <m:sup>
              <m:r>
                <w:rPr>
                  <w:rFonts w:ascii="Cambria Math" w:hAnsi="Cambria Math"/>
                  <w:lang w:val="en-US"/>
                </w:rPr>
                <m:t>(n)</m:t>
              </m:r>
            </m:sup>
          </m:sSubSup>
          <m:r>
            <w:rPr>
              <w:rFonts w:ascii="Cambria Math" w:hAnsi="Cambria Math"/>
              <w:lang w:val="en-US"/>
            </w:rPr>
            <m:t>= -(</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α</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t</m:t>
              </m:r>
            </m:sub>
          </m:sSub>
          <m:r>
            <w:rPr>
              <w:rFonts w:ascii="Cambria Math" w:hAnsi="Cambria Math"/>
              <w:lang w:val="en-US"/>
            </w:rPr>
            <m:t>)</m:t>
          </m:r>
        </m:oMath>
      </m:oMathPara>
    </w:p>
    <w:p w14:paraId="55D60E69" w14:textId="31328255" w:rsidR="00C74F68" w:rsidRDefault="00C74F68" w:rsidP="00C74F68">
      <w:pPr>
        <w:rPr>
          <w:lang w:val="en-US"/>
        </w:rPr>
      </w:pPr>
      <w:r w:rsidRPr="00C74F68">
        <w:rPr>
          <w:lang w:val="en-US"/>
        </w:rPr>
        <w:t>where</w:t>
      </w:r>
      <w:r>
        <w:rPr>
          <w:lang w:val="en-US"/>
        </w:rPr>
        <w:t xml:space="preserve"> </w:t>
      </w:r>
      <m:oMath>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α</m:t>
            </m:r>
          </m:sub>
        </m:sSub>
      </m:oMath>
      <w:r w:rsidRPr="00C74F68">
        <w:rPr>
          <w:lang w:val="en-US"/>
        </w:rPr>
        <w:t xml:space="preserve"> is the z-score corresponding to the confidence level </w:t>
      </w:r>
      <m:oMath>
        <m:r>
          <w:rPr>
            <w:rFonts w:ascii="Cambria Math" w:hAnsi="Cambria Math"/>
            <w:lang w:val="en-US"/>
          </w:rPr>
          <m:t>α</m:t>
        </m:r>
      </m:oMath>
      <w:r>
        <w:rPr>
          <w:lang w:val="en-US"/>
        </w:rPr>
        <w:t xml:space="preserve"> </w:t>
      </w:r>
      <w:r w:rsidRPr="00C74F68">
        <w:rPr>
          <w:lang w:val="en-US"/>
        </w:rPr>
        <w:t>(e.g.,</w:t>
      </w:r>
      <w:r>
        <w:rPr>
          <w:lang w:val="en-US"/>
        </w:rPr>
        <w:t xml:space="preserve"> </w:t>
      </w:r>
      <m:oMath>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0.05</m:t>
            </m:r>
          </m:sub>
        </m:sSub>
      </m:oMath>
      <w:r w:rsidRPr="00C74F68">
        <w:rPr>
          <w:lang w:val="en-US"/>
        </w:rPr>
        <w:t xml:space="preserve"> ≈</w:t>
      </w:r>
      <w:r>
        <w:rPr>
          <w:lang w:val="en-US"/>
        </w:rPr>
        <w:t xml:space="preserve"> </w:t>
      </w:r>
      <w:r w:rsidRPr="00C74F68">
        <w:rPr>
          <w:lang w:val="en-US"/>
        </w:rPr>
        <w:t>1.64</w:t>
      </w:r>
      <w:r>
        <w:rPr>
          <w:lang w:val="en-US"/>
        </w:rPr>
        <w:t xml:space="preserve"> </w:t>
      </w:r>
      <w:r w:rsidRPr="00C74F68">
        <w:rPr>
          <w:lang w:val="en-US"/>
        </w:rPr>
        <w:t>for 95% confidence). The corresponding</w:t>
      </w:r>
      <w:r w:rsidR="009A0EDD">
        <w:rPr>
          <w:lang w:val="en-US"/>
        </w:rPr>
        <w:t xml:space="preserve"> ES</w:t>
      </w:r>
      <w:r w:rsidRPr="00C74F68">
        <w:rPr>
          <w:lang w:val="en-US"/>
        </w:rPr>
        <w:t xml:space="preserve">, which estimates the expected loss conditional on the loss exceeding the </w:t>
      </w:r>
      <w:proofErr w:type="spellStart"/>
      <w:r w:rsidRPr="00C74F68">
        <w:rPr>
          <w:lang w:val="en-US"/>
        </w:rPr>
        <w:t>VaR</w:t>
      </w:r>
      <w:proofErr w:type="spellEnd"/>
      <w:r w:rsidRPr="00C74F68">
        <w:rPr>
          <w:lang w:val="en-US"/>
        </w:rPr>
        <w:t xml:space="preserve"> threshold, is computed as:</w:t>
      </w:r>
    </w:p>
    <w:p w14:paraId="14F85D35" w14:textId="19D190CE" w:rsidR="00C74F68" w:rsidRPr="007149C2" w:rsidRDefault="00000000" w:rsidP="00C74F68">
      <w:pPr>
        <w:rPr>
          <w:lang w:val="en-US"/>
        </w:rPr>
      </w:pPr>
      <m:oMathPara>
        <m:oMath>
          <m:sSubSup>
            <m:sSubSupPr>
              <m:ctrlPr>
                <w:rPr>
                  <w:rFonts w:ascii="Cambria Math" w:hAnsi="Cambria Math"/>
                  <w:i/>
                  <w:lang w:val="en-US"/>
                </w:rPr>
              </m:ctrlPr>
            </m:sSubSupPr>
            <m:e>
              <m:r>
                <w:rPr>
                  <w:rFonts w:ascii="Cambria Math" w:hAnsi="Cambria Math"/>
                  <w:lang w:val="en-US"/>
                </w:rPr>
                <m:t>ES</m:t>
              </m:r>
            </m:e>
            <m:sub>
              <m:r>
                <w:rPr>
                  <w:rFonts w:ascii="Cambria Math" w:hAnsi="Cambria Math"/>
                  <w:lang w:val="en-US"/>
                </w:rPr>
                <m:t>t</m:t>
              </m:r>
            </m:sub>
            <m:sup>
              <m:r>
                <w:rPr>
                  <w:rFonts w:ascii="Cambria Math" w:hAnsi="Cambria Math"/>
                  <w:lang w:val="en-US"/>
                </w:rPr>
                <m:t>(n)</m:t>
              </m:r>
            </m:sup>
          </m:sSubSup>
          <m:r>
            <w:rPr>
              <w:rFonts w:ascii="Cambria Math" w:hAnsi="Cambria Math"/>
              <w:lang w:val="en-US"/>
            </w:rPr>
            <m:t>= -(</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t</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ϕ(</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α</m:t>
                  </m:r>
                </m:sub>
              </m:sSub>
              <m:r>
                <w:rPr>
                  <w:rFonts w:ascii="Cambria Math" w:hAnsi="Cambria Math"/>
                  <w:lang w:val="en-US"/>
                </w:rPr>
                <m:t>)</m:t>
              </m:r>
            </m:num>
            <m:den>
              <m:r>
                <w:rPr>
                  <w:rFonts w:ascii="Cambria Math" w:hAnsi="Cambria Math"/>
                  <w:lang w:val="en-US"/>
                </w:rPr>
                <m:t>α</m:t>
              </m:r>
            </m:den>
          </m:f>
          <m:r>
            <w:rPr>
              <w:rFonts w:ascii="Cambria Math" w:hAnsi="Cambria Math"/>
              <w:lang w:val="en-US"/>
            </w:rPr>
            <m:t>)</m:t>
          </m:r>
        </m:oMath>
      </m:oMathPara>
    </w:p>
    <w:p w14:paraId="7363E52C" w14:textId="714F7CB0" w:rsidR="00760E81" w:rsidRDefault="007149C2" w:rsidP="00760E81">
      <w:pPr>
        <w:rPr>
          <w:lang w:val="en-US"/>
        </w:rPr>
      </w:pPr>
      <w:r w:rsidRPr="007149C2">
        <w:rPr>
          <w:lang w:val="en-US"/>
        </w:rPr>
        <w:t xml:space="preserve">where </w:t>
      </w:r>
      <m:oMath>
        <m:r>
          <w:rPr>
            <w:rFonts w:ascii="Cambria Math" w:hAnsi="Cambria Math"/>
            <w:lang w:val="en-US"/>
          </w:rPr>
          <m:t>ϕ(</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α</m:t>
            </m:r>
          </m:sub>
        </m:sSub>
        <m:r>
          <w:rPr>
            <w:rFonts w:ascii="Cambria Math" w:hAnsi="Cambria Math"/>
            <w:lang w:val="en-US"/>
          </w:rPr>
          <m:t>)</m:t>
        </m:r>
      </m:oMath>
      <w:r w:rsidRPr="007149C2">
        <w:rPr>
          <w:lang w:val="en-US"/>
        </w:rPr>
        <w:t xml:space="preserve"> is the standard normal probability density function evaluated at </w:t>
      </w:r>
      <m:oMath>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α</m:t>
            </m:r>
          </m:sub>
        </m:sSub>
      </m:oMath>
      <w:r w:rsidRPr="007149C2">
        <w:rPr>
          <w:lang w:val="en-US"/>
        </w:rPr>
        <w:t xml:space="preserve">, and </w:t>
      </w:r>
      <m:oMath>
        <m:r>
          <w:rPr>
            <w:rFonts w:ascii="Cambria Math" w:hAnsi="Cambria Math"/>
            <w:lang w:val="en-US"/>
          </w:rPr>
          <m:t>α</m:t>
        </m:r>
      </m:oMath>
      <w:r>
        <w:rPr>
          <w:lang w:val="en-US"/>
        </w:rPr>
        <w:t xml:space="preserve"> </w:t>
      </w:r>
      <w:r w:rsidRPr="007149C2">
        <w:rPr>
          <w:lang w:val="en-US"/>
        </w:rPr>
        <w:t>is the tail probability. These risk measures provide a theoretically grounded way to quantify downside risk and help capture volatility dynamics that may precede extreme market events.</w:t>
      </w:r>
    </w:p>
    <w:p w14:paraId="30EF918C" w14:textId="6ACD7CD0" w:rsidR="00A677EE" w:rsidRDefault="00A677EE" w:rsidP="00A677EE">
      <w:pPr>
        <w:rPr>
          <w:lang w:val="en-US"/>
        </w:rPr>
      </w:pPr>
      <w:r w:rsidRPr="00A677EE">
        <w:rPr>
          <w:lang w:val="en-US"/>
        </w:rPr>
        <w:t xml:space="preserve">When estimating </w:t>
      </w:r>
      <w:proofErr w:type="spellStart"/>
      <w:r w:rsidRPr="00A677EE">
        <w:rPr>
          <w:lang w:val="en-US"/>
        </w:rPr>
        <w:t>VaR</w:t>
      </w:r>
      <w:proofErr w:type="spellEnd"/>
      <w:r w:rsidRPr="00A677EE">
        <w:rPr>
          <w:lang w:val="en-US"/>
        </w:rPr>
        <w:t xml:space="preserve"> and</w:t>
      </w:r>
      <w:r w:rsidR="003E2DDE">
        <w:rPr>
          <w:lang w:val="en-US"/>
        </w:rPr>
        <w:t xml:space="preserve"> </w:t>
      </w:r>
      <w:r w:rsidRPr="00A677EE">
        <w:rPr>
          <w:lang w:val="en-US"/>
        </w:rPr>
        <w:t xml:space="preserve">ES, the rolling standard deviation is typically used without the </w:t>
      </w:r>
      <m:oMath>
        <m:r>
          <w:rPr>
            <w:rFonts w:ascii="Cambria Math" w:hAnsi="Cambria Math"/>
            <w:lang w:val="en-US"/>
          </w:rPr>
          <m:t>n</m:t>
        </m:r>
      </m:oMath>
      <w:r w:rsidRPr="00A677EE">
        <w:rPr>
          <w:lang w:val="en-US"/>
        </w:rPr>
        <w:t xml:space="preserve"> factor because the goal is to estimate 1-day risk based on the most recent n-day window</w:t>
      </w:r>
      <w:r w:rsidR="00C063C1">
        <w:rPr>
          <w:lang w:val="en-US"/>
        </w:rPr>
        <w:t xml:space="preserve"> (</w:t>
      </w:r>
      <w:proofErr w:type="spellStart"/>
      <w:r w:rsidR="00C063C1" w:rsidRPr="00656EC6">
        <w:t>Hällman</w:t>
      </w:r>
      <w:proofErr w:type="spellEnd"/>
      <w:r w:rsidR="00C063C1" w:rsidRPr="00656EC6">
        <w:t>, 201</w:t>
      </w:r>
      <w:r w:rsidR="001165BB" w:rsidRPr="00656EC6">
        <w:t>7</w:t>
      </w:r>
      <w:r w:rsidR="00C063C1">
        <w:rPr>
          <w:lang w:val="en-US"/>
        </w:rPr>
        <w:t>)</w:t>
      </w:r>
      <w:r w:rsidRPr="00A677EE">
        <w:rPr>
          <w:lang w:val="en-US"/>
        </w:rPr>
        <w:t xml:space="preserve">. In this context, the standard deviation represents the forecast of next-day volatility, not an aggregated risk over </w:t>
      </w:r>
      <m:oMath>
        <m:r>
          <w:rPr>
            <w:rFonts w:ascii="Cambria Math" w:hAnsi="Cambria Math"/>
            <w:lang w:val="en-US"/>
          </w:rPr>
          <m:t>n</m:t>
        </m:r>
      </m:oMath>
      <w:r w:rsidRPr="00A677EE">
        <w:rPr>
          <w:lang w:val="en-US"/>
        </w:rPr>
        <w:t xml:space="preserve"> days.</w:t>
      </w:r>
    </w:p>
    <w:p w14:paraId="396C5F85" w14:textId="216B9835" w:rsidR="00E763FA" w:rsidRDefault="00E763FA" w:rsidP="00E763FA">
      <w:pPr>
        <w:pStyle w:val="Heading3"/>
        <w:rPr>
          <w:lang w:val="en-US"/>
        </w:rPr>
      </w:pPr>
      <w:r>
        <w:rPr>
          <w:lang w:val="en-US"/>
        </w:rPr>
        <w:t>Preprocessing and Scaling</w:t>
      </w:r>
    </w:p>
    <w:p w14:paraId="169EA483" w14:textId="4BE10873" w:rsidR="00E763FA" w:rsidRPr="00E763FA" w:rsidRDefault="00E763FA" w:rsidP="00E763FA">
      <w:r w:rsidRPr="00E763FA">
        <w:t xml:space="preserve">The feature columns with missing data were imputed using mean values calculated from the training dataset, followed by feature scaling using the </w:t>
      </w:r>
      <w:proofErr w:type="spellStart"/>
      <w:r w:rsidRPr="00E763FA">
        <w:t>StandardScaler</w:t>
      </w:r>
      <w:proofErr w:type="spellEnd"/>
      <w:r w:rsidR="00FE5C88">
        <w:t xml:space="preserve"> from </w:t>
      </w:r>
      <w:proofErr w:type="spellStart"/>
      <w:r w:rsidR="00FE5C88">
        <w:t>sklearn</w:t>
      </w:r>
      <w:proofErr w:type="spellEnd"/>
      <w:r w:rsidR="00FE5C88">
        <w:t xml:space="preserve"> packag</w:t>
      </w:r>
      <w:r w:rsidR="00C07150">
        <w:t>e</w:t>
      </w:r>
      <w:r>
        <w:rPr>
          <w:rStyle w:val="FootnoteReference"/>
        </w:rPr>
        <w:footnoteReference w:id="4"/>
      </w:r>
      <w:r w:rsidRPr="00E763FA">
        <w:t xml:space="preserve">. This scaler standardizes features by removing the mean and scaling to unit variance, ensuring that each feature contributes equally to the model training process and preventing features with larger scales from dominating. Additionally, </w:t>
      </w:r>
      <w:r w:rsidR="005575F6">
        <w:t xml:space="preserve">SMOTE </w:t>
      </w:r>
      <w:r w:rsidRPr="00E763FA">
        <w:t>was implemented solely on the training set to address class imbalance issues.</w:t>
      </w:r>
    </w:p>
    <w:p w14:paraId="405FEA7D" w14:textId="596F4E81" w:rsidR="00760E81" w:rsidRPr="00760E81" w:rsidRDefault="00C92AB8" w:rsidP="00760E81">
      <w:pPr>
        <w:pStyle w:val="Heading2"/>
      </w:pPr>
      <w:r>
        <w:t>Model Implementation</w:t>
      </w:r>
    </w:p>
    <w:p w14:paraId="613378A9" w14:textId="69B2C8A6" w:rsidR="006023F9" w:rsidRDefault="004A66D3" w:rsidP="006023F9">
      <w:pPr>
        <w:pStyle w:val="Heading3"/>
      </w:pPr>
      <w:r>
        <w:t xml:space="preserve">Static </w:t>
      </w:r>
      <w:r w:rsidR="006023F9" w:rsidRPr="006023F9">
        <w:t>Logistic Regression</w:t>
      </w:r>
    </w:p>
    <w:p w14:paraId="1E207EBE" w14:textId="1EEE3E0A" w:rsidR="006023F9" w:rsidRDefault="00EA7FC6" w:rsidP="006023F9">
      <w:r>
        <w:t>T</w:t>
      </w:r>
      <w:r w:rsidR="006023F9">
        <w:t xml:space="preserve">he model estimates the conditional probability of a future crash </w:t>
      </w:r>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=1</m:t>
        </m:r>
      </m:oMath>
      <w:r w:rsidR="006023F9">
        <w:t xml:space="preserve"> at time </w:t>
      </w:r>
      <m:oMath>
        <m:r>
          <w:rPr>
            <w:rFonts w:ascii="Cambria Math" w:hAnsi="Cambria Math"/>
          </w:rPr>
          <m:t>t</m:t>
        </m:r>
      </m:oMath>
      <w:r w:rsidR="006023F9">
        <w:t xml:space="preserve">, given the features, by </w:t>
      </w:r>
      <w:r w:rsidR="00726EAA">
        <w:t>modelling</w:t>
      </w:r>
      <w:r w:rsidR="00726EAA" w:rsidRPr="00726EAA">
        <w:t xml:space="preserve"> the probability</w:t>
      </w:r>
      <w:r w:rsidR="00E41C6E">
        <w:t xml:space="preserve"> as a function</w:t>
      </w:r>
      <w:r w:rsidR="00080AEB">
        <w:t>:</w:t>
      </w:r>
    </w:p>
    <w:p w14:paraId="201EFE74" w14:textId="29683991" w:rsidR="00726EAA" w:rsidRPr="00726EAA" w:rsidRDefault="00726EAA" w:rsidP="006023F9">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 σ(</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β</m:t>
              </m:r>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oMath>
      </m:oMathPara>
    </w:p>
    <w:p w14:paraId="6A175379" w14:textId="3663BBD2" w:rsidR="00726EAA" w:rsidRDefault="00726EAA" w:rsidP="006023F9">
      <w:r>
        <w:lastRenderedPageBreak/>
        <w:t xml:space="preserve">where </w:t>
      </w:r>
      <m:oMath>
        <m:r>
          <w:rPr>
            <w:rFonts w:ascii="Cambria Math" w:hAnsi="Cambria Math"/>
          </w:rPr>
          <m:t>σ</m:t>
        </m:r>
        <m:d>
          <m:dPr>
            <m:ctrlPr>
              <w:rPr>
                <w:rFonts w:ascii="Cambria Math" w:hAnsi="Cambria Math"/>
                <w:i/>
              </w:rPr>
            </m:ctrlPr>
          </m:dPr>
          <m:e>
            <m:r>
              <w:rPr>
                <w:rFonts w:ascii="Cambria Math" w:hAnsi="Cambria Math"/>
              </w:rPr>
              <m:t>*</m:t>
            </m:r>
          </m:e>
        </m:d>
      </m:oMath>
      <w:r>
        <w:t xml:space="preserve"> is the sigmoid function, </w:t>
      </w:r>
      <m:oMath>
        <m:r>
          <w:rPr>
            <w:rFonts w:ascii="Cambria Math" w:hAnsi="Cambria Math"/>
          </w:rPr>
          <m:t>β</m:t>
        </m:r>
      </m:oMath>
      <w:r w:rsidRPr="00726EAA">
        <w:t xml:space="preserve"> are the coefficients learned from the data,</w:t>
      </w:r>
      <w:r>
        <w:t xml:space="preserve"> and </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t xml:space="preserve"> is the intercept. The log-odds (logit) form of model </w:t>
      </w:r>
      <w:r w:rsidR="00FB49EC">
        <w:t>shown as</w:t>
      </w:r>
      <w:r>
        <w:t>:</w:t>
      </w:r>
    </w:p>
    <w:p w14:paraId="6B9948DD" w14:textId="31809F10" w:rsidR="00080AEB" w:rsidRPr="0072501A" w:rsidRDefault="00000000" w:rsidP="006023F9">
      <m:oMathPara>
        <m:oMath>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t</m:t>
                              </m:r>
                            </m:sub>
                          </m:sSub>
                        </m:e>
                      </m:d>
                    </m:num>
                    <m:den>
                      <m:r>
                        <w:rPr>
                          <w:rFonts w:ascii="Cambria Math" w:hAnsi="Cambria Math"/>
                        </w:rPr>
                        <m:t>1-P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t</m:t>
                              </m:r>
                            </m:sub>
                          </m:sSub>
                        </m:e>
                      </m:d>
                    </m:den>
                  </m:f>
                </m:e>
              </m:d>
            </m:e>
          </m:func>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Sup>
            <m:sSubSupPr>
              <m:ctrlPr>
                <w:rPr>
                  <w:rFonts w:ascii="Cambria Math" w:hAnsi="Cambria Math"/>
                  <w:i/>
                </w:rPr>
              </m:ctrlPr>
            </m:sSubSupPr>
            <m:e>
              <m:r>
                <w:rPr>
                  <w:rFonts w:ascii="Cambria Math" w:hAnsi="Cambria Math"/>
                </w:rPr>
                <m:t>MV</m:t>
              </m:r>
            </m:e>
            <m:sub>
              <m:r>
                <w:rPr>
                  <w:rFonts w:ascii="Cambria Math" w:hAnsi="Cambria Math"/>
                </w:rPr>
                <m:t>t</m:t>
              </m:r>
            </m:sub>
            <m:sup>
              <m:d>
                <m:dPr>
                  <m:ctrlPr>
                    <w:rPr>
                      <w:rFonts w:ascii="Cambria Math" w:hAnsi="Cambria Math"/>
                      <w:i/>
                    </w:rPr>
                  </m:ctrlPr>
                </m:dPr>
                <m:e>
                  <m:r>
                    <w:rPr>
                      <w:rFonts w:ascii="Cambria Math" w:hAnsi="Cambria Math"/>
                    </w:rPr>
                    <m:t>n</m:t>
                  </m:r>
                </m:e>
              </m:d>
            </m:sup>
          </m:sSubSup>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SV</m:t>
              </m:r>
            </m:e>
            <m:sub>
              <m:r>
                <w:rPr>
                  <w:rFonts w:ascii="Cambria Math" w:hAnsi="Cambria Math"/>
                </w:rPr>
                <m:t>t</m:t>
              </m:r>
            </m:sub>
            <m:sup>
              <m:d>
                <m:dPr>
                  <m:ctrlPr>
                    <w:rPr>
                      <w:rFonts w:ascii="Cambria Math" w:hAnsi="Cambria Math"/>
                      <w:i/>
                    </w:rPr>
                  </m:ctrlPr>
                </m:dPr>
                <m:e>
                  <m:r>
                    <w:rPr>
                      <w:rFonts w:ascii="Cambria Math" w:hAnsi="Cambria Math"/>
                    </w:rPr>
                    <m:t>n</m:t>
                  </m:r>
                </m:e>
              </m:d>
            </m:sup>
          </m:sSubSup>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m:t>
          </m:r>
          <m:sSubSup>
            <m:sSubSupPr>
              <m:ctrlPr>
                <w:rPr>
                  <w:rFonts w:ascii="Cambria Math" w:hAnsi="Cambria Math"/>
                  <w:i/>
                </w:rPr>
              </m:ctrlPr>
            </m:sSubSupPr>
            <m:e>
              <m:r>
                <w:rPr>
                  <w:rFonts w:ascii="Cambria Math" w:hAnsi="Cambria Math"/>
                </w:rPr>
                <m:t>VaR</m:t>
              </m:r>
            </m:e>
            <m:sub>
              <m:r>
                <w:rPr>
                  <w:rFonts w:ascii="Cambria Math" w:hAnsi="Cambria Math"/>
                </w:rPr>
                <m:t>t</m:t>
              </m:r>
            </m:sub>
            <m:sup>
              <m:d>
                <m:dPr>
                  <m:ctrlPr>
                    <w:rPr>
                      <w:rFonts w:ascii="Cambria Math" w:hAnsi="Cambria Math"/>
                      <w:i/>
                    </w:rPr>
                  </m:ctrlPr>
                </m:dPr>
                <m:e>
                  <m:r>
                    <w:rPr>
                      <w:rFonts w:ascii="Cambria Math" w:hAnsi="Cambria Math"/>
                    </w:rPr>
                    <m:t>n</m:t>
                  </m:r>
                </m:e>
              </m:d>
            </m:sup>
          </m:sSubSup>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4</m:t>
              </m:r>
            </m:sub>
          </m:sSub>
          <m:r>
            <w:rPr>
              <w:rFonts w:ascii="Cambria Math" w:hAnsi="Cambria Math"/>
            </w:rPr>
            <m:t>∙</m:t>
          </m:r>
          <m:sSubSup>
            <m:sSubSupPr>
              <m:ctrlPr>
                <w:rPr>
                  <w:rFonts w:ascii="Cambria Math" w:hAnsi="Cambria Math"/>
                  <w:i/>
                </w:rPr>
              </m:ctrlPr>
            </m:sSubSupPr>
            <m:e>
              <m:r>
                <w:rPr>
                  <w:rFonts w:ascii="Cambria Math" w:hAnsi="Cambria Math"/>
                </w:rPr>
                <m:t>ES</m:t>
              </m:r>
            </m:e>
            <m:sub>
              <m:r>
                <w:rPr>
                  <w:rFonts w:ascii="Cambria Math" w:hAnsi="Cambria Math"/>
                </w:rPr>
                <m:t>t</m:t>
              </m:r>
            </m:sub>
            <m:sup>
              <m:r>
                <w:rPr>
                  <w:rFonts w:ascii="Cambria Math" w:hAnsi="Cambria Math"/>
                </w:rPr>
                <m:t>(n)</m:t>
              </m:r>
            </m:sup>
          </m:sSubSup>
        </m:oMath>
      </m:oMathPara>
    </w:p>
    <w:p w14:paraId="511836D4" w14:textId="28FC4C5E" w:rsidR="0072501A" w:rsidRPr="0072501A" w:rsidRDefault="00000000" w:rsidP="006023F9">
      <m:oMathPara>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MV</m:t>
              </m:r>
            </m:e>
            <m:sub>
              <m:r>
                <w:rPr>
                  <w:rFonts w:ascii="Cambria Math" w:hAnsi="Cambria Math"/>
                </w:rPr>
                <m:t>t</m:t>
              </m:r>
            </m:sub>
            <m:sup>
              <m:d>
                <m:dPr>
                  <m:ctrlPr>
                    <w:rPr>
                      <w:rFonts w:ascii="Cambria Math" w:hAnsi="Cambria Math"/>
                      <w:i/>
                    </w:rPr>
                  </m:ctrlPr>
                </m:dPr>
                <m:e>
                  <m:r>
                    <w:rPr>
                      <w:rFonts w:ascii="Cambria Math" w:hAnsi="Cambria Math"/>
                    </w:rPr>
                    <m:t>n</m:t>
                  </m:r>
                </m:e>
              </m:d>
            </m:sup>
          </m:sSubSup>
          <m:r>
            <w:rPr>
              <w:rFonts w:ascii="Cambria Math" w:hAnsi="Cambria Math"/>
            </w:rPr>
            <m:t xml:space="preserve">, </m:t>
          </m:r>
          <m:sSubSup>
            <m:sSubSupPr>
              <m:ctrlPr>
                <w:rPr>
                  <w:rFonts w:ascii="Cambria Math" w:hAnsi="Cambria Math"/>
                  <w:i/>
                </w:rPr>
              </m:ctrlPr>
            </m:sSubSupPr>
            <m:e>
              <m:r>
                <w:rPr>
                  <w:rFonts w:ascii="Cambria Math" w:hAnsi="Cambria Math"/>
                </w:rPr>
                <m:t>SV</m:t>
              </m:r>
            </m:e>
            <m:sub>
              <m:r>
                <w:rPr>
                  <w:rFonts w:ascii="Cambria Math" w:hAnsi="Cambria Math"/>
                </w:rPr>
                <m:t>t</m:t>
              </m:r>
            </m:sub>
            <m:sup>
              <m:d>
                <m:dPr>
                  <m:ctrlPr>
                    <w:rPr>
                      <w:rFonts w:ascii="Cambria Math" w:hAnsi="Cambria Math"/>
                      <w:i/>
                    </w:rPr>
                  </m:ctrlPr>
                </m:dPr>
                <m:e>
                  <m:r>
                    <w:rPr>
                      <w:rFonts w:ascii="Cambria Math" w:hAnsi="Cambria Math"/>
                    </w:rPr>
                    <m:t>n</m:t>
                  </m:r>
                </m:e>
              </m:d>
            </m:sup>
          </m:sSubSup>
          <m:r>
            <w:rPr>
              <w:rFonts w:ascii="Cambria Math" w:hAnsi="Cambria Math"/>
            </w:rPr>
            <m:t xml:space="preserve">, </m:t>
          </m:r>
          <m:sSubSup>
            <m:sSubSupPr>
              <m:ctrlPr>
                <w:rPr>
                  <w:rFonts w:ascii="Cambria Math" w:hAnsi="Cambria Math"/>
                  <w:i/>
                </w:rPr>
              </m:ctrlPr>
            </m:sSubSupPr>
            <m:e>
              <m:r>
                <w:rPr>
                  <w:rFonts w:ascii="Cambria Math" w:hAnsi="Cambria Math"/>
                </w:rPr>
                <m:t>VaR</m:t>
              </m:r>
            </m:e>
            <m:sub>
              <m:r>
                <w:rPr>
                  <w:rFonts w:ascii="Cambria Math" w:hAnsi="Cambria Math"/>
                </w:rPr>
                <m:t>t</m:t>
              </m:r>
            </m:sub>
            <m:sup>
              <m:d>
                <m:dPr>
                  <m:ctrlPr>
                    <w:rPr>
                      <w:rFonts w:ascii="Cambria Math" w:hAnsi="Cambria Math"/>
                      <w:i/>
                    </w:rPr>
                  </m:ctrlPr>
                </m:dPr>
                <m:e>
                  <m:r>
                    <w:rPr>
                      <w:rFonts w:ascii="Cambria Math" w:hAnsi="Cambria Math"/>
                    </w:rPr>
                    <m:t>n</m:t>
                  </m:r>
                </m:e>
              </m:d>
            </m:sup>
          </m:sSubSup>
          <m:r>
            <w:rPr>
              <w:rFonts w:ascii="Cambria Math" w:hAnsi="Cambria Math"/>
            </w:rPr>
            <m:t xml:space="preserve">, </m:t>
          </m:r>
          <m:sSubSup>
            <m:sSubSupPr>
              <m:ctrlPr>
                <w:rPr>
                  <w:rFonts w:ascii="Cambria Math" w:hAnsi="Cambria Math"/>
                  <w:i/>
                </w:rPr>
              </m:ctrlPr>
            </m:sSubSupPr>
            <m:e>
              <m:r>
                <w:rPr>
                  <w:rFonts w:ascii="Cambria Math" w:hAnsi="Cambria Math"/>
                </w:rPr>
                <m:t>ES</m:t>
              </m:r>
            </m:e>
            <m:sub>
              <m:r>
                <w:rPr>
                  <w:rFonts w:ascii="Cambria Math" w:hAnsi="Cambria Math"/>
                </w:rPr>
                <m:t>t</m:t>
              </m:r>
            </m:sub>
            <m:sup>
              <m:d>
                <m:dPr>
                  <m:ctrlPr>
                    <w:rPr>
                      <w:rFonts w:ascii="Cambria Math" w:hAnsi="Cambria Math"/>
                      <w:i/>
                    </w:rPr>
                  </m:ctrlPr>
                </m:dPr>
                <m:e>
                  <m:r>
                    <w:rPr>
                      <w:rFonts w:ascii="Cambria Math" w:hAnsi="Cambria Math"/>
                    </w:rPr>
                    <m:t>n</m:t>
                  </m:r>
                </m:e>
              </m:d>
            </m:sup>
          </m:sSubSup>
          <m:r>
            <w:rPr>
              <w:rFonts w:ascii="Cambria Math" w:hAnsi="Cambria Math"/>
            </w:rPr>
            <m:t>]</m:t>
          </m:r>
        </m:oMath>
      </m:oMathPara>
    </w:p>
    <w:p w14:paraId="7FAC3FDF" w14:textId="0E1B3963" w:rsidR="0072501A" w:rsidRPr="000C2909" w:rsidRDefault="0072501A" w:rsidP="006023F9">
      <m:oMathPara>
        <m:oMath>
          <m:r>
            <w:rPr>
              <w:rFonts w:ascii="Cambria Math" w:hAnsi="Cambria Math"/>
            </w:rPr>
            <m:t>β=[</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4</m:t>
              </m:r>
            </m:sub>
          </m:sSub>
          <m:r>
            <w:rPr>
              <w:rFonts w:ascii="Cambria Math" w:hAnsi="Cambria Math"/>
            </w:rPr>
            <m:t>]</m:t>
          </m:r>
        </m:oMath>
      </m:oMathPara>
    </w:p>
    <w:p w14:paraId="376D7A22" w14:textId="1C9BEB5B" w:rsidR="000C2909" w:rsidRDefault="000C2909" w:rsidP="006023F9">
      <w:r w:rsidRPr="000C2909">
        <w:t>where</w:t>
      </w:r>
      <w:r>
        <w:t xml:space="preserve">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0072501A">
        <w:t xml:space="preserve"> </w:t>
      </w:r>
      <w:r>
        <w:t xml:space="preserve">is the feature vector, and </w:t>
      </w:r>
      <m:oMath>
        <m:r>
          <w:rPr>
            <w:rFonts w:ascii="Cambria Math" w:hAnsi="Cambria Math"/>
          </w:rPr>
          <m:t>β</m:t>
        </m:r>
      </m:oMath>
      <w:r w:rsidR="0072501A">
        <w:t xml:space="preserve"> </w:t>
      </w:r>
      <w:r>
        <w:t xml:space="preserve">are </w:t>
      </w:r>
      <w:r w:rsidR="00A86447">
        <w:t xml:space="preserve">set of </w:t>
      </w:r>
      <w:r>
        <w:t>the model coefficients learned during training.</w:t>
      </w:r>
    </w:p>
    <w:p w14:paraId="5E45B01C" w14:textId="4B5047A8" w:rsidR="005B748B" w:rsidRDefault="000C2909" w:rsidP="000C2909">
      <w:r>
        <w:t>Logistic regression with elastic net regularization was fitted to the resampled and scaled training data. The elastic net combines L1 and L2 penalties to encourage both sparsity and stability in the model coefficients. The model was optimized using the '</w:t>
      </w:r>
      <w:r w:rsidR="007179BB">
        <w:t>SAGA</w:t>
      </w:r>
      <w:r>
        <w:t>' solver</w:t>
      </w:r>
      <w:r w:rsidR="007C2F94">
        <w:t xml:space="preserve"> (</w:t>
      </w:r>
      <w:proofErr w:type="spellStart"/>
      <w:r w:rsidR="007C2F94" w:rsidRPr="00347B32">
        <w:t>Defazio</w:t>
      </w:r>
      <w:proofErr w:type="spellEnd"/>
      <w:r w:rsidR="00237F7A" w:rsidRPr="00347B32">
        <w:t xml:space="preserve"> et al., </w:t>
      </w:r>
      <w:r w:rsidR="007C2F94" w:rsidRPr="00347B32">
        <w:t>2014</w:t>
      </w:r>
      <w:r w:rsidR="007C2F94">
        <w:t>)</w:t>
      </w:r>
      <w:r>
        <w:t xml:space="preserve"> with a maximum of 1000 iterations, allowing effective handling of regularization and class imbalance.</w:t>
      </w:r>
      <w:r w:rsidR="002951D2">
        <w:t xml:space="preserve"> The penalty term in elastic net regularization </w:t>
      </w:r>
      <w:r w:rsidR="00437B80">
        <w:t>defined as</w:t>
      </w:r>
      <w:r w:rsidR="002951D2">
        <w:t>:</w:t>
      </w:r>
    </w:p>
    <w:p w14:paraId="25BAA606" w14:textId="5823D1CD" w:rsidR="002951D2" w:rsidRPr="007310F1" w:rsidRDefault="002951D2" w:rsidP="000C2909">
      <m:oMathPara>
        <m:oMath>
          <m:r>
            <w:rPr>
              <w:rFonts w:ascii="Cambria Math" w:hAnsi="Cambria Math"/>
            </w:rPr>
            <m:t>λ(α</m:t>
          </m:r>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β</m:t>
                      </m:r>
                    </m:e>
                  </m:d>
                </m:e>
              </m:d>
            </m:e>
            <m:sub>
              <m:r>
                <w:rPr>
                  <w:rFonts w:ascii="Cambria Math" w:hAnsi="Cambria Math"/>
                </w:rPr>
                <m:t>1</m:t>
              </m:r>
            </m:sub>
          </m:sSub>
          <m:r>
            <w:rPr>
              <w:rFonts w:ascii="Cambria Math" w:hAnsi="Cambria Math"/>
            </w:rPr>
            <m:t xml:space="preserve">+ </m:t>
          </m:r>
          <m:f>
            <m:fPr>
              <m:ctrlPr>
                <w:rPr>
                  <w:rFonts w:ascii="Cambria Math" w:hAnsi="Cambria Math"/>
                  <w:i/>
                </w:rPr>
              </m:ctrlPr>
            </m:fPr>
            <m:num>
              <m:r>
                <w:rPr>
                  <w:rFonts w:ascii="Cambria Math" w:hAnsi="Cambria Math"/>
                </w:rPr>
                <m:t>1- α</m:t>
              </m:r>
            </m:num>
            <m:den>
              <m:r>
                <w:rPr>
                  <w:rFonts w:ascii="Cambria Math" w:hAnsi="Cambria Math"/>
                </w:rPr>
                <m:t>2</m:t>
              </m:r>
            </m:den>
          </m:f>
          <m:sSubSup>
            <m:sSubSupPr>
              <m:ctrlPr>
                <w:rPr>
                  <w:rFonts w:ascii="Cambria Math" w:hAnsi="Cambria Math"/>
                  <w:i/>
                </w:rPr>
              </m:ctrlPr>
            </m:sSubSup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β</m:t>
                      </m:r>
                    </m:e>
                  </m:d>
                </m:e>
              </m:d>
            </m:e>
            <m:sub>
              <m:r>
                <w:rPr>
                  <w:rFonts w:ascii="Cambria Math" w:hAnsi="Cambria Math"/>
                </w:rPr>
                <m:t>2</m:t>
              </m:r>
            </m:sub>
            <m:sup>
              <m:r>
                <w:rPr>
                  <w:rFonts w:ascii="Cambria Math" w:hAnsi="Cambria Math"/>
                </w:rPr>
                <m:t>2</m:t>
              </m:r>
            </m:sup>
          </m:sSubSup>
          <m:r>
            <w:rPr>
              <w:rFonts w:ascii="Cambria Math" w:hAnsi="Cambria Math"/>
            </w:rPr>
            <m:t>)</m:t>
          </m:r>
        </m:oMath>
      </m:oMathPara>
    </w:p>
    <w:p w14:paraId="0CA7FCDB" w14:textId="2D526719" w:rsidR="007310F1" w:rsidRDefault="007310F1" w:rsidP="000C2909">
      <w:r>
        <w:t xml:space="preserve">where </w:t>
      </w:r>
      <m:oMath>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β</m:t>
                    </m:r>
                  </m:e>
                </m:d>
              </m:e>
            </m:d>
          </m:e>
          <m:sub>
            <m:r>
              <w:rPr>
                <w:rFonts w:ascii="Cambria Math" w:hAnsi="Cambria Math"/>
              </w:rPr>
              <m:t>1</m:t>
            </m:r>
          </m:sub>
        </m:sSub>
        <m:r>
          <w:rPr>
            <w:rFonts w:ascii="Cambria Math" w:hAnsi="Cambria Math"/>
          </w:rPr>
          <m:t xml:space="preserve">= </m:t>
        </m:r>
        <m:nary>
          <m:naryPr>
            <m:chr m:val="∑"/>
            <m:limLoc m:val="subSup"/>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β</m:t>
                    </m:r>
                  </m:e>
                </m:d>
              </m:e>
              <m:sub>
                <m:r>
                  <w:rPr>
                    <w:rFonts w:ascii="Cambria Math" w:hAnsi="Cambria Math"/>
                  </w:rPr>
                  <m:t>j</m:t>
                </m:r>
              </m:sub>
            </m:sSub>
          </m:e>
        </m:nary>
      </m:oMath>
      <w:r w:rsidR="00A971EB">
        <w:t xml:space="preserve"> is the L1 norm, </w:t>
      </w:r>
      <m:oMath>
        <m:sSubSup>
          <m:sSubSupPr>
            <m:ctrlPr>
              <w:rPr>
                <w:rFonts w:ascii="Cambria Math" w:hAnsi="Cambria Math"/>
                <w:i/>
              </w:rPr>
            </m:ctrlPr>
          </m:sSubSup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β</m:t>
                    </m:r>
                  </m:e>
                </m:d>
              </m:e>
            </m:d>
          </m:e>
          <m:sub>
            <m:r>
              <w:rPr>
                <w:rFonts w:ascii="Cambria Math" w:hAnsi="Cambria Math"/>
              </w:rPr>
              <m:t>2</m:t>
            </m:r>
          </m:sub>
          <m:sup>
            <m:r>
              <w:rPr>
                <w:rFonts w:ascii="Cambria Math" w:hAnsi="Cambria Math"/>
              </w:rPr>
              <m:t>2</m:t>
            </m:r>
          </m:sup>
        </m:sSubSup>
        <m:r>
          <w:rPr>
            <w:rFonts w:ascii="Cambria Math" w:hAnsi="Cambria Math"/>
          </w:rPr>
          <m:t xml:space="preserve"> = </m:t>
        </m:r>
        <m:nary>
          <m:naryPr>
            <m:chr m:val="∑"/>
            <m:limLoc m:val="subSup"/>
            <m:supHide m:val="1"/>
            <m:ctrlPr>
              <w:rPr>
                <w:rFonts w:ascii="Cambria Math" w:hAnsi="Cambria Math"/>
                <w:i/>
              </w:rPr>
            </m:ctrlPr>
          </m:naryPr>
          <m:sub>
            <m:r>
              <w:rPr>
                <w:rFonts w:ascii="Cambria Math" w:hAnsi="Cambria Math"/>
              </w:rPr>
              <m:t>j</m:t>
            </m:r>
          </m:sub>
          <m:sup/>
          <m:e>
            <m:sSubSup>
              <m:sSubSupPr>
                <m:ctrlPr>
                  <w:rPr>
                    <w:rFonts w:ascii="Cambria Math" w:hAnsi="Cambria Math"/>
                    <w:i/>
                  </w:rPr>
                </m:ctrlPr>
              </m:sSubSupPr>
              <m:e>
                <m:r>
                  <w:rPr>
                    <w:rFonts w:ascii="Cambria Math" w:hAnsi="Cambria Math"/>
                  </w:rPr>
                  <m:t>|β|</m:t>
                </m:r>
              </m:e>
              <m:sub>
                <m:r>
                  <w:rPr>
                    <w:rFonts w:ascii="Cambria Math" w:hAnsi="Cambria Math"/>
                  </w:rPr>
                  <m:t>j</m:t>
                </m:r>
              </m:sub>
              <m:sup>
                <m:r>
                  <w:rPr>
                    <w:rFonts w:ascii="Cambria Math" w:hAnsi="Cambria Math"/>
                  </w:rPr>
                  <m:t>2</m:t>
                </m:r>
              </m:sup>
            </m:sSubSup>
          </m:e>
        </m:nary>
      </m:oMath>
      <w:r w:rsidR="00A971EB">
        <w:t xml:space="preserve"> is the </w:t>
      </w:r>
      <w:r w:rsidR="002715D2">
        <w:t xml:space="preserve">squared </w:t>
      </w:r>
      <w:r w:rsidR="00A971EB">
        <w:t>L</w:t>
      </w:r>
      <w:r w:rsidR="002715D2">
        <w:t>2</w:t>
      </w:r>
      <w:r w:rsidR="00A971EB">
        <w:t xml:space="preserve"> norm</w:t>
      </w:r>
      <w:r w:rsidR="002E3D60">
        <w:t xml:space="preserve">, </w:t>
      </w:r>
      <m:oMath>
        <m:r>
          <w:rPr>
            <w:rFonts w:ascii="Cambria Math" w:hAnsi="Cambria Math"/>
          </w:rPr>
          <m:t>α ϵ [0, 1]</m:t>
        </m:r>
      </m:oMath>
      <w:r w:rsidR="002E3D60">
        <w:t xml:space="preserve"> controls the L1 vs L2 trade-off, and </w:t>
      </w:r>
      <m:oMath>
        <m:r>
          <w:rPr>
            <w:rFonts w:ascii="Cambria Math" w:hAnsi="Cambria Math"/>
          </w:rPr>
          <m:t>λ&gt;0</m:t>
        </m:r>
      </m:oMath>
      <w:r w:rsidR="002E3D60">
        <w:t xml:space="preserve"> controls overall strength of regularization.</w:t>
      </w:r>
    </w:p>
    <w:p w14:paraId="138B72B2" w14:textId="4A4543C5" w:rsidR="000C2909" w:rsidRPr="006023F9" w:rsidRDefault="008951F6" w:rsidP="000C2909">
      <w:r>
        <w:t>As f</w:t>
      </w:r>
      <w:r w:rsidR="00DE05B1">
        <w:t>or t</w:t>
      </w:r>
      <w:r>
        <w:t>his model</w:t>
      </w:r>
      <w:r w:rsidR="00DE05B1">
        <w:t xml:space="preserve">, </w:t>
      </w:r>
      <w:r>
        <w:t>a</w:t>
      </w:r>
      <w:r w:rsidR="00DE05B1" w:rsidRPr="00DE05B1">
        <w:t xml:space="preserve"> static threshold of 0.5 was initially used to convert predicted probabilities into class labels, where probabilities above or equal to 0.5 were classified as positive cases.</w:t>
      </w:r>
    </w:p>
    <w:p w14:paraId="13FB0A4C" w14:textId="75040339" w:rsidR="00DE471C" w:rsidRDefault="00DE471C" w:rsidP="00DE471C">
      <w:pPr>
        <w:pStyle w:val="Heading3"/>
      </w:pPr>
      <w:r>
        <w:t>Dynamic Logi</w:t>
      </w:r>
      <w:r w:rsidR="00DF4674">
        <w:t xml:space="preserve">stic Regression </w:t>
      </w:r>
      <w:r>
        <w:t>+ Dynamic Threshold</w:t>
      </w:r>
    </w:p>
    <w:p w14:paraId="4EDB3BC7" w14:textId="7AF5BDDC" w:rsidR="00F42E35" w:rsidRDefault="00195CCB" w:rsidP="00195CCB">
      <w:r>
        <w:t xml:space="preserve">To capture the temporal dependencies and improve the predictive performance of the crash classification model, we extend the baseline logistic regression by incorporating lagged features of the original market and sentiment volatility indicators, </w:t>
      </w:r>
      <w:proofErr w:type="spellStart"/>
      <w:r>
        <w:t>VaR</w:t>
      </w:r>
      <w:proofErr w:type="spellEnd"/>
      <w:r>
        <w:t xml:space="preserve">, and ES. Specifically, for each volatility window </w:t>
      </w:r>
      <m:oMath>
        <m:r>
          <w:rPr>
            <w:rFonts w:ascii="Cambria Math" w:hAnsi="Cambria Math"/>
          </w:rPr>
          <m:t>n</m:t>
        </m:r>
      </m:oMath>
      <w:r>
        <w:t xml:space="preserve">, the model uses both the current-day features and their lagged values at </w:t>
      </w:r>
      <m:oMath>
        <m:r>
          <w:rPr>
            <w:rFonts w:ascii="Cambria Math" w:hAnsi="Cambria Math"/>
          </w:rPr>
          <m:t>t</m:t>
        </m:r>
      </m:oMath>
      <w:r>
        <w:t>, where the lag is a fixed hyperparameter (e.g., 10 days</w:t>
      </w:r>
      <w:r w:rsidR="00F42E35">
        <w:t xml:space="preserve">). </w:t>
      </w:r>
      <w:r w:rsidR="009E3832">
        <w:t>The extended feature vector and coefficients are written as:</w:t>
      </w:r>
    </w:p>
    <w:p w14:paraId="39FBBCD0" w14:textId="1804BC0B" w:rsidR="0003114F" w:rsidRPr="009E3832" w:rsidRDefault="00000000" w:rsidP="00195CCB">
      <m:oMathPara>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MV</m:t>
              </m:r>
            </m:e>
            <m:sub>
              <m:r>
                <w:rPr>
                  <w:rFonts w:ascii="Cambria Math" w:hAnsi="Cambria Math"/>
                </w:rPr>
                <m:t>t</m:t>
              </m:r>
            </m:sub>
            <m:sup>
              <m:d>
                <m:dPr>
                  <m:ctrlPr>
                    <w:rPr>
                      <w:rFonts w:ascii="Cambria Math" w:hAnsi="Cambria Math"/>
                      <w:i/>
                    </w:rPr>
                  </m:ctrlPr>
                </m:dPr>
                <m:e>
                  <m:r>
                    <w:rPr>
                      <w:rFonts w:ascii="Cambria Math" w:hAnsi="Cambria Math"/>
                    </w:rPr>
                    <m:t>n</m:t>
                  </m:r>
                </m:e>
              </m:d>
            </m:sup>
          </m:sSubSup>
          <m:r>
            <w:rPr>
              <w:rFonts w:ascii="Cambria Math" w:hAnsi="Cambria Math"/>
            </w:rPr>
            <m:t xml:space="preserve">, </m:t>
          </m:r>
          <m:sSubSup>
            <m:sSubSupPr>
              <m:ctrlPr>
                <w:rPr>
                  <w:rFonts w:ascii="Cambria Math" w:hAnsi="Cambria Math"/>
                  <w:i/>
                </w:rPr>
              </m:ctrlPr>
            </m:sSubSupPr>
            <m:e>
              <m:r>
                <w:rPr>
                  <w:rFonts w:ascii="Cambria Math" w:hAnsi="Cambria Math"/>
                </w:rPr>
                <m:t>SV</m:t>
              </m:r>
            </m:e>
            <m:sub>
              <m:r>
                <w:rPr>
                  <w:rFonts w:ascii="Cambria Math" w:hAnsi="Cambria Math"/>
                </w:rPr>
                <m:t>t</m:t>
              </m:r>
            </m:sub>
            <m:sup>
              <m:d>
                <m:dPr>
                  <m:ctrlPr>
                    <w:rPr>
                      <w:rFonts w:ascii="Cambria Math" w:hAnsi="Cambria Math"/>
                      <w:i/>
                    </w:rPr>
                  </m:ctrlPr>
                </m:dPr>
                <m:e>
                  <m:r>
                    <w:rPr>
                      <w:rFonts w:ascii="Cambria Math" w:hAnsi="Cambria Math"/>
                    </w:rPr>
                    <m:t>n</m:t>
                  </m:r>
                </m:e>
              </m:d>
            </m:sup>
          </m:sSubSup>
          <m:r>
            <w:rPr>
              <w:rFonts w:ascii="Cambria Math" w:hAnsi="Cambria Math"/>
            </w:rPr>
            <m:t xml:space="preserve">, </m:t>
          </m:r>
          <m:sSubSup>
            <m:sSubSupPr>
              <m:ctrlPr>
                <w:rPr>
                  <w:rFonts w:ascii="Cambria Math" w:hAnsi="Cambria Math"/>
                  <w:i/>
                </w:rPr>
              </m:ctrlPr>
            </m:sSubSupPr>
            <m:e>
              <m:r>
                <w:rPr>
                  <w:rFonts w:ascii="Cambria Math" w:hAnsi="Cambria Math"/>
                </w:rPr>
                <m:t>VaR</m:t>
              </m:r>
            </m:e>
            <m:sub>
              <m:r>
                <w:rPr>
                  <w:rFonts w:ascii="Cambria Math" w:hAnsi="Cambria Math"/>
                </w:rPr>
                <m:t>t</m:t>
              </m:r>
            </m:sub>
            <m:sup>
              <m:d>
                <m:dPr>
                  <m:ctrlPr>
                    <w:rPr>
                      <w:rFonts w:ascii="Cambria Math" w:hAnsi="Cambria Math"/>
                      <w:i/>
                    </w:rPr>
                  </m:ctrlPr>
                </m:dPr>
                <m:e>
                  <m:r>
                    <w:rPr>
                      <w:rFonts w:ascii="Cambria Math" w:hAnsi="Cambria Math"/>
                    </w:rPr>
                    <m:t>n</m:t>
                  </m:r>
                </m:e>
              </m:d>
            </m:sup>
          </m:sSubSup>
          <m:r>
            <w:rPr>
              <w:rFonts w:ascii="Cambria Math" w:hAnsi="Cambria Math"/>
            </w:rPr>
            <m:t xml:space="preserve">, </m:t>
          </m:r>
          <m:sSubSup>
            <m:sSubSupPr>
              <m:ctrlPr>
                <w:rPr>
                  <w:rFonts w:ascii="Cambria Math" w:hAnsi="Cambria Math"/>
                  <w:i/>
                </w:rPr>
              </m:ctrlPr>
            </m:sSubSupPr>
            <m:e>
              <m:r>
                <w:rPr>
                  <w:rFonts w:ascii="Cambria Math" w:hAnsi="Cambria Math"/>
                </w:rPr>
                <m:t>ES</m:t>
              </m:r>
            </m:e>
            <m:sub>
              <m:r>
                <w:rPr>
                  <w:rFonts w:ascii="Cambria Math" w:hAnsi="Cambria Math"/>
                </w:rPr>
                <m:t>t</m:t>
              </m:r>
            </m:sub>
            <m:sup>
              <m:d>
                <m:dPr>
                  <m:ctrlPr>
                    <w:rPr>
                      <w:rFonts w:ascii="Cambria Math" w:hAnsi="Cambria Math"/>
                      <w:i/>
                    </w:rPr>
                  </m:ctrlPr>
                </m:dPr>
                <m:e>
                  <m:r>
                    <w:rPr>
                      <w:rFonts w:ascii="Cambria Math" w:hAnsi="Cambria Math"/>
                    </w:rPr>
                    <m:t>n</m:t>
                  </m:r>
                </m:e>
              </m:d>
            </m:sup>
          </m:sSubSup>
          <m:r>
            <w:rPr>
              <w:rFonts w:ascii="Cambria Math" w:hAnsi="Cambria Math"/>
            </w:rPr>
            <m:t>,</m:t>
          </m:r>
          <m:sSubSup>
            <m:sSubSupPr>
              <m:ctrlPr>
                <w:rPr>
                  <w:rFonts w:ascii="Cambria Math" w:hAnsi="Cambria Math"/>
                  <w:i/>
                </w:rPr>
              </m:ctrlPr>
            </m:sSubSupPr>
            <m:e>
              <m:r>
                <w:rPr>
                  <w:rFonts w:ascii="Cambria Math" w:hAnsi="Cambria Math"/>
                </w:rPr>
                <m:t>MV</m:t>
              </m:r>
            </m:e>
            <m:sub>
              <m:r>
                <w:rPr>
                  <w:rFonts w:ascii="Cambria Math" w:hAnsi="Cambria Math"/>
                </w:rPr>
                <m:t>t-lag</m:t>
              </m:r>
            </m:sub>
            <m:sup>
              <m:d>
                <m:dPr>
                  <m:ctrlPr>
                    <w:rPr>
                      <w:rFonts w:ascii="Cambria Math" w:hAnsi="Cambria Math"/>
                      <w:i/>
                    </w:rPr>
                  </m:ctrlPr>
                </m:dPr>
                <m:e>
                  <m:r>
                    <w:rPr>
                      <w:rFonts w:ascii="Cambria Math" w:hAnsi="Cambria Math"/>
                    </w:rPr>
                    <m:t>n</m:t>
                  </m:r>
                </m:e>
              </m:d>
            </m:sup>
          </m:sSubSup>
          <m:r>
            <w:rPr>
              <w:rFonts w:ascii="Cambria Math" w:hAnsi="Cambria Math"/>
            </w:rPr>
            <m:t xml:space="preserve">, </m:t>
          </m:r>
          <m:sSubSup>
            <m:sSubSupPr>
              <m:ctrlPr>
                <w:rPr>
                  <w:rFonts w:ascii="Cambria Math" w:hAnsi="Cambria Math"/>
                  <w:i/>
                </w:rPr>
              </m:ctrlPr>
            </m:sSubSupPr>
            <m:e>
              <m:r>
                <w:rPr>
                  <w:rFonts w:ascii="Cambria Math" w:hAnsi="Cambria Math"/>
                </w:rPr>
                <m:t>SV</m:t>
              </m:r>
            </m:e>
            <m:sub>
              <m:r>
                <w:rPr>
                  <w:rFonts w:ascii="Cambria Math" w:hAnsi="Cambria Math"/>
                </w:rPr>
                <m:t>t-lag</m:t>
              </m:r>
            </m:sub>
            <m:sup>
              <m:d>
                <m:dPr>
                  <m:ctrlPr>
                    <w:rPr>
                      <w:rFonts w:ascii="Cambria Math" w:hAnsi="Cambria Math"/>
                      <w:i/>
                    </w:rPr>
                  </m:ctrlPr>
                </m:dPr>
                <m:e>
                  <m:r>
                    <w:rPr>
                      <w:rFonts w:ascii="Cambria Math" w:hAnsi="Cambria Math"/>
                    </w:rPr>
                    <m:t>n</m:t>
                  </m:r>
                </m:e>
              </m:d>
            </m:sup>
          </m:sSubSup>
          <m:r>
            <w:rPr>
              <w:rFonts w:ascii="Cambria Math" w:hAnsi="Cambria Math"/>
            </w:rPr>
            <m:t xml:space="preserve">, </m:t>
          </m:r>
          <m:sSubSup>
            <m:sSubSupPr>
              <m:ctrlPr>
                <w:rPr>
                  <w:rFonts w:ascii="Cambria Math" w:hAnsi="Cambria Math"/>
                  <w:i/>
                </w:rPr>
              </m:ctrlPr>
            </m:sSubSupPr>
            <m:e>
              <m:r>
                <w:rPr>
                  <w:rFonts w:ascii="Cambria Math" w:hAnsi="Cambria Math"/>
                </w:rPr>
                <m:t>VaR</m:t>
              </m:r>
            </m:e>
            <m:sub>
              <m:r>
                <w:rPr>
                  <w:rFonts w:ascii="Cambria Math" w:hAnsi="Cambria Math"/>
                </w:rPr>
                <m:t>t-lag</m:t>
              </m:r>
            </m:sub>
            <m:sup>
              <m:d>
                <m:dPr>
                  <m:ctrlPr>
                    <w:rPr>
                      <w:rFonts w:ascii="Cambria Math" w:hAnsi="Cambria Math"/>
                      <w:i/>
                    </w:rPr>
                  </m:ctrlPr>
                </m:dPr>
                <m:e>
                  <m:r>
                    <w:rPr>
                      <w:rFonts w:ascii="Cambria Math" w:hAnsi="Cambria Math"/>
                    </w:rPr>
                    <m:t>n</m:t>
                  </m:r>
                </m:e>
              </m:d>
            </m:sup>
          </m:sSubSup>
          <m:r>
            <w:rPr>
              <w:rFonts w:ascii="Cambria Math" w:hAnsi="Cambria Math"/>
            </w:rPr>
            <m:t xml:space="preserve">, </m:t>
          </m:r>
          <m:sSubSup>
            <m:sSubSupPr>
              <m:ctrlPr>
                <w:rPr>
                  <w:rFonts w:ascii="Cambria Math" w:hAnsi="Cambria Math"/>
                  <w:i/>
                </w:rPr>
              </m:ctrlPr>
            </m:sSubSupPr>
            <m:e>
              <m:r>
                <w:rPr>
                  <w:rFonts w:ascii="Cambria Math" w:hAnsi="Cambria Math"/>
                </w:rPr>
                <m:t>ES</m:t>
              </m:r>
            </m:e>
            <m:sub>
              <m:r>
                <w:rPr>
                  <w:rFonts w:ascii="Cambria Math" w:hAnsi="Cambria Math"/>
                </w:rPr>
                <m:t>t-lag</m:t>
              </m:r>
            </m:sub>
            <m:sup>
              <m:d>
                <m:dPr>
                  <m:ctrlPr>
                    <w:rPr>
                      <w:rFonts w:ascii="Cambria Math" w:hAnsi="Cambria Math"/>
                      <w:i/>
                    </w:rPr>
                  </m:ctrlPr>
                </m:dPr>
                <m:e>
                  <m:r>
                    <w:rPr>
                      <w:rFonts w:ascii="Cambria Math" w:hAnsi="Cambria Math"/>
                    </w:rPr>
                    <m:t>n</m:t>
                  </m:r>
                </m:e>
              </m:d>
            </m:sup>
          </m:sSubSup>
          <m:r>
            <w:rPr>
              <w:rFonts w:ascii="Cambria Math" w:hAnsi="Cambria Math"/>
            </w:rPr>
            <m:t xml:space="preserve"> ]</m:t>
          </m:r>
        </m:oMath>
      </m:oMathPara>
    </w:p>
    <w:p w14:paraId="336AD35D" w14:textId="0FF9B36D" w:rsidR="009E3832" w:rsidRPr="000E69B1" w:rsidRDefault="009E3832" w:rsidP="00195CCB">
      <m:oMathPara>
        <m:oMath>
          <m:r>
            <w:rPr>
              <w:rFonts w:ascii="Cambria Math" w:hAnsi="Cambria Math"/>
            </w:rPr>
            <m:t>β=[</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6</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7</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8</m:t>
              </m:r>
            </m:sub>
          </m:sSub>
          <m:r>
            <w:rPr>
              <w:rFonts w:ascii="Cambria Math" w:hAnsi="Cambria Math"/>
            </w:rPr>
            <m:t>]</m:t>
          </m:r>
        </m:oMath>
      </m:oMathPara>
    </w:p>
    <w:p w14:paraId="4CFCBFE7" w14:textId="6BD79E0C" w:rsidR="000E69B1" w:rsidRDefault="0023789B" w:rsidP="00195CCB">
      <w:r>
        <w:t>Furthermore</w:t>
      </w:r>
      <w:r w:rsidR="004D3AEF">
        <w:t xml:space="preserve">, </w:t>
      </w:r>
      <w:r w:rsidR="00854C9F">
        <w:t xml:space="preserve">a </w:t>
      </w:r>
      <w:r w:rsidR="004D3AEF">
        <w:t>d</w:t>
      </w:r>
      <w:r w:rsidR="000E69B1" w:rsidRPr="000E69B1">
        <w:t xml:space="preserve">ynamic threshold is applied on the predicted probabilities to convert them into binary predictions, rather than using a fixed threshold </w:t>
      </w:r>
      <w:r w:rsidR="00D82FEA">
        <w:t xml:space="preserve">like </w:t>
      </w:r>
      <w:r w:rsidR="000E69B1" w:rsidRPr="000E69B1">
        <w:t>0.5</w:t>
      </w:r>
      <w:r w:rsidR="006C3EC2">
        <w:t xml:space="preserve"> in </w:t>
      </w:r>
      <w:r w:rsidR="004D4E85">
        <w:t xml:space="preserve">our </w:t>
      </w:r>
      <w:r w:rsidR="000656DA">
        <w:t>static logistic regression</w:t>
      </w:r>
      <w:r w:rsidR="006C3EC2">
        <w:t xml:space="preserve"> model</w:t>
      </w:r>
      <w:r w:rsidR="000E69B1" w:rsidRPr="000E69B1">
        <w:t>. The optimal threshold is chosen by maximizing the F1-score, calculated from the precision-recall curve on the test dat</w:t>
      </w:r>
      <w:r w:rsidR="000E69B1">
        <w:t>a:</w:t>
      </w:r>
    </w:p>
    <w:p w14:paraId="7BCCE078" w14:textId="37FA59D6" w:rsidR="000E69B1" w:rsidRPr="00C25398" w:rsidRDefault="000E69B1" w:rsidP="00195CCB">
      <m:oMathPara>
        <m:oMath>
          <m:r>
            <w:rPr>
              <w:rFonts w:ascii="Cambria Math" w:hAnsi="Cambria Math"/>
            </w:rPr>
            <m:t>Threshold=argma</m:t>
          </m:r>
          <m:sSub>
            <m:sSubPr>
              <m:ctrlPr>
                <w:rPr>
                  <w:rFonts w:ascii="Cambria Math" w:hAnsi="Cambria Math"/>
                  <w:i/>
                </w:rPr>
              </m:ctrlPr>
            </m:sSubPr>
            <m:e>
              <m:r>
                <w:rPr>
                  <w:rFonts w:ascii="Cambria Math" w:hAnsi="Cambria Math"/>
                </w:rPr>
                <m:t>x</m:t>
              </m:r>
            </m:e>
            <m:sub>
              <m:r>
                <w:rPr>
                  <w:rFonts w:ascii="Cambria Math" w:hAnsi="Cambria Math"/>
                </w:rPr>
                <m:t>θ</m:t>
              </m:r>
            </m:sub>
          </m:sSub>
          <m:r>
            <w:rPr>
              <w:rFonts w:ascii="Cambria Math" w:hAnsi="Cambria Math"/>
            </w:rPr>
            <m:t>(</m:t>
          </m:r>
          <m:f>
            <m:fPr>
              <m:ctrlPr>
                <w:rPr>
                  <w:rFonts w:ascii="Cambria Math" w:hAnsi="Cambria Math"/>
                  <w:i/>
                </w:rPr>
              </m:ctrlPr>
            </m:fPr>
            <m:num>
              <m:r>
                <w:rPr>
                  <w:rFonts w:ascii="Cambria Math" w:hAnsi="Cambria Math"/>
                </w:rPr>
                <m:t>2∙Precision(θ)∙Recall(θ)</m:t>
              </m:r>
            </m:num>
            <m:den>
              <m:r>
                <w:rPr>
                  <w:rFonts w:ascii="Cambria Math" w:hAnsi="Cambria Math"/>
                </w:rPr>
                <m:t>Precision(θ)+Recall(θ)</m:t>
              </m:r>
            </m:den>
          </m:f>
          <m:r>
            <w:rPr>
              <w:rFonts w:ascii="Cambria Math" w:hAnsi="Cambria Math"/>
            </w:rPr>
            <m:t>)</m:t>
          </m:r>
        </m:oMath>
      </m:oMathPara>
    </w:p>
    <w:p w14:paraId="5F9CE0E3" w14:textId="0268F76B" w:rsidR="00C25398" w:rsidRPr="00195CCB" w:rsidRDefault="00C25398" w:rsidP="00195CCB">
      <w:r w:rsidRPr="00C25398">
        <w:lastRenderedPageBreak/>
        <w:t>This approach accounts for class imbalance and different cost sensitivities in prediction errors, yielding a threshold tuned specifically to the model’s performance on each test set.</w:t>
      </w:r>
    </w:p>
    <w:p w14:paraId="37E17049" w14:textId="55E32752" w:rsidR="00DE471C" w:rsidRDefault="00DE471C" w:rsidP="00DE471C">
      <w:pPr>
        <w:pStyle w:val="Heading3"/>
      </w:pPr>
      <w:r>
        <w:t>CNN</w:t>
      </w:r>
    </w:p>
    <w:p w14:paraId="3CFDA4A6" w14:textId="16E3C83A" w:rsidR="00E202BA" w:rsidRDefault="00E202BA" w:rsidP="00E202BA">
      <w:r>
        <w:t xml:space="preserve">For each volatility horizon </w:t>
      </w:r>
      <m:oMath>
        <m:r>
          <w:rPr>
            <w:rFonts w:ascii="Cambria Math" w:hAnsi="Cambria Math"/>
          </w:rPr>
          <m:t>n</m:t>
        </m:r>
      </m:oMath>
      <w:r>
        <w:t xml:space="preserve">, we constructed the input feature set using the same variables as the first static regression model, then standardized using StandardScaler, and transformed into rolling sequences of length </w:t>
      </w:r>
      <m:oMath>
        <m:r>
          <w:rPr>
            <w:rFonts w:ascii="Cambria Math" w:hAnsi="Cambria Math"/>
          </w:rPr>
          <m:t>w=22</m:t>
        </m:r>
      </m:oMath>
      <w:r>
        <w:t xml:space="preserve"> (approximately one trading month) to serve as inputs to the CNN. The target label </w:t>
      </w:r>
      <m:oMath>
        <m:sSub>
          <m:sSubPr>
            <m:ctrlPr>
              <w:rPr>
                <w:rFonts w:ascii="Cambria Math" w:hAnsi="Cambria Math"/>
                <w:i/>
              </w:rPr>
            </m:ctrlPr>
          </m:sSubPr>
          <m:e>
            <m:r>
              <w:rPr>
                <w:rFonts w:ascii="Cambria Math" w:hAnsi="Cambria Math"/>
              </w:rPr>
              <m:t>Y</m:t>
            </m:r>
          </m:e>
          <m:sub>
            <m:r>
              <w:rPr>
                <w:rFonts w:ascii="Cambria Math" w:hAnsi="Cambria Math"/>
              </w:rPr>
              <m:t>t</m:t>
            </m:r>
          </m:sub>
        </m:sSub>
      </m:oMath>
      <w:r>
        <w:t xml:space="preserve"> was aligned with the endpoint of each sequence, maintaining proper temporal order.</w:t>
      </w:r>
    </w:p>
    <w:p w14:paraId="14A66EBE" w14:textId="6B93E98C" w:rsidR="002E3287" w:rsidRDefault="002E3287" w:rsidP="00E202BA">
      <w:r w:rsidRPr="002E3287">
        <w:t>The CNN architecture consisted of two</w:t>
      </w:r>
      <w:r>
        <w:t xml:space="preserve"> 1D</w:t>
      </w:r>
      <w:r w:rsidRPr="002E3287">
        <w:t xml:space="preserve"> convolutional layers with ReLU activations: the first with 64 filters and a kernel size of 3, followed by max pooling, and a second convolutional layer with 128 filters. A global max pooling layer was applied to extract the most salient features, followed by dropout regularization and dense layers. The final output layer used a sigmoid activation function to produce probability estimates for binary classification.</w:t>
      </w:r>
    </w:p>
    <w:p w14:paraId="6C6140DA" w14:textId="2F9474DA" w:rsidR="009A7306" w:rsidRDefault="009A7306" w:rsidP="009A7306">
      <w:pPr>
        <w:jc w:val="center"/>
      </w:pPr>
      <w:r>
        <w:t>[INSERT DIAGRAM]</w:t>
      </w:r>
    </w:p>
    <w:p w14:paraId="3B9EABB2" w14:textId="4A5D9CC3" w:rsidR="002E3287" w:rsidRPr="00E202BA" w:rsidRDefault="001B0787" w:rsidP="00E202BA">
      <w:r w:rsidRPr="001B0787">
        <w:t xml:space="preserve">To handle class imbalance without disrupting the temporal structure of sequences, we applied class weighting during training. These weights were calculated using </w:t>
      </w:r>
      <w:r w:rsidR="00A155DB" w:rsidRPr="001B0787">
        <w:t>class</w:t>
      </w:r>
      <w:r w:rsidR="004E0F61">
        <w:t xml:space="preserve"> </w:t>
      </w:r>
      <w:r w:rsidR="00A155DB" w:rsidRPr="001B0787">
        <w:t>weight</w:t>
      </w:r>
      <w:r w:rsidR="004E0F61">
        <w:t xml:space="preserve"> computing</w:t>
      </w:r>
      <w:r w:rsidR="00A155DB" w:rsidRPr="001B0787">
        <w:t xml:space="preserve"> </w:t>
      </w:r>
      <w:r w:rsidR="00A155DB">
        <w:t xml:space="preserve">from </w:t>
      </w:r>
      <w:proofErr w:type="spellStart"/>
      <w:r w:rsidRPr="001B0787">
        <w:t>sklearn</w:t>
      </w:r>
      <w:proofErr w:type="spellEnd"/>
      <w:r w:rsidR="004E0F61">
        <w:rPr>
          <w:rStyle w:val="FootnoteReference"/>
        </w:rPr>
        <w:footnoteReference w:id="5"/>
      </w:r>
      <w:r w:rsidR="00A155DB">
        <w:t xml:space="preserve"> </w:t>
      </w:r>
      <w:r w:rsidRPr="001B0787">
        <w:t>to penalize misclassification of the minority crash class.</w:t>
      </w:r>
      <w:r w:rsidR="009A7306">
        <w:t xml:space="preserve"> </w:t>
      </w:r>
      <w:r w:rsidR="0027773F">
        <w:t>Lastly</w:t>
      </w:r>
      <w:r w:rsidRPr="001B0787">
        <w:t>, a dynamic thresholding method was also applied to the CNN outputs.</w:t>
      </w:r>
    </w:p>
    <w:p w14:paraId="6A4793AA" w14:textId="295FD924" w:rsidR="00104F17" w:rsidRDefault="00DE471C" w:rsidP="004E037E">
      <w:pPr>
        <w:pStyle w:val="Heading3"/>
      </w:pPr>
      <w:r>
        <w:t>LSTM</w:t>
      </w:r>
    </w:p>
    <w:p w14:paraId="7E544C02" w14:textId="3FECE6F0" w:rsidR="0047713E" w:rsidRDefault="0047713E" w:rsidP="0047713E">
      <w:r w:rsidRPr="0047713E">
        <w:t>The LSTM architecture comprised a single LSTM layer with 64 units, followed by a dropout layer (rate = 0.3) to reduce overfitting, and a fully connected dense output layer with a sigmoid activation function for binary classification. The model was compiled with the binary cross-entropy loss function and optimized using the Adam optimizer with a learning rate of 0.001. Training was performed for 10 epochs using a batch size of 32, with 20% of the training data reserved for validation.</w:t>
      </w:r>
    </w:p>
    <w:p w14:paraId="128C6F51" w14:textId="0C3A20CF" w:rsidR="001A2288" w:rsidRDefault="001A2288" w:rsidP="001A2288">
      <w:pPr>
        <w:jc w:val="center"/>
      </w:pPr>
      <w:r>
        <w:t>[INSERT DIAGRAM]</w:t>
      </w:r>
    </w:p>
    <w:p w14:paraId="2C1034F4" w14:textId="39C66D21" w:rsidR="00A3691E" w:rsidRPr="0047713E" w:rsidRDefault="0047713E" w:rsidP="00C27589">
      <w:r w:rsidRPr="0047713E">
        <w:t xml:space="preserve">As with the </w:t>
      </w:r>
      <w:r w:rsidR="00514C8B">
        <w:t xml:space="preserve">dynamic </w:t>
      </w:r>
      <w:r w:rsidRPr="0047713E">
        <w:t>logistic regression and CNN models, a dynamic thresholding approach was applied to convert predicted probabilities into binary crash predictions.</w:t>
      </w:r>
    </w:p>
    <w:p w14:paraId="75CB4033" w14:textId="67560125" w:rsidR="005F7565" w:rsidRDefault="00104F17" w:rsidP="005F7565">
      <w:pPr>
        <w:pStyle w:val="Heading2"/>
      </w:pPr>
      <w:bookmarkStart w:id="21" w:name="_Toc204515578"/>
      <w:r>
        <w:t>Evaluation</w:t>
      </w:r>
      <w:r w:rsidR="00857FA0">
        <w:t xml:space="preserve"> Metrics</w:t>
      </w:r>
      <w:bookmarkEnd w:id="21"/>
    </w:p>
    <w:p w14:paraId="6EE7124A" w14:textId="5895F568" w:rsidR="00200F8B" w:rsidRPr="004C2561" w:rsidRDefault="00200F8B" w:rsidP="004C2561">
      <w:r w:rsidRPr="005F7565">
        <w:t xml:space="preserve">In evaluating Early Warning Systems (EWS) for financial crash prediction, selecting appropriate performance metrics is essential due to the highly imbalanced nature of crash events and the asymmetric cost of misclassification. In </w:t>
      </w:r>
      <w:r w:rsidRPr="005F7565">
        <w:lastRenderedPageBreak/>
        <w:t xml:space="preserve">this context, we </w:t>
      </w:r>
      <w:r w:rsidR="003476E3">
        <w:t>weighted</w:t>
      </w:r>
      <w:r w:rsidRPr="005F7565">
        <w:t xml:space="preserve"> evaluation metrics based on their practical importance and alignment with the goals of a crash-detection system.</w:t>
      </w:r>
    </w:p>
    <w:p w14:paraId="7F97F4CF" w14:textId="77777777" w:rsidR="00371A68" w:rsidRDefault="00371A68" w:rsidP="00E40F9A">
      <w:pPr>
        <w:pStyle w:val="Heading3"/>
      </w:pPr>
      <w:bookmarkStart w:id="22" w:name="_Toc204515580"/>
      <w:r>
        <w:t xml:space="preserve">Confusion </w:t>
      </w:r>
      <w:r w:rsidRPr="00E40F9A">
        <w:t>Matrix</w:t>
      </w:r>
      <w:bookmarkEnd w:id="22"/>
    </w:p>
    <w:p w14:paraId="0397AFB3" w14:textId="77777777" w:rsidR="00371A68" w:rsidRDefault="00371A68" w:rsidP="00371A68">
      <w:r>
        <w:t>The confusion matrix provides a tabular representation of classification outcomes by comparing predicted labels with actual labels. It includes four components:</w:t>
      </w:r>
    </w:p>
    <w:p w14:paraId="6D3C1B4D" w14:textId="77777777" w:rsidR="00371A68" w:rsidRDefault="00371A68" w:rsidP="009D7B17">
      <w:pPr>
        <w:pStyle w:val="ListParagraph"/>
        <w:numPr>
          <w:ilvl w:val="0"/>
          <w:numId w:val="49"/>
        </w:numPr>
      </w:pPr>
      <w:r>
        <w:t>True Positives (TP): Correctly predicted crash instances.</w:t>
      </w:r>
    </w:p>
    <w:p w14:paraId="35F0386F" w14:textId="77777777" w:rsidR="00371A68" w:rsidRDefault="00371A68" w:rsidP="009D7B17">
      <w:pPr>
        <w:pStyle w:val="ListParagraph"/>
        <w:numPr>
          <w:ilvl w:val="0"/>
          <w:numId w:val="49"/>
        </w:numPr>
      </w:pPr>
      <w:r>
        <w:t>True Negatives (TN): Correctly predicted non-crash instances.</w:t>
      </w:r>
    </w:p>
    <w:p w14:paraId="5BB1BDAF" w14:textId="77777777" w:rsidR="00371A68" w:rsidRDefault="00371A68" w:rsidP="009D7B17">
      <w:pPr>
        <w:pStyle w:val="ListParagraph"/>
        <w:numPr>
          <w:ilvl w:val="0"/>
          <w:numId w:val="49"/>
        </w:numPr>
      </w:pPr>
      <w:r>
        <w:t>False Positives (FP): Non-crash instances incorrectly predicted as crashes.</w:t>
      </w:r>
    </w:p>
    <w:p w14:paraId="75051E74" w14:textId="3A1311CF" w:rsidR="0096110D" w:rsidRDefault="00371A68" w:rsidP="009D7B17">
      <w:pPr>
        <w:pStyle w:val="ListParagraph"/>
        <w:numPr>
          <w:ilvl w:val="0"/>
          <w:numId w:val="49"/>
        </w:numPr>
      </w:pPr>
      <w:r>
        <w:t>False Negatives (FN): Crash instances missed by the model.</w:t>
      </w:r>
      <w:bookmarkStart w:id="23" w:name="_Toc204515579"/>
    </w:p>
    <w:p w14:paraId="55FFEB70" w14:textId="13FEC5FA" w:rsidR="0096110D" w:rsidRDefault="0096110D" w:rsidP="0096110D">
      <w:pPr>
        <w:pStyle w:val="Heading3"/>
        <w:numPr>
          <w:ilvl w:val="0"/>
          <w:numId w:val="0"/>
        </w:numPr>
        <w:ind w:left="720" w:hanging="720"/>
      </w:pPr>
      <w:r w:rsidRPr="0096110D">
        <w:t>Confusion Matrix–Derived Metrics</w:t>
      </w:r>
    </w:p>
    <w:p w14:paraId="1AC59066" w14:textId="3E3B9C02" w:rsidR="003F7ED2" w:rsidRDefault="003F7ED2" w:rsidP="00C958C1">
      <w:r w:rsidRPr="003F7ED2">
        <w:t>Several performance metrics are derived from the confusion matrix to provide a comprehensive evaluation of the classification model, especially in the context of Early Warning Systems (EWS):</w:t>
      </w:r>
    </w:p>
    <w:p w14:paraId="161A9B9D" w14:textId="122DA547" w:rsidR="005F7565" w:rsidRDefault="001E45D3" w:rsidP="005F7565">
      <w:pPr>
        <w:pStyle w:val="ListParagraph"/>
        <w:numPr>
          <w:ilvl w:val="0"/>
          <w:numId w:val="48"/>
        </w:numPr>
      </w:pPr>
      <w:r w:rsidRPr="001E45D3">
        <w:t>True Positive Rate (TPR) / Sensitivity / Recall</w:t>
      </w:r>
      <w:r>
        <w:t xml:space="preserve">: </w:t>
      </w:r>
      <w:r w:rsidRPr="001E45D3">
        <w:t>Measures the proportion of actual crash events correctly identified. In EWS applications, high sensitivity is crucial to ensure that warnings are triggered for most potential crashes.</w:t>
      </w:r>
    </w:p>
    <w:p w14:paraId="41F4F2EE" w14:textId="4076D629" w:rsidR="007C790A" w:rsidRPr="005F7565" w:rsidRDefault="001E45D3" w:rsidP="00B111B3">
      <m:oMathPara>
        <m:oMath>
          <m:r>
            <w:rPr>
              <w:rFonts w:ascii="Cambria Math" w:hAnsi="Cambria Math"/>
            </w:rPr>
            <m:t xml:space="preserve">TPR= </m:t>
          </m:r>
          <m:f>
            <m:fPr>
              <m:ctrlPr>
                <w:rPr>
                  <w:rFonts w:ascii="Cambria Math" w:hAnsi="Cambria Math"/>
                  <w:i/>
                </w:rPr>
              </m:ctrlPr>
            </m:fPr>
            <m:num>
              <m:r>
                <w:rPr>
                  <w:rFonts w:ascii="Cambria Math" w:hAnsi="Cambria Math"/>
                </w:rPr>
                <m:t>TP</m:t>
              </m:r>
            </m:num>
            <m:den>
              <m:r>
                <w:rPr>
                  <w:rFonts w:ascii="Cambria Math" w:hAnsi="Cambria Math"/>
                </w:rPr>
                <m:t>TP+FN</m:t>
              </m:r>
            </m:den>
          </m:f>
        </m:oMath>
      </m:oMathPara>
    </w:p>
    <w:p w14:paraId="260036C6" w14:textId="6990E941" w:rsidR="00651CA8" w:rsidRDefault="001E45D3" w:rsidP="00651CA8">
      <w:pPr>
        <w:pStyle w:val="ListParagraph"/>
        <w:numPr>
          <w:ilvl w:val="0"/>
          <w:numId w:val="48"/>
        </w:numPr>
      </w:pPr>
      <w:r w:rsidRPr="001E45D3">
        <w:t>True Negative Rate (TNR) / Specificity</w:t>
      </w:r>
      <w:r>
        <w:t>:</w:t>
      </w:r>
      <w:r w:rsidRPr="001E45D3">
        <w:t xml:space="preserve"> Indicates the proportion of non-crash events correctly predicted</w:t>
      </w:r>
      <w:r w:rsidR="00AD07AE">
        <w:t>.</w:t>
      </w:r>
    </w:p>
    <w:p w14:paraId="279C3EDE" w14:textId="2899E803" w:rsidR="00837537" w:rsidRPr="00200F8B" w:rsidRDefault="00020921" w:rsidP="00651CA8">
      <m:oMathPara>
        <m:oMath>
          <m:r>
            <w:rPr>
              <w:rFonts w:ascii="Cambria Math" w:hAnsi="Cambria Math"/>
            </w:rPr>
            <m:t xml:space="preserve">TNR= </m:t>
          </m:r>
          <m:f>
            <m:fPr>
              <m:ctrlPr>
                <w:rPr>
                  <w:rFonts w:ascii="Cambria Math" w:hAnsi="Cambria Math"/>
                  <w:i/>
                </w:rPr>
              </m:ctrlPr>
            </m:fPr>
            <m:num>
              <m:r>
                <w:rPr>
                  <w:rFonts w:ascii="Cambria Math" w:hAnsi="Cambria Math"/>
                </w:rPr>
                <m:t>TN</m:t>
              </m:r>
            </m:num>
            <m:den>
              <m:r>
                <w:rPr>
                  <w:rFonts w:ascii="Cambria Math" w:hAnsi="Cambria Math"/>
                </w:rPr>
                <m:t>TN+FP</m:t>
              </m:r>
            </m:den>
          </m:f>
        </m:oMath>
      </m:oMathPara>
    </w:p>
    <w:p w14:paraId="5EF3F853" w14:textId="4B98CF3B" w:rsidR="00200F8B" w:rsidRDefault="00330E9F" w:rsidP="00200F8B">
      <w:pPr>
        <w:pStyle w:val="ListParagraph"/>
        <w:numPr>
          <w:ilvl w:val="0"/>
          <w:numId w:val="48"/>
        </w:numPr>
      </w:pPr>
      <w:r w:rsidRPr="00330E9F">
        <w:t>False Positive Rate (FPR)</w:t>
      </w:r>
      <w:r>
        <w:t xml:space="preserve">: </w:t>
      </w:r>
      <w:r w:rsidRPr="00330E9F">
        <w:t>Reflects the likelihood of the model incorrectly raising a crash alert when none occurred</w:t>
      </w:r>
      <w:r w:rsidR="0042585B">
        <w:t>.</w:t>
      </w:r>
    </w:p>
    <w:p w14:paraId="6AFFF477" w14:textId="6640B4E8" w:rsidR="00200F8B" w:rsidRPr="00406FBB" w:rsidRDefault="00406FBB" w:rsidP="00200F8B">
      <m:oMathPara>
        <m:oMath>
          <m:r>
            <w:rPr>
              <w:rFonts w:ascii="Cambria Math" w:hAnsi="Cambria Math"/>
            </w:rPr>
            <m:t xml:space="preserve">FPR= </m:t>
          </m:r>
          <m:f>
            <m:fPr>
              <m:ctrlPr>
                <w:rPr>
                  <w:rFonts w:ascii="Cambria Math" w:hAnsi="Cambria Math"/>
                  <w:i/>
                </w:rPr>
              </m:ctrlPr>
            </m:fPr>
            <m:num>
              <m:r>
                <w:rPr>
                  <w:rFonts w:ascii="Cambria Math" w:hAnsi="Cambria Math"/>
                </w:rPr>
                <m:t>FP</m:t>
              </m:r>
            </m:num>
            <m:den>
              <m:r>
                <w:rPr>
                  <w:rFonts w:ascii="Cambria Math" w:hAnsi="Cambria Math"/>
                </w:rPr>
                <m:t>FP+TN</m:t>
              </m:r>
            </m:den>
          </m:f>
        </m:oMath>
      </m:oMathPara>
    </w:p>
    <w:p w14:paraId="622EB68A" w14:textId="65C6569D" w:rsidR="00406FBB" w:rsidRDefault="00406FBB" w:rsidP="00406FBB">
      <w:pPr>
        <w:pStyle w:val="ListParagraph"/>
        <w:numPr>
          <w:ilvl w:val="0"/>
          <w:numId w:val="48"/>
        </w:numPr>
      </w:pPr>
      <w:r w:rsidRPr="00406FBB">
        <w:t>False Negative Rate (FNR)</w:t>
      </w:r>
      <w:r>
        <w:t xml:space="preserve">: </w:t>
      </w:r>
      <w:r w:rsidRPr="00406FBB">
        <w:t>Indicates how often the model fails to detect an actual crash</w:t>
      </w:r>
      <w:r>
        <w:t xml:space="preserve">, </w:t>
      </w:r>
      <w:r w:rsidRPr="00406FBB">
        <w:t>especially critical in risk-sensitive domains</w:t>
      </w:r>
      <w:r>
        <w:t>.</w:t>
      </w:r>
    </w:p>
    <w:p w14:paraId="70DEF645" w14:textId="67A24307" w:rsidR="007F1B80" w:rsidRPr="007F1B80" w:rsidRDefault="007F1B80" w:rsidP="007F1B80">
      <m:oMathPara>
        <m:oMath>
          <m:r>
            <w:rPr>
              <w:rFonts w:ascii="Cambria Math" w:hAnsi="Cambria Math"/>
            </w:rPr>
            <m:t xml:space="preserve">FNR= </m:t>
          </m:r>
          <m:f>
            <m:fPr>
              <m:ctrlPr>
                <w:rPr>
                  <w:rFonts w:ascii="Cambria Math" w:hAnsi="Cambria Math"/>
                  <w:i/>
                </w:rPr>
              </m:ctrlPr>
            </m:fPr>
            <m:num>
              <m:r>
                <w:rPr>
                  <w:rFonts w:ascii="Cambria Math" w:hAnsi="Cambria Math"/>
                </w:rPr>
                <m:t>FN</m:t>
              </m:r>
            </m:num>
            <m:den>
              <m:r>
                <w:rPr>
                  <w:rFonts w:ascii="Cambria Math" w:hAnsi="Cambria Math"/>
                </w:rPr>
                <m:t>TP+FN</m:t>
              </m:r>
            </m:den>
          </m:f>
        </m:oMath>
      </m:oMathPara>
    </w:p>
    <w:p w14:paraId="43075545" w14:textId="18935266" w:rsidR="007F1B80" w:rsidRDefault="007F1B80" w:rsidP="007F1B80">
      <w:pPr>
        <w:pStyle w:val="ListParagraph"/>
        <w:numPr>
          <w:ilvl w:val="0"/>
          <w:numId w:val="48"/>
        </w:numPr>
      </w:pPr>
      <w:r w:rsidRPr="007F1B80">
        <w:t>Positive Predictive Value (PPV) / Precisio</w:t>
      </w:r>
      <w:r>
        <w:t xml:space="preserve">n: </w:t>
      </w:r>
      <w:r w:rsidRPr="007F1B80">
        <w:t>Shows the proportion of predicted crashes that were actual crashes.</w:t>
      </w:r>
    </w:p>
    <w:p w14:paraId="4BD33A3B" w14:textId="4009BA81" w:rsidR="007F1B80" w:rsidRDefault="007F1B80" w:rsidP="007F1B80">
      <m:oMathPara>
        <m:oMath>
          <m:r>
            <w:rPr>
              <w:rFonts w:ascii="Cambria Math" w:hAnsi="Cambria Math"/>
            </w:rPr>
            <m:t xml:space="preserve">PPV= </m:t>
          </m:r>
          <m:f>
            <m:fPr>
              <m:ctrlPr>
                <w:rPr>
                  <w:rFonts w:ascii="Cambria Math" w:hAnsi="Cambria Math"/>
                  <w:i/>
                </w:rPr>
              </m:ctrlPr>
            </m:fPr>
            <m:num>
              <m:r>
                <w:rPr>
                  <w:rFonts w:ascii="Cambria Math" w:hAnsi="Cambria Math"/>
                </w:rPr>
                <m:t>TP</m:t>
              </m:r>
            </m:num>
            <m:den>
              <m:r>
                <w:rPr>
                  <w:rFonts w:ascii="Cambria Math" w:hAnsi="Cambria Math"/>
                </w:rPr>
                <m:t>TP+FP</m:t>
              </m:r>
            </m:den>
          </m:f>
        </m:oMath>
      </m:oMathPara>
    </w:p>
    <w:p w14:paraId="5DC334EA" w14:textId="7DF2ACA7" w:rsidR="007F1B80" w:rsidRDefault="007F1B80" w:rsidP="007F1B80">
      <w:pPr>
        <w:pStyle w:val="ListParagraph"/>
        <w:numPr>
          <w:ilvl w:val="0"/>
          <w:numId w:val="48"/>
        </w:numPr>
      </w:pPr>
      <w:r w:rsidRPr="007F1B80">
        <w:t>False Omission Rate (FOR)</w:t>
      </w:r>
      <w:r>
        <w:t xml:space="preserve">: </w:t>
      </w:r>
      <w:r w:rsidRPr="007F1B80">
        <w:t>Measures the probability of missing a crash among the instances predicted as non-crash.</w:t>
      </w:r>
    </w:p>
    <w:p w14:paraId="3DD6CDA8" w14:textId="265C3238" w:rsidR="007F1B80" w:rsidRDefault="007F1B80" w:rsidP="007F1B80">
      <m:oMathPara>
        <m:oMath>
          <m:r>
            <w:rPr>
              <w:rFonts w:ascii="Cambria Math" w:hAnsi="Cambria Math"/>
            </w:rPr>
            <w:lastRenderedPageBreak/>
            <m:t xml:space="preserve">FOR= </m:t>
          </m:r>
          <m:f>
            <m:fPr>
              <m:ctrlPr>
                <w:rPr>
                  <w:rFonts w:ascii="Cambria Math" w:hAnsi="Cambria Math"/>
                  <w:i/>
                </w:rPr>
              </m:ctrlPr>
            </m:fPr>
            <m:num>
              <m:r>
                <w:rPr>
                  <w:rFonts w:ascii="Cambria Math" w:hAnsi="Cambria Math"/>
                </w:rPr>
                <m:t>FN</m:t>
              </m:r>
            </m:num>
            <m:den>
              <m:r>
                <w:rPr>
                  <w:rFonts w:ascii="Cambria Math" w:hAnsi="Cambria Math"/>
                </w:rPr>
                <m:t>FN+TN</m:t>
              </m:r>
            </m:den>
          </m:f>
        </m:oMath>
      </m:oMathPara>
    </w:p>
    <w:p w14:paraId="7B9B8B73" w14:textId="396BA406" w:rsidR="007F1B80" w:rsidRDefault="007F1B80" w:rsidP="007F1B80">
      <w:pPr>
        <w:pStyle w:val="ListParagraph"/>
        <w:numPr>
          <w:ilvl w:val="0"/>
          <w:numId w:val="48"/>
        </w:numPr>
      </w:pPr>
      <w:r w:rsidRPr="007F1B80">
        <w:t>Noise-to-Signal Ratio (NSR)</w:t>
      </w:r>
      <w:r>
        <w:t xml:space="preserve">: </w:t>
      </w:r>
      <w:r w:rsidRPr="007F1B80">
        <w:t>Quantifies the level of false alarms relative to correct crash predictions. A lower NSR indicates a more reliable early warning system.</w:t>
      </w:r>
    </w:p>
    <w:p w14:paraId="70E77B53" w14:textId="1D946FB0" w:rsidR="007F1B80" w:rsidRPr="0015479F" w:rsidRDefault="007F1B80" w:rsidP="007F1B80">
      <m:oMathPara>
        <m:oMath>
          <m:r>
            <w:rPr>
              <w:rFonts w:ascii="Cambria Math" w:hAnsi="Cambria Math"/>
            </w:rPr>
            <m:t xml:space="preserve">NSR= </m:t>
          </m:r>
          <m:f>
            <m:fPr>
              <m:ctrlPr>
                <w:rPr>
                  <w:rFonts w:ascii="Cambria Math" w:hAnsi="Cambria Math"/>
                  <w:i/>
                </w:rPr>
              </m:ctrlPr>
            </m:fPr>
            <m:num>
              <m:r>
                <w:rPr>
                  <w:rFonts w:ascii="Cambria Math" w:hAnsi="Cambria Math"/>
                </w:rPr>
                <m:t>FPR</m:t>
              </m:r>
            </m:num>
            <m:den>
              <m:r>
                <w:rPr>
                  <w:rFonts w:ascii="Cambria Math" w:hAnsi="Cambria Math"/>
                </w:rPr>
                <m:t>TPR</m:t>
              </m:r>
            </m:den>
          </m:f>
        </m:oMath>
      </m:oMathPara>
    </w:p>
    <w:p w14:paraId="7196293F" w14:textId="25064525" w:rsidR="0015479F" w:rsidRPr="0026120D" w:rsidRDefault="0015479F" w:rsidP="0015479F">
      <w:pPr>
        <w:ind w:left="720"/>
      </w:pPr>
      <w:r w:rsidRPr="0015479F">
        <w:t>According to Kaminsky (1998), an NSR below 0.34 is considered a reliable threshold for identifying real banking crises. In contrast, an NSR equal to or exceeding 1.0 suggests that the model generates more noise than useful signals, rendering it ineffective for practical crisis prediction.</w:t>
      </w:r>
    </w:p>
    <w:p w14:paraId="4E7F26FB" w14:textId="2285C99C" w:rsidR="0026120D" w:rsidRDefault="0026120D" w:rsidP="0026120D">
      <w:pPr>
        <w:pStyle w:val="ListParagraph"/>
        <w:numPr>
          <w:ilvl w:val="0"/>
          <w:numId w:val="48"/>
        </w:numPr>
      </w:pPr>
      <w:r>
        <w:t xml:space="preserve">Accuracy (ACC): </w:t>
      </w:r>
      <w:r w:rsidRPr="0026120D">
        <w:t>Represents the overall proportion of correct predictions.</w:t>
      </w:r>
    </w:p>
    <w:p w14:paraId="2C083C49" w14:textId="26B43D34" w:rsidR="0026120D" w:rsidRPr="00DE09DE" w:rsidRDefault="0026120D" w:rsidP="0026120D">
      <m:oMathPara>
        <m:oMath>
          <m:r>
            <w:rPr>
              <w:rFonts w:ascii="Cambria Math" w:hAnsi="Cambria Math"/>
            </w:rPr>
            <m:t xml:space="preserve">ACC= </m:t>
          </m:r>
          <m:f>
            <m:fPr>
              <m:ctrlPr>
                <w:rPr>
                  <w:rFonts w:ascii="Cambria Math" w:hAnsi="Cambria Math"/>
                  <w:i/>
                </w:rPr>
              </m:ctrlPr>
            </m:fPr>
            <m:num>
              <m:r>
                <w:rPr>
                  <w:rFonts w:ascii="Cambria Math" w:hAnsi="Cambria Math"/>
                </w:rPr>
                <m:t>TP+TN</m:t>
              </m:r>
            </m:num>
            <m:den>
              <m:r>
                <w:rPr>
                  <w:rFonts w:ascii="Cambria Math" w:hAnsi="Cambria Math"/>
                </w:rPr>
                <m:t>Total</m:t>
              </m:r>
            </m:den>
          </m:f>
        </m:oMath>
      </m:oMathPara>
    </w:p>
    <w:p w14:paraId="6A869A1B" w14:textId="77777777" w:rsidR="00E40F9A" w:rsidRDefault="00E40F9A" w:rsidP="00C50553">
      <w:pPr>
        <w:pStyle w:val="Heading3"/>
      </w:pPr>
      <w:r>
        <w:t xml:space="preserve">Area Under </w:t>
      </w:r>
      <w:r w:rsidRPr="00C50553">
        <w:t>the</w:t>
      </w:r>
      <w:r>
        <w:t xml:space="preserve"> ROC Curve (AUC)</w:t>
      </w:r>
    </w:p>
    <w:p w14:paraId="67977207" w14:textId="06ADFC3D" w:rsidR="00C302E3" w:rsidRDefault="00E40F9A" w:rsidP="00200F8B">
      <w:r w:rsidRPr="0084119F">
        <w:t>The AUC measures the ability of a classifier to distinguish between the positive and negative classes across all possible classification thresholds. It is derived from the Receiver Operating Characteristic (ROC) curve, which plots the true positive rate against the false positive rate. AUC values range from 0 to 1, where 0.5 indicates random guessing and 1.0 indicates perfect classification.</w:t>
      </w:r>
      <w:r w:rsidR="003C43B6">
        <w:t xml:space="preserve"> </w:t>
      </w:r>
      <w:r w:rsidR="003518A1">
        <w:t>While useful</w:t>
      </w:r>
      <w:r w:rsidR="003C43B6">
        <w:t>, i</w:t>
      </w:r>
      <w:r w:rsidR="00C302E3" w:rsidRPr="00C302E3">
        <w:t>t does not directly account for the practical cost of false negatives versus false positives, so it is used as a complementary indicator rather than a sole decision criterion.</w:t>
      </w:r>
    </w:p>
    <w:p w14:paraId="53515457" w14:textId="742EE6E1" w:rsidR="004B401B" w:rsidRDefault="004B401B" w:rsidP="004B401B">
      <w:pPr>
        <w:pStyle w:val="Heading3"/>
      </w:pPr>
      <w:r>
        <w:t>Weighted Scoring Function</w:t>
      </w:r>
    </w:p>
    <w:p w14:paraId="69DCB47C" w14:textId="435395D8" w:rsidR="005B1843" w:rsidRPr="005B1843" w:rsidRDefault="004B401B" w:rsidP="00FB3BF8">
      <w:r w:rsidRPr="004B401B">
        <w:t xml:space="preserve">To evaluate model performance more holistically, a custom weighted scoring function </w:t>
      </w:r>
      <w:r>
        <w:t>was defined</w:t>
      </w:r>
      <w:r w:rsidRPr="004B401B">
        <w:t>. This function assigns greater</w:t>
      </w:r>
      <w:r w:rsidR="008D34C8">
        <w:t xml:space="preserve"> positive</w:t>
      </w:r>
      <w:r w:rsidRPr="004B401B">
        <w:t xml:space="preserve"> weight to metrics that are more critical for early warning systems, such as TPR</w:t>
      </w:r>
      <w:r w:rsidR="009957B6">
        <w:t>, TNR</w:t>
      </w:r>
      <w:r w:rsidRPr="004B401B">
        <w:t xml:space="preserve"> and PPV, while penalizing undesirable outcomes FPR and FNR</w:t>
      </w:r>
      <w:r w:rsidR="008D34C8">
        <w:t xml:space="preserve"> by giving a negative weight</w:t>
      </w:r>
      <w:r w:rsidRPr="004B401B">
        <w:t xml:space="preserve">. </w:t>
      </w:r>
    </w:p>
    <w:p w14:paraId="046B3432" w14:textId="55215610" w:rsidR="008D34C8" w:rsidRDefault="00FB3BF8" w:rsidP="004B401B">
      <w:r>
        <w:t>Specifically, t</w:t>
      </w:r>
      <w:r w:rsidR="008D34C8" w:rsidRPr="008D34C8">
        <w:t>he weighted score is computed as:</w:t>
      </w:r>
    </w:p>
    <w:p w14:paraId="341B4298" w14:textId="01135286" w:rsidR="008D34C8" w:rsidRPr="00FB3BF8" w:rsidRDefault="008D34C8" w:rsidP="004B401B">
      <m:oMathPara>
        <m:oMath>
          <m:r>
            <w:rPr>
              <w:rFonts w:ascii="Cambria Math" w:hAnsi="Cambria Math"/>
            </w:rPr>
            <m:t xml:space="preserve">Score=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e>
          </m:nary>
        </m:oMath>
      </m:oMathPara>
    </w:p>
    <w:p w14:paraId="1D9A579F" w14:textId="44BD2FF2" w:rsidR="00FB3BF8" w:rsidRPr="004B401B" w:rsidRDefault="00FB3BF8" w:rsidP="004B401B">
      <w:r>
        <w:t xml:space="preserve">where </w:t>
      </w:r>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∈{TPR,TNR,FPR,FNR,PPV,FOR,NSR,ACC}</m:t>
        </m:r>
      </m:oMath>
      <w:r w:rsidR="000A0994">
        <w:t xml:space="preserve"> </w:t>
      </w:r>
      <w:r w:rsidR="000A0994" w:rsidRPr="000A0994">
        <w:t>are the metric values</w:t>
      </w:r>
      <w:r w:rsidR="000A0994">
        <w:t xml:space="preserve">, and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TPR</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TNR</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FPR</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FNR</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PPV</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FOR</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NSR</m:t>
            </m:r>
          </m:sub>
        </m:sSub>
        <m:sSub>
          <m:sSubPr>
            <m:ctrlPr>
              <w:rPr>
                <w:rFonts w:ascii="Cambria Math" w:hAnsi="Cambria Math"/>
                <w:i/>
              </w:rPr>
            </m:ctrlPr>
          </m:sSubPr>
          <m:e>
            <m:r>
              <w:rPr>
                <w:rFonts w:ascii="Cambria Math" w:hAnsi="Cambria Math"/>
              </w:rPr>
              <m:t>,w</m:t>
            </m:r>
          </m:e>
          <m:sub>
            <m:r>
              <w:rPr>
                <w:rFonts w:ascii="Cambria Math" w:hAnsi="Cambria Math"/>
              </w:rPr>
              <m:t>ACC</m:t>
            </m:r>
          </m:sub>
        </m:sSub>
        <m:r>
          <w:rPr>
            <w:rFonts w:ascii="Cambria Math" w:hAnsi="Cambria Math"/>
          </w:rPr>
          <m:t>}</m:t>
        </m:r>
      </m:oMath>
      <w:r w:rsidR="006233C0">
        <w:t xml:space="preserve"> </w:t>
      </w:r>
      <w:r w:rsidR="006233C0" w:rsidRPr="006233C0">
        <w:t>are the weights for each corresponding metric</w:t>
      </w:r>
      <w:r w:rsidR="006233C0">
        <w:t>.</w:t>
      </w:r>
    </w:p>
    <w:p w14:paraId="5DCD63F7" w14:textId="7669461B" w:rsidR="0084119F" w:rsidRDefault="0084119F" w:rsidP="009927CD">
      <w:pPr>
        <w:pStyle w:val="Heading2"/>
      </w:pPr>
      <w:bookmarkStart w:id="24" w:name="_Toc204515582"/>
      <w:bookmarkEnd w:id="23"/>
      <w:r>
        <w:lastRenderedPageBreak/>
        <w:t>Results</w:t>
      </w:r>
    </w:p>
    <w:p w14:paraId="5FF2BE26" w14:textId="1424B468" w:rsidR="0084119F" w:rsidRDefault="00BF65DF" w:rsidP="00BF3CC9">
      <w:pPr>
        <w:pStyle w:val="Heading3"/>
      </w:pPr>
      <w:r w:rsidRPr="00BF65DF">
        <w:t xml:space="preserve">Volatility Clustering Across Time </w:t>
      </w:r>
      <w:r w:rsidR="00477D3B">
        <w:t>Windows</w:t>
      </w:r>
    </w:p>
    <w:p w14:paraId="6CF99096" w14:textId="1F92300F" w:rsidR="00BF65DF" w:rsidRDefault="002F62B2" w:rsidP="00BF65DF">
      <w:r w:rsidRPr="002F62B2">
        <w:rPr>
          <w:noProof/>
        </w:rPr>
        <w:drawing>
          <wp:inline distT="0" distB="0" distL="0" distR="0" wp14:anchorId="464A840B" wp14:editId="3C6C05A9">
            <wp:extent cx="5270500" cy="2850515"/>
            <wp:effectExtent l="0" t="0" r="6350" b="6985"/>
            <wp:docPr id="1603622501" name="Picture 1" descr="A graph showing different colore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622501" name="Picture 1" descr="A graph showing different colored dots&#10;&#10;AI-generated content may be incorrect."/>
                    <pic:cNvPicPr/>
                  </pic:nvPicPr>
                  <pic:blipFill>
                    <a:blip r:embed="rId12"/>
                    <a:stretch>
                      <a:fillRect/>
                    </a:stretch>
                  </pic:blipFill>
                  <pic:spPr>
                    <a:xfrm>
                      <a:off x="0" y="0"/>
                      <a:ext cx="5270500" cy="2850515"/>
                    </a:xfrm>
                    <a:prstGeom prst="rect">
                      <a:avLst/>
                    </a:prstGeom>
                  </pic:spPr>
                </pic:pic>
              </a:graphicData>
            </a:graphic>
          </wp:inline>
        </w:drawing>
      </w:r>
    </w:p>
    <w:p w14:paraId="04D9675C" w14:textId="77601DE0" w:rsidR="00BF65DF" w:rsidRDefault="00BF65DF" w:rsidP="00BF65DF">
      <w:pPr>
        <w:pStyle w:val="figurecaption"/>
        <w:rPr>
          <w:b w:val="0"/>
        </w:rPr>
      </w:pPr>
      <w:r w:rsidRPr="007C0AB9">
        <w:t xml:space="preserve">Figure 1:  </w:t>
      </w:r>
      <w:r>
        <w:rPr>
          <w:b w:val="0"/>
        </w:rPr>
        <w:t>R</w:t>
      </w:r>
      <w:r w:rsidRPr="00BF65DF">
        <w:rPr>
          <w:b w:val="0"/>
        </w:rPr>
        <w:t xml:space="preserve">elationship between future crash and n-day market volatility combined with </w:t>
      </w:r>
      <w:r w:rsidR="006D3B45">
        <w:rPr>
          <w:b w:val="0"/>
        </w:rPr>
        <w:t xml:space="preserve">n-day </w:t>
      </w:r>
      <w:r w:rsidRPr="00BF65DF">
        <w:rPr>
          <w:b w:val="0"/>
        </w:rPr>
        <w:t>sentiment volatility</w:t>
      </w:r>
    </w:p>
    <w:p w14:paraId="20F80243" w14:textId="0ECFE613" w:rsidR="0014360E" w:rsidRDefault="002F62B2" w:rsidP="0014360E">
      <w:r w:rsidRPr="002F62B2">
        <w:rPr>
          <w:noProof/>
        </w:rPr>
        <w:drawing>
          <wp:inline distT="0" distB="0" distL="0" distR="0" wp14:anchorId="58BA2192" wp14:editId="36E7CAC1">
            <wp:extent cx="5270500" cy="2608580"/>
            <wp:effectExtent l="0" t="0" r="6350" b="1270"/>
            <wp:docPr id="888434165"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434165" name="Picture 1" descr="A screenshot of a graph&#10;&#10;AI-generated content may be incorrect."/>
                    <pic:cNvPicPr/>
                  </pic:nvPicPr>
                  <pic:blipFill>
                    <a:blip r:embed="rId13"/>
                    <a:stretch>
                      <a:fillRect/>
                    </a:stretch>
                  </pic:blipFill>
                  <pic:spPr>
                    <a:xfrm>
                      <a:off x="0" y="0"/>
                      <a:ext cx="5270500" cy="2608580"/>
                    </a:xfrm>
                    <a:prstGeom prst="rect">
                      <a:avLst/>
                    </a:prstGeom>
                  </pic:spPr>
                </pic:pic>
              </a:graphicData>
            </a:graphic>
          </wp:inline>
        </w:drawing>
      </w:r>
    </w:p>
    <w:p w14:paraId="1FE6BE06" w14:textId="0D0EC672" w:rsidR="0014360E" w:rsidRPr="00B703B8" w:rsidRDefault="0014360E" w:rsidP="00B703B8">
      <w:pPr>
        <w:pStyle w:val="figurecaption"/>
        <w:rPr>
          <w:b w:val="0"/>
        </w:rPr>
      </w:pPr>
      <w:r w:rsidRPr="007C0AB9">
        <w:t xml:space="preserve">Figure </w:t>
      </w:r>
      <w:r>
        <w:t>2</w:t>
      </w:r>
      <w:r w:rsidRPr="007C0AB9">
        <w:t xml:space="preserve">:  </w:t>
      </w:r>
      <w:r w:rsidR="00F60BC9">
        <w:rPr>
          <w:b w:val="0"/>
        </w:rPr>
        <w:t>R</w:t>
      </w:r>
      <w:r w:rsidRPr="0014360E">
        <w:rPr>
          <w:b w:val="0"/>
        </w:rPr>
        <w:t>elationship between n-day market volatility and n-day sentiment volatility for each volatility period</w:t>
      </w:r>
    </w:p>
    <w:p w14:paraId="4B949974" w14:textId="296E59E6" w:rsidR="00B703B8" w:rsidRDefault="00B703B8" w:rsidP="00B703B8">
      <w:r w:rsidRPr="00B703B8">
        <w:t xml:space="preserve">To assess the predictive utility of sentiment and market volatility in anticipating financial crashes, we examine their joint behaviour over multiple forecast horizons. Figures </w:t>
      </w:r>
      <w:r>
        <w:t>1</w:t>
      </w:r>
      <w:r w:rsidRPr="00B703B8">
        <w:t xml:space="preserve"> and </w:t>
      </w:r>
      <w:r>
        <w:t>2</w:t>
      </w:r>
      <w:r w:rsidRPr="00B703B8">
        <w:t xml:space="preserve"> visualize the relationships between n-day market volatility and n-day sentiment volatility, labelled by future crash occurrence (crash = 1, no crash = 0), across five rolling windows: 5, 22, 66, </w:t>
      </w:r>
      <w:r w:rsidR="00AF1B59">
        <w:t xml:space="preserve">and </w:t>
      </w:r>
      <w:r w:rsidRPr="00B703B8">
        <w:t>132</w:t>
      </w:r>
      <w:r w:rsidR="00281401">
        <w:t xml:space="preserve"> </w:t>
      </w:r>
      <w:r w:rsidRPr="00B703B8">
        <w:t>days.</w:t>
      </w:r>
    </w:p>
    <w:p w14:paraId="6593F5BA" w14:textId="2C7B50C5" w:rsidR="00254276" w:rsidRPr="00237E0E" w:rsidRDefault="003D1EE3" w:rsidP="00AC3631">
      <w:r>
        <w:t xml:space="preserve">Figure 2 reveals horizon-dependent structural differences in how volatility metrics associate with future crash outcomes. For </w:t>
      </w:r>
      <w:r w:rsidR="00785C40">
        <w:t xml:space="preserve">all observed </w:t>
      </w:r>
      <w:r>
        <w:t>horizons</w:t>
      </w:r>
      <w:r w:rsidR="00785C40">
        <w:t>,</w:t>
      </w:r>
      <w:r>
        <w:t xml:space="preserve"> </w:t>
      </w:r>
      <w:r w:rsidR="00383411" w:rsidRPr="00383411">
        <w:t xml:space="preserve">crash points (orange) are diffusely scattered across the volatility space and exhibit substantial </w:t>
      </w:r>
      <w:r w:rsidR="00383411" w:rsidRPr="00383411">
        <w:lastRenderedPageBreak/>
        <w:t>overlap with non-crash points (blu</w:t>
      </w:r>
      <w:r w:rsidR="00383411">
        <w:t>e)</w:t>
      </w:r>
      <w:r>
        <w:t>.</w:t>
      </w:r>
      <w:r w:rsidR="002D633D">
        <w:t xml:space="preserve"> </w:t>
      </w:r>
      <w:r w:rsidR="002D633D" w:rsidRPr="002D633D">
        <w:t>Nevertheless, a significant observation i</w:t>
      </w:r>
      <w:r w:rsidR="002D633D">
        <w:t>s</w:t>
      </w:r>
      <w:r>
        <w:t xml:space="preserve"> the </w:t>
      </w:r>
      <w:r w:rsidR="002D633D">
        <w:t>shorter</w:t>
      </w:r>
      <w:r w:rsidR="006D5745">
        <w:t xml:space="preserve"> </w:t>
      </w:r>
      <w:r w:rsidR="00C32DAD">
        <w:t>window</w:t>
      </w:r>
      <w:r w:rsidR="002D633D">
        <w:t xml:space="preserve"> (5-day and 22-day)</w:t>
      </w:r>
      <w:r>
        <w:t xml:space="preserve"> show increased crash density in high sentiment volatility regimes, suggesting that </w:t>
      </w:r>
      <w:r w:rsidR="00D87DB7">
        <w:t>shorter</w:t>
      </w:r>
      <w:r>
        <w:t>-term financial distress is more likely to be preceded by sustained turbulence in investor sentiment.</w:t>
      </w:r>
      <w:r w:rsidR="00254276">
        <w:t xml:space="preserve"> The result</w:t>
      </w:r>
      <w:r w:rsidR="00B4039A">
        <w:t xml:space="preserve"> is consistent with </w:t>
      </w:r>
      <w:r w:rsidR="009B5455">
        <w:t>behavioural</w:t>
      </w:r>
      <w:r w:rsidR="00B4039A">
        <w:t xml:space="preserve"> finance theories suggesting that investor mood and narrative instability often precede tangible price-based dislocations</w:t>
      </w:r>
      <w:r w:rsidR="0072727E">
        <w:t xml:space="preserve"> (</w:t>
      </w:r>
      <w:proofErr w:type="spellStart"/>
      <w:r w:rsidR="0072727E">
        <w:t>Gaies</w:t>
      </w:r>
      <w:proofErr w:type="spellEnd"/>
      <w:r w:rsidR="0072727E">
        <w:t xml:space="preserve"> et al., 2022)</w:t>
      </w:r>
      <w:r w:rsidR="00874663">
        <w:t>.</w:t>
      </w:r>
    </w:p>
    <w:p w14:paraId="13CFBAC6" w14:textId="5DCDC796" w:rsidR="00BF3CC9" w:rsidRDefault="00BF3CC9" w:rsidP="00BF3CC9">
      <w:pPr>
        <w:pStyle w:val="Heading3"/>
      </w:pPr>
      <w:r>
        <w:t>Compared Models</w:t>
      </w:r>
    </w:p>
    <w:p w14:paraId="40B8337E" w14:textId="055AEA63" w:rsidR="00BF3CC9" w:rsidRDefault="00BF3CC9" w:rsidP="00BF3CC9">
      <w:pPr>
        <w:pStyle w:val="ListParagraph"/>
        <w:numPr>
          <w:ilvl w:val="0"/>
          <w:numId w:val="50"/>
        </w:numPr>
      </w:pPr>
      <w:r>
        <w:t>Static Logit</w:t>
      </w:r>
    </w:p>
    <w:p w14:paraId="0F40AD90" w14:textId="1E6FC927" w:rsidR="00BF3CC9" w:rsidRDefault="00BF3CC9" w:rsidP="00BF3CC9">
      <w:pPr>
        <w:pStyle w:val="ListParagraph"/>
        <w:numPr>
          <w:ilvl w:val="0"/>
          <w:numId w:val="50"/>
        </w:numPr>
      </w:pPr>
      <w:r>
        <w:t>Dynamic Logit</w:t>
      </w:r>
    </w:p>
    <w:p w14:paraId="74A0B3D2" w14:textId="6250D4C4" w:rsidR="00BF3CC9" w:rsidRDefault="00BF3CC9" w:rsidP="00BF3CC9">
      <w:pPr>
        <w:pStyle w:val="ListParagraph"/>
        <w:numPr>
          <w:ilvl w:val="0"/>
          <w:numId w:val="50"/>
        </w:numPr>
      </w:pPr>
      <w:r>
        <w:t>CNN</w:t>
      </w:r>
    </w:p>
    <w:p w14:paraId="4C0010B0" w14:textId="6C2882A0" w:rsidR="00BF3CC9" w:rsidRDefault="00BF3CC9" w:rsidP="00BF3CC9">
      <w:pPr>
        <w:pStyle w:val="ListParagraph"/>
        <w:numPr>
          <w:ilvl w:val="0"/>
          <w:numId w:val="50"/>
        </w:numPr>
      </w:pPr>
      <w:r>
        <w:t>LSTM</w:t>
      </w:r>
    </w:p>
    <w:p w14:paraId="442B6257" w14:textId="3FF6F883" w:rsidR="00301377" w:rsidRDefault="00301377" w:rsidP="00BF3CC9">
      <w:pPr>
        <w:pStyle w:val="ListParagraph"/>
        <w:numPr>
          <w:ilvl w:val="0"/>
          <w:numId w:val="50"/>
        </w:numPr>
      </w:pPr>
      <w:r>
        <w:t>Features Importance</w:t>
      </w:r>
    </w:p>
    <w:p w14:paraId="0B1772E0" w14:textId="1FA91B47" w:rsidR="00C879A7" w:rsidRDefault="00511068" w:rsidP="00C879A7">
      <w:pPr>
        <w:pStyle w:val="Heading3"/>
      </w:pPr>
      <w:r>
        <w:t>Ranking</w:t>
      </w:r>
      <w:r w:rsidR="00C879A7">
        <w:t xml:space="preserve"> the </w:t>
      </w:r>
      <w:r>
        <w:t>M</w:t>
      </w:r>
      <w:r w:rsidR="00C879A7">
        <w:t>odel</w:t>
      </w:r>
      <w:r w:rsidR="00A63276">
        <w:t>s</w:t>
      </w:r>
    </w:p>
    <w:p w14:paraId="6872EBE5" w14:textId="5BF52230" w:rsidR="000D102C" w:rsidRPr="000D102C" w:rsidRDefault="000D102C" w:rsidP="000D102C">
      <w:r>
        <w:t>The performance metrics of the compared models are summarized in Table 1, where T denotes the window length (in days) used for feature aggregation and prediction. To streamline model identification, we adopt the naming convention “A_F_T”, where A refers to the model architecture (CNN, LSTM, Static Logit, Dynamic Logit), F specifies the feature type used (Sentiment, Market, and Combined), and T represents the window length in days (5, 22, 66, and 132).</w:t>
      </w:r>
      <w:r w:rsidR="00467D72">
        <w:t xml:space="preserve"> </w:t>
      </w:r>
      <w:r w:rsidRPr="005C4CFA">
        <w:t>For example, "</w:t>
      </w:r>
      <w:r>
        <w:t>Dynamic_Logit</w:t>
      </w:r>
      <w:r w:rsidRPr="005C4CFA">
        <w:t>_</w:t>
      </w:r>
      <w:r>
        <w:t>Combined</w:t>
      </w:r>
      <w:r w:rsidRPr="005C4CFA">
        <w:t xml:space="preserve">_22" refers to a </w:t>
      </w:r>
      <w:r>
        <w:t>Dynamic Logistic Regression</w:t>
      </w:r>
      <w:r w:rsidRPr="005C4CFA">
        <w:t xml:space="preserve"> model using </w:t>
      </w:r>
      <w:r>
        <w:t>both market and s</w:t>
      </w:r>
      <w:r w:rsidRPr="005C4CFA">
        <w:t>entiment</w:t>
      </w:r>
      <w:r>
        <w:t xml:space="preserve"> </w:t>
      </w:r>
      <w:r w:rsidRPr="005C4CFA">
        <w:t>features over a 22-day window</w:t>
      </w:r>
      <w:r>
        <w:t>.</w:t>
      </w:r>
    </w:p>
    <w:p w14:paraId="48951A1E" w14:textId="082E46C0" w:rsidR="00D1311F" w:rsidRDefault="00AB1560" w:rsidP="00D1311F">
      <w:pPr>
        <w:jc w:val="center"/>
        <w:rPr>
          <w:lang w:val="en-US"/>
        </w:rPr>
      </w:pPr>
      <w:r w:rsidRPr="00EE4E76">
        <w:rPr>
          <w:b/>
          <w:bCs/>
          <w:lang w:val="en-US"/>
        </w:rPr>
        <w:t>Table 1:</w:t>
      </w:r>
      <w:r>
        <w:rPr>
          <w:lang w:val="en-US"/>
        </w:rPr>
        <w:t xml:space="preserve"> </w:t>
      </w:r>
      <w:r w:rsidR="008A1262" w:rsidRPr="008A1262">
        <w:rPr>
          <w:lang w:val="en-US"/>
        </w:rPr>
        <w:t>Performance of Models Filtered by NSR and FNR Thresholds</w:t>
      </w:r>
    </w:p>
    <w:tbl>
      <w:tblPr>
        <w:tblStyle w:val="PlainTable2"/>
        <w:tblW w:w="0" w:type="auto"/>
        <w:tblCellMar>
          <w:bottom w:w="57" w:type="dxa"/>
        </w:tblCellMar>
        <w:tblLook w:val="04A0" w:firstRow="1" w:lastRow="0" w:firstColumn="1" w:lastColumn="0" w:noHBand="0" w:noVBand="1"/>
      </w:tblPr>
      <w:tblGrid>
        <w:gridCol w:w="2454"/>
        <w:gridCol w:w="5130"/>
        <w:gridCol w:w="706"/>
      </w:tblGrid>
      <w:tr w:rsidR="005B52E1" w:rsidRPr="00B82224" w14:paraId="09AAA425" w14:textId="77777777" w:rsidTr="003A53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4" w:type="dxa"/>
            <w:tcBorders>
              <w:top w:val="single" w:sz="12" w:space="0" w:color="000000"/>
              <w:bottom w:val="single" w:sz="12" w:space="0" w:color="000000"/>
            </w:tcBorders>
          </w:tcPr>
          <w:p w14:paraId="4B20A270" w14:textId="05DC7F8D" w:rsidR="0068455F" w:rsidRPr="00752A87" w:rsidRDefault="0068455F" w:rsidP="00BB5BA0">
            <w:pPr>
              <w:spacing w:before="120"/>
              <w:jc w:val="center"/>
              <w:rPr>
                <w:sz w:val="16"/>
                <w:szCs w:val="16"/>
                <w:lang w:val="en-US"/>
              </w:rPr>
            </w:pPr>
            <w:r w:rsidRPr="00752A87">
              <w:rPr>
                <w:sz w:val="16"/>
                <w:szCs w:val="16"/>
                <w:lang w:val="en-US"/>
              </w:rPr>
              <w:t>Model</w:t>
            </w:r>
          </w:p>
        </w:tc>
        <w:tc>
          <w:tcPr>
            <w:tcW w:w="5130" w:type="dxa"/>
            <w:tcBorders>
              <w:top w:val="single" w:sz="12" w:space="0" w:color="auto"/>
              <w:bottom w:val="single" w:sz="12" w:space="0" w:color="000000"/>
            </w:tcBorders>
          </w:tcPr>
          <w:p w14:paraId="3552AEB1" w14:textId="5203D6F0" w:rsidR="0068455F" w:rsidRPr="00752A87" w:rsidRDefault="0068455F" w:rsidP="00BB5BA0">
            <w:pPr>
              <w:spacing w:before="120"/>
              <w:jc w:val="center"/>
              <w:cnfStyle w:val="100000000000" w:firstRow="1" w:lastRow="0" w:firstColumn="0" w:lastColumn="0" w:oddVBand="0" w:evenVBand="0" w:oddHBand="0" w:evenHBand="0" w:firstRowFirstColumn="0" w:firstRowLastColumn="0" w:lastRowFirstColumn="0" w:lastRowLastColumn="0"/>
              <w:rPr>
                <w:sz w:val="16"/>
                <w:szCs w:val="16"/>
                <w:lang w:val="en-US"/>
              </w:rPr>
            </w:pPr>
            <w:r w:rsidRPr="00752A87">
              <w:rPr>
                <w:sz w:val="16"/>
                <w:szCs w:val="16"/>
                <w:lang w:val="en-US"/>
              </w:rPr>
              <w:t>Evaluation Metrics</w:t>
            </w:r>
          </w:p>
        </w:tc>
        <w:tc>
          <w:tcPr>
            <w:tcW w:w="0" w:type="auto"/>
            <w:tcBorders>
              <w:top w:val="single" w:sz="12" w:space="0" w:color="000000"/>
              <w:bottom w:val="single" w:sz="12" w:space="0" w:color="000000"/>
            </w:tcBorders>
          </w:tcPr>
          <w:p w14:paraId="40048D39" w14:textId="4D46CCF7" w:rsidR="0068455F" w:rsidRPr="00752A87" w:rsidRDefault="00700E81" w:rsidP="00BB5BA0">
            <w:pPr>
              <w:spacing w:before="120"/>
              <w:jc w:val="center"/>
              <w:cnfStyle w:val="100000000000" w:firstRow="1" w:lastRow="0" w:firstColumn="0" w:lastColumn="0" w:oddVBand="0" w:evenVBand="0" w:oddHBand="0" w:evenHBand="0" w:firstRowFirstColumn="0" w:firstRowLastColumn="0" w:lastRowFirstColumn="0" w:lastRowLastColumn="0"/>
              <w:rPr>
                <w:sz w:val="16"/>
                <w:szCs w:val="16"/>
                <w:lang w:val="en-US"/>
              </w:rPr>
            </w:pPr>
            <w:r w:rsidRPr="00752A87">
              <w:rPr>
                <w:sz w:val="16"/>
                <w:szCs w:val="16"/>
                <w:lang w:val="en-US"/>
              </w:rPr>
              <w:t>Score</w:t>
            </w:r>
          </w:p>
        </w:tc>
      </w:tr>
      <w:tr w:rsidR="005B52E1" w:rsidRPr="00B82224" w14:paraId="79A888B6" w14:textId="77777777" w:rsidTr="003A53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4" w:type="dxa"/>
            <w:tcBorders>
              <w:top w:val="single" w:sz="12" w:space="0" w:color="000000"/>
            </w:tcBorders>
          </w:tcPr>
          <w:p w14:paraId="7267CA26" w14:textId="2B2BDBF5" w:rsidR="0068455F" w:rsidRPr="00B82224" w:rsidRDefault="0068455F" w:rsidP="00BB5BA0">
            <w:pPr>
              <w:spacing w:before="120"/>
              <w:jc w:val="left"/>
              <w:rPr>
                <w:sz w:val="16"/>
                <w:szCs w:val="16"/>
                <w:lang w:val="en-US"/>
              </w:rPr>
            </w:pPr>
            <w:r w:rsidRPr="00B82224">
              <w:rPr>
                <w:sz w:val="16"/>
                <w:szCs w:val="16"/>
                <w:lang w:val="en-US"/>
              </w:rPr>
              <w:t>CNN_Sentiment_22</w:t>
            </w:r>
          </w:p>
        </w:tc>
        <w:tc>
          <w:tcPr>
            <w:tcW w:w="5130" w:type="dxa"/>
            <w:tcBorders>
              <w:top w:val="single" w:sz="12" w:space="0" w:color="000000"/>
            </w:tcBorders>
          </w:tcPr>
          <w:tbl>
            <w:tblPr>
              <w:tblStyle w:val="Style3"/>
              <w:tblW w:w="5000" w:type="pct"/>
              <w:tblLook w:val="04A0" w:firstRow="1" w:lastRow="0" w:firstColumn="1" w:lastColumn="0" w:noHBand="0" w:noVBand="1"/>
            </w:tblPr>
            <w:tblGrid>
              <w:gridCol w:w="1213"/>
              <w:gridCol w:w="1236"/>
              <w:gridCol w:w="1230"/>
              <w:gridCol w:w="1235"/>
            </w:tblGrid>
            <w:tr w:rsidR="006102CA" w:rsidRPr="00B82224" w14:paraId="1FA41ABF" w14:textId="77777777" w:rsidTr="008A3028">
              <w:trPr>
                <w:trHeight w:val="283"/>
              </w:trPr>
              <w:tc>
                <w:tcPr>
                  <w:tcW w:w="1233" w:type="pct"/>
                </w:tcPr>
                <w:p w14:paraId="170EAE47" w14:textId="46CF6453" w:rsidR="006102CA" w:rsidRPr="00B82224" w:rsidRDefault="006102CA" w:rsidP="00BB5BA0">
                  <w:pPr>
                    <w:spacing w:before="120"/>
                    <w:jc w:val="left"/>
                    <w:rPr>
                      <w:sz w:val="16"/>
                      <w:szCs w:val="16"/>
                      <w:lang w:val="en-US"/>
                    </w:rPr>
                  </w:pPr>
                  <w:r w:rsidRPr="00B82224">
                    <w:rPr>
                      <w:sz w:val="16"/>
                      <w:szCs w:val="16"/>
                      <w:lang w:val="en-US"/>
                    </w:rPr>
                    <w:t>TPR=0.9394</w:t>
                  </w:r>
                </w:p>
              </w:tc>
              <w:tc>
                <w:tcPr>
                  <w:tcW w:w="1258" w:type="pct"/>
                </w:tcPr>
                <w:p w14:paraId="29409EE1" w14:textId="06046966" w:rsidR="006102CA" w:rsidRPr="00B82224" w:rsidRDefault="006102CA" w:rsidP="00BB5BA0">
                  <w:pPr>
                    <w:spacing w:before="120"/>
                    <w:jc w:val="left"/>
                    <w:rPr>
                      <w:sz w:val="16"/>
                      <w:szCs w:val="16"/>
                      <w:lang w:val="en-US"/>
                    </w:rPr>
                  </w:pPr>
                  <w:r w:rsidRPr="00B82224">
                    <w:rPr>
                      <w:sz w:val="16"/>
                      <w:szCs w:val="16"/>
                      <w:lang w:val="en-US"/>
                    </w:rPr>
                    <w:t>TNR=0.7232</w:t>
                  </w:r>
                </w:p>
              </w:tc>
              <w:tc>
                <w:tcPr>
                  <w:tcW w:w="1252" w:type="pct"/>
                </w:tcPr>
                <w:p w14:paraId="2F1BE359" w14:textId="6BF483FE" w:rsidR="006102CA" w:rsidRPr="00B82224" w:rsidRDefault="006102CA" w:rsidP="00BB5BA0">
                  <w:pPr>
                    <w:spacing w:before="120"/>
                    <w:jc w:val="left"/>
                    <w:rPr>
                      <w:sz w:val="16"/>
                      <w:szCs w:val="16"/>
                      <w:lang w:val="en-US"/>
                    </w:rPr>
                  </w:pPr>
                  <w:r w:rsidRPr="00B82224">
                    <w:rPr>
                      <w:sz w:val="16"/>
                      <w:szCs w:val="16"/>
                      <w:lang w:val="en-US"/>
                    </w:rPr>
                    <w:t>FPR=0.2768</w:t>
                  </w:r>
                </w:p>
              </w:tc>
              <w:tc>
                <w:tcPr>
                  <w:tcW w:w="1258" w:type="pct"/>
                </w:tcPr>
                <w:p w14:paraId="5BED9D5B" w14:textId="130BE41C" w:rsidR="006102CA" w:rsidRPr="00B82224" w:rsidRDefault="006102CA" w:rsidP="00BB5BA0">
                  <w:pPr>
                    <w:spacing w:before="120"/>
                    <w:jc w:val="left"/>
                    <w:rPr>
                      <w:sz w:val="16"/>
                      <w:szCs w:val="16"/>
                      <w:lang w:val="en-US"/>
                    </w:rPr>
                  </w:pPr>
                  <w:r w:rsidRPr="00B82224">
                    <w:rPr>
                      <w:sz w:val="16"/>
                      <w:szCs w:val="16"/>
                      <w:lang w:val="en-US"/>
                    </w:rPr>
                    <w:t>FNR=0.0606</w:t>
                  </w:r>
                </w:p>
              </w:tc>
            </w:tr>
            <w:tr w:rsidR="006102CA" w:rsidRPr="00B82224" w14:paraId="41C2E7E1" w14:textId="77777777" w:rsidTr="008A3028">
              <w:trPr>
                <w:trHeight w:val="283"/>
              </w:trPr>
              <w:tc>
                <w:tcPr>
                  <w:tcW w:w="1233" w:type="pct"/>
                </w:tcPr>
                <w:p w14:paraId="75A2D4E5" w14:textId="28418710" w:rsidR="006102CA" w:rsidRPr="00B82224" w:rsidRDefault="006102CA" w:rsidP="00BB5BA0">
                  <w:pPr>
                    <w:spacing w:before="120"/>
                    <w:jc w:val="left"/>
                    <w:rPr>
                      <w:sz w:val="16"/>
                      <w:szCs w:val="16"/>
                      <w:lang w:val="en-US"/>
                    </w:rPr>
                  </w:pPr>
                  <w:r w:rsidRPr="00B82224">
                    <w:rPr>
                      <w:sz w:val="16"/>
                      <w:szCs w:val="16"/>
                      <w:lang w:val="en-US"/>
                    </w:rPr>
                    <w:t>PPV=0.</w:t>
                  </w:r>
                  <w:r w:rsidR="00A42275" w:rsidRPr="00B82224">
                    <w:rPr>
                      <w:sz w:val="16"/>
                      <w:szCs w:val="16"/>
                      <w:lang w:val="en-US"/>
                    </w:rPr>
                    <w:t>1845</w:t>
                  </w:r>
                </w:p>
              </w:tc>
              <w:tc>
                <w:tcPr>
                  <w:tcW w:w="1258" w:type="pct"/>
                </w:tcPr>
                <w:p w14:paraId="02CE4849" w14:textId="191960E8" w:rsidR="006102CA" w:rsidRPr="00B82224" w:rsidRDefault="006102CA" w:rsidP="00BB5BA0">
                  <w:pPr>
                    <w:spacing w:before="120"/>
                    <w:jc w:val="left"/>
                    <w:rPr>
                      <w:sz w:val="16"/>
                      <w:szCs w:val="16"/>
                      <w:lang w:val="en-US"/>
                    </w:rPr>
                  </w:pPr>
                  <w:r w:rsidRPr="00B82224">
                    <w:rPr>
                      <w:sz w:val="16"/>
                      <w:szCs w:val="16"/>
                      <w:lang w:val="en-US"/>
                    </w:rPr>
                    <w:t>FOR=0.0</w:t>
                  </w:r>
                  <w:r w:rsidR="00A42275" w:rsidRPr="00B82224">
                    <w:rPr>
                      <w:sz w:val="16"/>
                      <w:szCs w:val="16"/>
                      <w:lang w:val="en-US"/>
                    </w:rPr>
                    <w:t>056</w:t>
                  </w:r>
                </w:p>
              </w:tc>
              <w:tc>
                <w:tcPr>
                  <w:tcW w:w="1252" w:type="pct"/>
                </w:tcPr>
                <w:p w14:paraId="3EB7CBFF" w14:textId="6B52A699" w:rsidR="006102CA" w:rsidRPr="00B82224" w:rsidRDefault="006102CA" w:rsidP="00BB5BA0">
                  <w:pPr>
                    <w:spacing w:before="120"/>
                    <w:jc w:val="left"/>
                    <w:rPr>
                      <w:sz w:val="16"/>
                      <w:szCs w:val="16"/>
                      <w:lang w:val="en-US"/>
                    </w:rPr>
                  </w:pPr>
                  <w:r w:rsidRPr="00B82224">
                    <w:rPr>
                      <w:sz w:val="16"/>
                      <w:szCs w:val="16"/>
                      <w:lang w:val="en-US"/>
                    </w:rPr>
                    <w:t>NSR=0.</w:t>
                  </w:r>
                  <w:r w:rsidR="00A42275" w:rsidRPr="00B82224">
                    <w:rPr>
                      <w:sz w:val="16"/>
                      <w:szCs w:val="16"/>
                      <w:lang w:val="en-US"/>
                    </w:rPr>
                    <w:t>2946</w:t>
                  </w:r>
                </w:p>
              </w:tc>
              <w:tc>
                <w:tcPr>
                  <w:tcW w:w="1258" w:type="pct"/>
                </w:tcPr>
                <w:p w14:paraId="2C19C750" w14:textId="59AF47C4" w:rsidR="006102CA" w:rsidRPr="00B82224" w:rsidRDefault="006102CA" w:rsidP="00BB5BA0">
                  <w:pPr>
                    <w:spacing w:before="120"/>
                    <w:jc w:val="left"/>
                    <w:rPr>
                      <w:sz w:val="16"/>
                      <w:szCs w:val="16"/>
                      <w:lang w:val="en-US"/>
                    </w:rPr>
                  </w:pPr>
                  <w:r w:rsidRPr="00B82224">
                    <w:rPr>
                      <w:sz w:val="16"/>
                      <w:szCs w:val="16"/>
                      <w:lang w:val="en-US"/>
                    </w:rPr>
                    <w:t>A</w:t>
                  </w:r>
                  <w:r w:rsidR="00A42275" w:rsidRPr="00B82224">
                    <w:rPr>
                      <w:sz w:val="16"/>
                      <w:szCs w:val="16"/>
                      <w:lang w:val="en-US"/>
                    </w:rPr>
                    <w:t>C</w:t>
                  </w:r>
                  <w:r w:rsidRPr="00B82224">
                    <w:rPr>
                      <w:sz w:val="16"/>
                      <w:szCs w:val="16"/>
                      <w:lang w:val="en-US"/>
                    </w:rPr>
                    <w:t>C=0.</w:t>
                  </w:r>
                  <w:r w:rsidR="00A42275" w:rsidRPr="00B82224">
                    <w:rPr>
                      <w:sz w:val="16"/>
                      <w:szCs w:val="16"/>
                      <w:lang w:val="en-US"/>
                    </w:rPr>
                    <w:t>7367</w:t>
                  </w:r>
                </w:p>
              </w:tc>
            </w:tr>
          </w:tbl>
          <w:p w14:paraId="08CF2A57" w14:textId="77777777" w:rsidR="0068455F" w:rsidRPr="00B82224" w:rsidRDefault="0068455F" w:rsidP="00BB5BA0">
            <w:pPr>
              <w:spacing w:before="120"/>
              <w:jc w:val="left"/>
              <w:cnfStyle w:val="000000100000" w:firstRow="0" w:lastRow="0" w:firstColumn="0" w:lastColumn="0" w:oddVBand="0" w:evenVBand="0" w:oddHBand="1" w:evenHBand="0" w:firstRowFirstColumn="0" w:firstRowLastColumn="0" w:lastRowFirstColumn="0" w:lastRowLastColumn="0"/>
              <w:rPr>
                <w:sz w:val="16"/>
                <w:szCs w:val="16"/>
                <w:lang w:val="en-US"/>
              </w:rPr>
            </w:pPr>
          </w:p>
        </w:tc>
        <w:tc>
          <w:tcPr>
            <w:tcW w:w="0" w:type="auto"/>
            <w:tcBorders>
              <w:top w:val="single" w:sz="12" w:space="0" w:color="000000"/>
            </w:tcBorders>
          </w:tcPr>
          <w:p w14:paraId="0E980946" w14:textId="415DDEAD" w:rsidR="0068455F" w:rsidRPr="00B82224" w:rsidRDefault="0068455F" w:rsidP="00BB5BA0">
            <w:pPr>
              <w:spacing w:before="120"/>
              <w:jc w:val="left"/>
              <w:cnfStyle w:val="000000100000" w:firstRow="0" w:lastRow="0" w:firstColumn="0" w:lastColumn="0" w:oddVBand="0" w:evenVBand="0" w:oddHBand="1" w:evenHBand="0" w:firstRowFirstColumn="0" w:firstRowLastColumn="0" w:lastRowFirstColumn="0" w:lastRowLastColumn="0"/>
              <w:rPr>
                <w:sz w:val="16"/>
                <w:szCs w:val="16"/>
                <w:lang w:val="en-US"/>
              </w:rPr>
            </w:pPr>
            <w:r w:rsidRPr="00B82224">
              <w:rPr>
                <w:sz w:val="16"/>
                <w:szCs w:val="16"/>
                <w:lang w:val="en-US"/>
              </w:rPr>
              <w:t>0.7223</w:t>
            </w:r>
          </w:p>
        </w:tc>
      </w:tr>
      <w:tr w:rsidR="005B52E1" w:rsidRPr="00B82224" w14:paraId="42944A0A" w14:textId="77777777" w:rsidTr="000B18A1">
        <w:tc>
          <w:tcPr>
            <w:cnfStyle w:val="001000000000" w:firstRow="0" w:lastRow="0" w:firstColumn="1" w:lastColumn="0" w:oddVBand="0" w:evenVBand="0" w:oddHBand="0" w:evenHBand="0" w:firstRowFirstColumn="0" w:firstRowLastColumn="0" w:lastRowFirstColumn="0" w:lastRowLastColumn="0"/>
            <w:tcW w:w="2454" w:type="dxa"/>
          </w:tcPr>
          <w:p w14:paraId="5191967E" w14:textId="6FD382D1" w:rsidR="0068455F" w:rsidRPr="00B82224" w:rsidRDefault="0068455F" w:rsidP="00BB5BA0">
            <w:pPr>
              <w:spacing w:before="120"/>
              <w:jc w:val="left"/>
              <w:rPr>
                <w:sz w:val="16"/>
                <w:szCs w:val="16"/>
                <w:lang w:val="en-US"/>
              </w:rPr>
            </w:pPr>
            <w:r w:rsidRPr="00B82224">
              <w:rPr>
                <w:sz w:val="16"/>
                <w:szCs w:val="16"/>
                <w:lang w:val="en-US"/>
              </w:rPr>
              <w:t>Static_Logit_Combined_22</w:t>
            </w:r>
          </w:p>
        </w:tc>
        <w:tc>
          <w:tcPr>
            <w:tcW w:w="5130" w:type="dxa"/>
          </w:tcPr>
          <w:tbl>
            <w:tblPr>
              <w:tblStyle w:val="Style3"/>
              <w:tblW w:w="5000" w:type="pct"/>
              <w:tblLook w:val="04A0" w:firstRow="1" w:lastRow="0" w:firstColumn="1" w:lastColumn="0" w:noHBand="0" w:noVBand="1"/>
            </w:tblPr>
            <w:tblGrid>
              <w:gridCol w:w="1213"/>
              <w:gridCol w:w="1236"/>
              <w:gridCol w:w="1230"/>
              <w:gridCol w:w="1235"/>
            </w:tblGrid>
            <w:tr w:rsidR="00B82224" w:rsidRPr="00B82224" w14:paraId="1B8A75C3" w14:textId="77777777" w:rsidTr="005C6990">
              <w:trPr>
                <w:trHeight w:val="283"/>
              </w:trPr>
              <w:tc>
                <w:tcPr>
                  <w:tcW w:w="1233" w:type="pct"/>
                </w:tcPr>
                <w:p w14:paraId="0408F0E6" w14:textId="7C150E29" w:rsidR="008A3028" w:rsidRPr="00B82224" w:rsidRDefault="008A3028" w:rsidP="008A3028">
                  <w:pPr>
                    <w:spacing w:before="120"/>
                    <w:jc w:val="left"/>
                    <w:rPr>
                      <w:sz w:val="16"/>
                      <w:szCs w:val="16"/>
                      <w:lang w:val="en-US"/>
                    </w:rPr>
                  </w:pPr>
                  <w:r w:rsidRPr="00B82224">
                    <w:rPr>
                      <w:sz w:val="16"/>
                      <w:szCs w:val="16"/>
                      <w:lang w:val="en-US"/>
                    </w:rPr>
                    <w:t>TPR=</w:t>
                  </w:r>
                  <w:r w:rsidR="00B918C2">
                    <w:rPr>
                      <w:sz w:val="16"/>
                      <w:szCs w:val="16"/>
                      <w:lang w:val="en-US"/>
                    </w:rPr>
                    <w:t>0.8605</w:t>
                  </w:r>
                </w:p>
              </w:tc>
              <w:tc>
                <w:tcPr>
                  <w:tcW w:w="1258" w:type="pct"/>
                </w:tcPr>
                <w:p w14:paraId="660E5050" w14:textId="5023ADCF" w:rsidR="008A3028" w:rsidRPr="00B82224" w:rsidRDefault="008A3028" w:rsidP="008A3028">
                  <w:pPr>
                    <w:spacing w:before="120"/>
                    <w:jc w:val="left"/>
                    <w:rPr>
                      <w:sz w:val="16"/>
                      <w:szCs w:val="16"/>
                      <w:lang w:val="en-US"/>
                    </w:rPr>
                  </w:pPr>
                  <w:r w:rsidRPr="00B82224">
                    <w:rPr>
                      <w:sz w:val="16"/>
                      <w:szCs w:val="16"/>
                      <w:lang w:val="en-US"/>
                    </w:rPr>
                    <w:t>TNR=</w:t>
                  </w:r>
                  <w:r w:rsidR="00B918C2">
                    <w:rPr>
                      <w:sz w:val="16"/>
                      <w:szCs w:val="16"/>
                      <w:lang w:val="en-US"/>
                    </w:rPr>
                    <w:t>0.7474</w:t>
                  </w:r>
                </w:p>
              </w:tc>
              <w:tc>
                <w:tcPr>
                  <w:tcW w:w="1252" w:type="pct"/>
                </w:tcPr>
                <w:p w14:paraId="4E2C0612" w14:textId="0EF88B28" w:rsidR="008A3028" w:rsidRPr="00B82224" w:rsidRDefault="008A3028" w:rsidP="008A3028">
                  <w:pPr>
                    <w:spacing w:before="120"/>
                    <w:jc w:val="left"/>
                    <w:rPr>
                      <w:sz w:val="16"/>
                      <w:szCs w:val="16"/>
                      <w:lang w:val="en-US"/>
                    </w:rPr>
                  </w:pPr>
                  <w:r w:rsidRPr="00B82224">
                    <w:rPr>
                      <w:sz w:val="16"/>
                      <w:szCs w:val="16"/>
                      <w:lang w:val="en-US"/>
                    </w:rPr>
                    <w:t>FPR=</w:t>
                  </w:r>
                  <w:r w:rsidR="00B918C2">
                    <w:rPr>
                      <w:sz w:val="16"/>
                      <w:szCs w:val="16"/>
                      <w:lang w:val="en-US"/>
                    </w:rPr>
                    <w:t>0.2525</w:t>
                  </w:r>
                </w:p>
              </w:tc>
              <w:tc>
                <w:tcPr>
                  <w:tcW w:w="1258" w:type="pct"/>
                </w:tcPr>
                <w:p w14:paraId="09F1C7CB" w14:textId="0063AEEA" w:rsidR="008A3028" w:rsidRPr="00B82224" w:rsidRDefault="008A3028" w:rsidP="008A3028">
                  <w:pPr>
                    <w:spacing w:before="120"/>
                    <w:jc w:val="left"/>
                    <w:rPr>
                      <w:sz w:val="16"/>
                      <w:szCs w:val="16"/>
                      <w:lang w:val="en-US"/>
                    </w:rPr>
                  </w:pPr>
                  <w:r w:rsidRPr="00B82224">
                    <w:rPr>
                      <w:sz w:val="16"/>
                      <w:szCs w:val="16"/>
                      <w:lang w:val="en-US"/>
                    </w:rPr>
                    <w:t>FNR=</w:t>
                  </w:r>
                  <w:r w:rsidR="00B918C2">
                    <w:rPr>
                      <w:sz w:val="16"/>
                      <w:szCs w:val="16"/>
                      <w:lang w:val="en-US"/>
                    </w:rPr>
                    <w:t>0.1395</w:t>
                  </w:r>
                </w:p>
              </w:tc>
            </w:tr>
            <w:tr w:rsidR="00B82224" w:rsidRPr="00B82224" w14:paraId="3BC4675E" w14:textId="77777777" w:rsidTr="005C6990">
              <w:trPr>
                <w:trHeight w:val="283"/>
              </w:trPr>
              <w:tc>
                <w:tcPr>
                  <w:tcW w:w="1233" w:type="pct"/>
                </w:tcPr>
                <w:p w14:paraId="29D48A77" w14:textId="750F7CB3" w:rsidR="008A3028" w:rsidRPr="00B82224" w:rsidRDefault="008A3028" w:rsidP="008A3028">
                  <w:pPr>
                    <w:spacing w:before="120"/>
                    <w:jc w:val="left"/>
                    <w:rPr>
                      <w:sz w:val="16"/>
                      <w:szCs w:val="16"/>
                      <w:lang w:val="en-US"/>
                    </w:rPr>
                  </w:pPr>
                  <w:r w:rsidRPr="00B82224">
                    <w:rPr>
                      <w:sz w:val="16"/>
                      <w:szCs w:val="16"/>
                      <w:lang w:val="en-US"/>
                    </w:rPr>
                    <w:t>PPV=</w:t>
                  </w:r>
                  <w:r w:rsidR="00B918C2">
                    <w:rPr>
                      <w:sz w:val="16"/>
                      <w:szCs w:val="16"/>
                      <w:lang w:val="en-US"/>
                    </w:rPr>
                    <w:t>0.2284</w:t>
                  </w:r>
                </w:p>
              </w:tc>
              <w:tc>
                <w:tcPr>
                  <w:tcW w:w="1258" w:type="pct"/>
                </w:tcPr>
                <w:p w14:paraId="59D0BBCA" w14:textId="582C8298" w:rsidR="008A3028" w:rsidRPr="00B82224" w:rsidRDefault="008A3028" w:rsidP="008A3028">
                  <w:pPr>
                    <w:spacing w:before="120"/>
                    <w:jc w:val="left"/>
                    <w:rPr>
                      <w:sz w:val="16"/>
                      <w:szCs w:val="16"/>
                      <w:lang w:val="en-US"/>
                    </w:rPr>
                  </w:pPr>
                  <w:r w:rsidRPr="00B82224">
                    <w:rPr>
                      <w:sz w:val="16"/>
                      <w:szCs w:val="16"/>
                      <w:lang w:val="en-US"/>
                    </w:rPr>
                    <w:t>FOR=</w:t>
                  </w:r>
                  <w:r w:rsidR="00B918C2">
                    <w:rPr>
                      <w:sz w:val="16"/>
                      <w:szCs w:val="16"/>
                      <w:lang w:val="en-US"/>
                    </w:rPr>
                    <w:t>0.0160</w:t>
                  </w:r>
                </w:p>
              </w:tc>
              <w:tc>
                <w:tcPr>
                  <w:tcW w:w="1252" w:type="pct"/>
                </w:tcPr>
                <w:p w14:paraId="37C115F1" w14:textId="7B6B50B3" w:rsidR="008A3028" w:rsidRPr="00B82224" w:rsidRDefault="008A3028" w:rsidP="008A3028">
                  <w:pPr>
                    <w:spacing w:before="120"/>
                    <w:jc w:val="left"/>
                    <w:rPr>
                      <w:sz w:val="16"/>
                      <w:szCs w:val="16"/>
                      <w:lang w:val="en-US"/>
                    </w:rPr>
                  </w:pPr>
                  <w:r w:rsidRPr="00B82224">
                    <w:rPr>
                      <w:sz w:val="16"/>
                      <w:szCs w:val="16"/>
                      <w:lang w:val="en-US"/>
                    </w:rPr>
                    <w:t>NSR=</w:t>
                  </w:r>
                  <w:r w:rsidR="00B918C2">
                    <w:rPr>
                      <w:sz w:val="16"/>
                      <w:szCs w:val="16"/>
                      <w:lang w:val="en-US"/>
                    </w:rPr>
                    <w:t>0.2935</w:t>
                  </w:r>
                </w:p>
              </w:tc>
              <w:tc>
                <w:tcPr>
                  <w:tcW w:w="1258" w:type="pct"/>
                </w:tcPr>
                <w:p w14:paraId="05738510" w14:textId="6C55018E" w:rsidR="008A3028" w:rsidRPr="00B82224" w:rsidRDefault="008A3028" w:rsidP="008A3028">
                  <w:pPr>
                    <w:spacing w:before="120"/>
                    <w:jc w:val="left"/>
                    <w:rPr>
                      <w:sz w:val="16"/>
                      <w:szCs w:val="16"/>
                      <w:lang w:val="en-US"/>
                    </w:rPr>
                  </w:pPr>
                  <w:r w:rsidRPr="00B82224">
                    <w:rPr>
                      <w:sz w:val="16"/>
                      <w:szCs w:val="16"/>
                      <w:lang w:val="en-US"/>
                    </w:rPr>
                    <w:t>ACC=</w:t>
                  </w:r>
                  <w:r w:rsidR="00B918C2">
                    <w:rPr>
                      <w:sz w:val="16"/>
                      <w:szCs w:val="16"/>
                      <w:lang w:val="en-US"/>
                    </w:rPr>
                    <w:t>0.7565</w:t>
                  </w:r>
                </w:p>
              </w:tc>
            </w:tr>
          </w:tbl>
          <w:p w14:paraId="19467C9E" w14:textId="77777777" w:rsidR="0068455F" w:rsidRPr="00B82224" w:rsidRDefault="0068455F" w:rsidP="00BB5BA0">
            <w:pPr>
              <w:spacing w:before="120"/>
              <w:jc w:val="left"/>
              <w:cnfStyle w:val="000000000000" w:firstRow="0" w:lastRow="0" w:firstColumn="0" w:lastColumn="0" w:oddVBand="0" w:evenVBand="0" w:oddHBand="0" w:evenHBand="0" w:firstRowFirstColumn="0" w:firstRowLastColumn="0" w:lastRowFirstColumn="0" w:lastRowLastColumn="0"/>
              <w:rPr>
                <w:sz w:val="16"/>
                <w:szCs w:val="16"/>
                <w:lang w:val="en-US"/>
              </w:rPr>
            </w:pPr>
          </w:p>
        </w:tc>
        <w:tc>
          <w:tcPr>
            <w:tcW w:w="0" w:type="auto"/>
          </w:tcPr>
          <w:p w14:paraId="40276681" w14:textId="3321C368" w:rsidR="0068455F" w:rsidRPr="00B82224" w:rsidRDefault="0068455F" w:rsidP="00BB5BA0">
            <w:pPr>
              <w:spacing w:before="120"/>
              <w:jc w:val="left"/>
              <w:cnfStyle w:val="000000000000" w:firstRow="0" w:lastRow="0" w:firstColumn="0" w:lastColumn="0" w:oddVBand="0" w:evenVBand="0" w:oddHBand="0" w:evenHBand="0" w:firstRowFirstColumn="0" w:firstRowLastColumn="0" w:lastRowFirstColumn="0" w:lastRowLastColumn="0"/>
              <w:rPr>
                <w:sz w:val="16"/>
                <w:szCs w:val="16"/>
                <w:lang w:val="en-US"/>
              </w:rPr>
            </w:pPr>
            <w:r w:rsidRPr="00B82224">
              <w:rPr>
                <w:sz w:val="16"/>
                <w:szCs w:val="16"/>
                <w:lang w:val="en-US"/>
              </w:rPr>
              <w:t>0.6779</w:t>
            </w:r>
          </w:p>
        </w:tc>
      </w:tr>
      <w:tr w:rsidR="005B52E1" w:rsidRPr="00B82224" w14:paraId="2B90D152" w14:textId="77777777" w:rsidTr="000B18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4" w:type="dxa"/>
          </w:tcPr>
          <w:p w14:paraId="4DE9400B" w14:textId="473CE235" w:rsidR="0068455F" w:rsidRPr="00B82224" w:rsidRDefault="0068455F" w:rsidP="00BB5BA0">
            <w:pPr>
              <w:spacing w:before="120"/>
              <w:jc w:val="left"/>
              <w:rPr>
                <w:sz w:val="16"/>
                <w:szCs w:val="16"/>
                <w:lang w:val="en-US"/>
              </w:rPr>
            </w:pPr>
            <w:r w:rsidRPr="00B82224">
              <w:rPr>
                <w:sz w:val="16"/>
                <w:szCs w:val="16"/>
                <w:lang w:val="en-US"/>
              </w:rPr>
              <w:t>LSTM_Sentiment_22</w:t>
            </w:r>
          </w:p>
        </w:tc>
        <w:tc>
          <w:tcPr>
            <w:tcW w:w="5130" w:type="dxa"/>
          </w:tcPr>
          <w:tbl>
            <w:tblPr>
              <w:tblStyle w:val="Style3"/>
              <w:tblW w:w="5000" w:type="pct"/>
              <w:tblLook w:val="04A0" w:firstRow="1" w:lastRow="0" w:firstColumn="1" w:lastColumn="0" w:noHBand="0" w:noVBand="1"/>
            </w:tblPr>
            <w:tblGrid>
              <w:gridCol w:w="1213"/>
              <w:gridCol w:w="1236"/>
              <w:gridCol w:w="1230"/>
              <w:gridCol w:w="1235"/>
            </w:tblGrid>
            <w:tr w:rsidR="00B82224" w:rsidRPr="00B82224" w14:paraId="51498545" w14:textId="77777777" w:rsidTr="005C6990">
              <w:trPr>
                <w:trHeight w:val="283"/>
              </w:trPr>
              <w:tc>
                <w:tcPr>
                  <w:tcW w:w="1233" w:type="pct"/>
                </w:tcPr>
                <w:p w14:paraId="125F8315" w14:textId="606E3343" w:rsidR="008A3028" w:rsidRPr="00B82224" w:rsidRDefault="008A3028" w:rsidP="008A3028">
                  <w:pPr>
                    <w:spacing w:before="120"/>
                    <w:jc w:val="left"/>
                    <w:rPr>
                      <w:sz w:val="16"/>
                      <w:szCs w:val="16"/>
                      <w:lang w:val="en-US"/>
                    </w:rPr>
                  </w:pPr>
                  <w:r w:rsidRPr="00B82224">
                    <w:rPr>
                      <w:sz w:val="16"/>
                      <w:szCs w:val="16"/>
                      <w:lang w:val="en-US"/>
                    </w:rPr>
                    <w:t>TPR=</w:t>
                  </w:r>
                  <w:r w:rsidR="00B918C2">
                    <w:rPr>
                      <w:sz w:val="16"/>
                      <w:szCs w:val="16"/>
                      <w:lang w:val="en-US"/>
                    </w:rPr>
                    <w:t>0.6667</w:t>
                  </w:r>
                </w:p>
              </w:tc>
              <w:tc>
                <w:tcPr>
                  <w:tcW w:w="1258" w:type="pct"/>
                </w:tcPr>
                <w:p w14:paraId="75346AA2" w14:textId="77777777" w:rsidR="008A3028" w:rsidRPr="00B82224" w:rsidRDefault="008A3028" w:rsidP="008A3028">
                  <w:pPr>
                    <w:spacing w:before="120"/>
                    <w:jc w:val="left"/>
                    <w:rPr>
                      <w:sz w:val="16"/>
                      <w:szCs w:val="16"/>
                      <w:lang w:val="en-US"/>
                    </w:rPr>
                  </w:pPr>
                  <w:r w:rsidRPr="00B82224">
                    <w:rPr>
                      <w:sz w:val="16"/>
                      <w:szCs w:val="16"/>
                      <w:lang w:val="en-US"/>
                    </w:rPr>
                    <w:t>TNR=</w:t>
                  </w:r>
                </w:p>
              </w:tc>
              <w:tc>
                <w:tcPr>
                  <w:tcW w:w="1252" w:type="pct"/>
                </w:tcPr>
                <w:p w14:paraId="76EBB6EB" w14:textId="77777777" w:rsidR="008A3028" w:rsidRPr="00B82224" w:rsidRDefault="008A3028" w:rsidP="008A3028">
                  <w:pPr>
                    <w:spacing w:before="120"/>
                    <w:jc w:val="left"/>
                    <w:rPr>
                      <w:sz w:val="16"/>
                      <w:szCs w:val="16"/>
                      <w:lang w:val="en-US"/>
                    </w:rPr>
                  </w:pPr>
                  <w:r w:rsidRPr="00B82224">
                    <w:rPr>
                      <w:sz w:val="16"/>
                      <w:szCs w:val="16"/>
                      <w:lang w:val="en-US"/>
                    </w:rPr>
                    <w:t>FPR=</w:t>
                  </w:r>
                </w:p>
              </w:tc>
              <w:tc>
                <w:tcPr>
                  <w:tcW w:w="1258" w:type="pct"/>
                </w:tcPr>
                <w:p w14:paraId="4BD54F21" w14:textId="77777777" w:rsidR="008A3028" w:rsidRPr="00B82224" w:rsidRDefault="008A3028" w:rsidP="008A3028">
                  <w:pPr>
                    <w:spacing w:before="120"/>
                    <w:jc w:val="left"/>
                    <w:rPr>
                      <w:sz w:val="16"/>
                      <w:szCs w:val="16"/>
                      <w:lang w:val="en-US"/>
                    </w:rPr>
                  </w:pPr>
                  <w:r w:rsidRPr="00B82224">
                    <w:rPr>
                      <w:sz w:val="16"/>
                      <w:szCs w:val="16"/>
                      <w:lang w:val="en-US"/>
                    </w:rPr>
                    <w:t>FNR=</w:t>
                  </w:r>
                </w:p>
              </w:tc>
            </w:tr>
            <w:tr w:rsidR="00B82224" w:rsidRPr="00B82224" w14:paraId="71FC894C" w14:textId="77777777" w:rsidTr="005C6990">
              <w:trPr>
                <w:trHeight w:val="283"/>
              </w:trPr>
              <w:tc>
                <w:tcPr>
                  <w:tcW w:w="1233" w:type="pct"/>
                </w:tcPr>
                <w:p w14:paraId="0C8A9192" w14:textId="77777777" w:rsidR="008A3028" w:rsidRPr="00B82224" w:rsidRDefault="008A3028" w:rsidP="008A3028">
                  <w:pPr>
                    <w:spacing w:before="120"/>
                    <w:jc w:val="left"/>
                    <w:rPr>
                      <w:sz w:val="16"/>
                      <w:szCs w:val="16"/>
                      <w:lang w:val="en-US"/>
                    </w:rPr>
                  </w:pPr>
                  <w:r w:rsidRPr="00B82224">
                    <w:rPr>
                      <w:sz w:val="16"/>
                      <w:szCs w:val="16"/>
                      <w:lang w:val="en-US"/>
                    </w:rPr>
                    <w:t>PPV=</w:t>
                  </w:r>
                </w:p>
              </w:tc>
              <w:tc>
                <w:tcPr>
                  <w:tcW w:w="1258" w:type="pct"/>
                </w:tcPr>
                <w:p w14:paraId="3AFF37ED" w14:textId="77777777" w:rsidR="008A3028" w:rsidRPr="00B82224" w:rsidRDefault="008A3028" w:rsidP="008A3028">
                  <w:pPr>
                    <w:spacing w:before="120"/>
                    <w:jc w:val="left"/>
                    <w:rPr>
                      <w:sz w:val="16"/>
                      <w:szCs w:val="16"/>
                      <w:lang w:val="en-US"/>
                    </w:rPr>
                  </w:pPr>
                  <w:r w:rsidRPr="00B82224">
                    <w:rPr>
                      <w:sz w:val="16"/>
                      <w:szCs w:val="16"/>
                      <w:lang w:val="en-US"/>
                    </w:rPr>
                    <w:t>FOR=</w:t>
                  </w:r>
                </w:p>
              </w:tc>
              <w:tc>
                <w:tcPr>
                  <w:tcW w:w="1252" w:type="pct"/>
                </w:tcPr>
                <w:p w14:paraId="6C11472D" w14:textId="77777777" w:rsidR="008A3028" w:rsidRPr="00B82224" w:rsidRDefault="008A3028" w:rsidP="008A3028">
                  <w:pPr>
                    <w:spacing w:before="120"/>
                    <w:jc w:val="left"/>
                    <w:rPr>
                      <w:sz w:val="16"/>
                      <w:szCs w:val="16"/>
                      <w:lang w:val="en-US"/>
                    </w:rPr>
                  </w:pPr>
                  <w:r w:rsidRPr="00B82224">
                    <w:rPr>
                      <w:sz w:val="16"/>
                      <w:szCs w:val="16"/>
                      <w:lang w:val="en-US"/>
                    </w:rPr>
                    <w:t>NSR=</w:t>
                  </w:r>
                </w:p>
              </w:tc>
              <w:tc>
                <w:tcPr>
                  <w:tcW w:w="1258" w:type="pct"/>
                </w:tcPr>
                <w:p w14:paraId="6DE47F82" w14:textId="77777777" w:rsidR="008A3028" w:rsidRPr="00B82224" w:rsidRDefault="008A3028" w:rsidP="008A3028">
                  <w:pPr>
                    <w:spacing w:before="120"/>
                    <w:jc w:val="left"/>
                    <w:rPr>
                      <w:sz w:val="16"/>
                      <w:szCs w:val="16"/>
                      <w:lang w:val="en-US"/>
                    </w:rPr>
                  </w:pPr>
                  <w:r w:rsidRPr="00B82224">
                    <w:rPr>
                      <w:sz w:val="16"/>
                      <w:szCs w:val="16"/>
                      <w:lang w:val="en-US"/>
                    </w:rPr>
                    <w:t>ACC=</w:t>
                  </w:r>
                </w:p>
              </w:tc>
            </w:tr>
          </w:tbl>
          <w:p w14:paraId="0C1C0956" w14:textId="77777777" w:rsidR="0068455F" w:rsidRPr="00B82224" w:rsidRDefault="0068455F" w:rsidP="00BB5BA0">
            <w:pPr>
              <w:spacing w:before="120"/>
              <w:jc w:val="left"/>
              <w:cnfStyle w:val="000000100000" w:firstRow="0" w:lastRow="0" w:firstColumn="0" w:lastColumn="0" w:oddVBand="0" w:evenVBand="0" w:oddHBand="1" w:evenHBand="0" w:firstRowFirstColumn="0" w:firstRowLastColumn="0" w:lastRowFirstColumn="0" w:lastRowLastColumn="0"/>
              <w:rPr>
                <w:sz w:val="16"/>
                <w:szCs w:val="16"/>
                <w:lang w:val="en-US"/>
              </w:rPr>
            </w:pPr>
          </w:p>
        </w:tc>
        <w:tc>
          <w:tcPr>
            <w:tcW w:w="0" w:type="auto"/>
          </w:tcPr>
          <w:p w14:paraId="2A9EDCFE" w14:textId="49700D2B" w:rsidR="0068455F" w:rsidRPr="00B82224" w:rsidRDefault="001E259E" w:rsidP="00BB5BA0">
            <w:pPr>
              <w:spacing w:before="120"/>
              <w:jc w:val="left"/>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0.5482</w:t>
            </w:r>
          </w:p>
        </w:tc>
      </w:tr>
      <w:tr w:rsidR="005B52E1" w:rsidRPr="00B82224" w14:paraId="473764FD" w14:textId="77777777" w:rsidTr="000B18A1">
        <w:tc>
          <w:tcPr>
            <w:cnfStyle w:val="001000000000" w:firstRow="0" w:lastRow="0" w:firstColumn="1" w:lastColumn="0" w:oddVBand="0" w:evenVBand="0" w:oddHBand="0" w:evenHBand="0" w:firstRowFirstColumn="0" w:firstRowLastColumn="0" w:lastRowFirstColumn="0" w:lastRowLastColumn="0"/>
            <w:tcW w:w="2454" w:type="dxa"/>
          </w:tcPr>
          <w:p w14:paraId="151A4D14" w14:textId="65C487AA" w:rsidR="0068455F" w:rsidRPr="00B82224" w:rsidRDefault="0068455F" w:rsidP="00BB5BA0">
            <w:pPr>
              <w:spacing w:before="120"/>
              <w:jc w:val="left"/>
              <w:rPr>
                <w:sz w:val="16"/>
                <w:szCs w:val="16"/>
                <w:lang w:val="en-US"/>
              </w:rPr>
            </w:pPr>
            <w:r w:rsidRPr="00B82224">
              <w:rPr>
                <w:sz w:val="16"/>
                <w:szCs w:val="16"/>
                <w:lang w:val="en-US"/>
              </w:rPr>
              <w:t>Dynamic Logit</w:t>
            </w:r>
            <w:r w:rsidRPr="00B82224">
              <w:rPr>
                <w:sz w:val="16"/>
                <w:szCs w:val="16"/>
                <w:lang w:val="en-US"/>
              </w:rPr>
              <w:t>_Combined_22</w:t>
            </w:r>
          </w:p>
        </w:tc>
        <w:tc>
          <w:tcPr>
            <w:tcW w:w="5130" w:type="dxa"/>
          </w:tcPr>
          <w:tbl>
            <w:tblPr>
              <w:tblStyle w:val="Style3"/>
              <w:tblW w:w="5000" w:type="pct"/>
              <w:tblLook w:val="04A0" w:firstRow="1" w:lastRow="0" w:firstColumn="1" w:lastColumn="0" w:noHBand="0" w:noVBand="1"/>
            </w:tblPr>
            <w:tblGrid>
              <w:gridCol w:w="1213"/>
              <w:gridCol w:w="1236"/>
              <w:gridCol w:w="1230"/>
              <w:gridCol w:w="1235"/>
            </w:tblGrid>
            <w:tr w:rsidR="00B82224" w:rsidRPr="00B82224" w14:paraId="442A7508" w14:textId="77777777" w:rsidTr="005C6990">
              <w:trPr>
                <w:trHeight w:val="283"/>
              </w:trPr>
              <w:tc>
                <w:tcPr>
                  <w:tcW w:w="1233" w:type="pct"/>
                </w:tcPr>
                <w:p w14:paraId="22BB40BF" w14:textId="1E90F332" w:rsidR="008A3028" w:rsidRPr="00B82224" w:rsidRDefault="008A3028" w:rsidP="008A3028">
                  <w:pPr>
                    <w:spacing w:before="120"/>
                    <w:jc w:val="left"/>
                    <w:rPr>
                      <w:sz w:val="16"/>
                      <w:szCs w:val="16"/>
                      <w:lang w:val="en-US"/>
                    </w:rPr>
                  </w:pPr>
                  <w:r w:rsidRPr="00B82224">
                    <w:rPr>
                      <w:sz w:val="16"/>
                      <w:szCs w:val="16"/>
                      <w:lang w:val="en-US"/>
                    </w:rPr>
                    <w:t>TPR=</w:t>
                  </w:r>
                  <w:r w:rsidR="00B918C2">
                    <w:rPr>
                      <w:sz w:val="16"/>
                      <w:szCs w:val="16"/>
                      <w:lang w:val="en-US"/>
                    </w:rPr>
                    <w:t>0.6047</w:t>
                  </w:r>
                </w:p>
              </w:tc>
              <w:tc>
                <w:tcPr>
                  <w:tcW w:w="1258" w:type="pct"/>
                </w:tcPr>
                <w:p w14:paraId="04AFABAB" w14:textId="77777777" w:rsidR="008A3028" w:rsidRPr="00B82224" w:rsidRDefault="008A3028" w:rsidP="008A3028">
                  <w:pPr>
                    <w:spacing w:before="120"/>
                    <w:jc w:val="left"/>
                    <w:rPr>
                      <w:sz w:val="16"/>
                      <w:szCs w:val="16"/>
                      <w:lang w:val="en-US"/>
                    </w:rPr>
                  </w:pPr>
                  <w:r w:rsidRPr="00B82224">
                    <w:rPr>
                      <w:sz w:val="16"/>
                      <w:szCs w:val="16"/>
                      <w:lang w:val="en-US"/>
                    </w:rPr>
                    <w:t>TNR=</w:t>
                  </w:r>
                </w:p>
              </w:tc>
              <w:tc>
                <w:tcPr>
                  <w:tcW w:w="1252" w:type="pct"/>
                </w:tcPr>
                <w:p w14:paraId="62596F26" w14:textId="77777777" w:rsidR="008A3028" w:rsidRPr="00B82224" w:rsidRDefault="008A3028" w:rsidP="008A3028">
                  <w:pPr>
                    <w:spacing w:before="120"/>
                    <w:jc w:val="left"/>
                    <w:rPr>
                      <w:sz w:val="16"/>
                      <w:szCs w:val="16"/>
                      <w:lang w:val="en-US"/>
                    </w:rPr>
                  </w:pPr>
                  <w:r w:rsidRPr="00B82224">
                    <w:rPr>
                      <w:sz w:val="16"/>
                      <w:szCs w:val="16"/>
                      <w:lang w:val="en-US"/>
                    </w:rPr>
                    <w:t>FPR=</w:t>
                  </w:r>
                </w:p>
              </w:tc>
              <w:tc>
                <w:tcPr>
                  <w:tcW w:w="1258" w:type="pct"/>
                </w:tcPr>
                <w:p w14:paraId="1C09EF35" w14:textId="77777777" w:rsidR="008A3028" w:rsidRPr="00B82224" w:rsidRDefault="008A3028" w:rsidP="008A3028">
                  <w:pPr>
                    <w:spacing w:before="120"/>
                    <w:jc w:val="left"/>
                    <w:rPr>
                      <w:sz w:val="16"/>
                      <w:szCs w:val="16"/>
                      <w:lang w:val="en-US"/>
                    </w:rPr>
                  </w:pPr>
                  <w:r w:rsidRPr="00B82224">
                    <w:rPr>
                      <w:sz w:val="16"/>
                      <w:szCs w:val="16"/>
                      <w:lang w:val="en-US"/>
                    </w:rPr>
                    <w:t>FNR=</w:t>
                  </w:r>
                </w:p>
              </w:tc>
            </w:tr>
            <w:tr w:rsidR="00B82224" w:rsidRPr="00B82224" w14:paraId="5652B87E" w14:textId="77777777" w:rsidTr="005C6990">
              <w:trPr>
                <w:trHeight w:val="283"/>
              </w:trPr>
              <w:tc>
                <w:tcPr>
                  <w:tcW w:w="1233" w:type="pct"/>
                </w:tcPr>
                <w:p w14:paraId="2BD89743" w14:textId="77777777" w:rsidR="008A3028" w:rsidRPr="00B82224" w:rsidRDefault="008A3028" w:rsidP="008A3028">
                  <w:pPr>
                    <w:spacing w:before="120"/>
                    <w:jc w:val="left"/>
                    <w:rPr>
                      <w:sz w:val="16"/>
                      <w:szCs w:val="16"/>
                      <w:lang w:val="en-US"/>
                    </w:rPr>
                  </w:pPr>
                  <w:r w:rsidRPr="00B82224">
                    <w:rPr>
                      <w:sz w:val="16"/>
                      <w:szCs w:val="16"/>
                      <w:lang w:val="en-US"/>
                    </w:rPr>
                    <w:t>PPV=</w:t>
                  </w:r>
                </w:p>
              </w:tc>
              <w:tc>
                <w:tcPr>
                  <w:tcW w:w="1258" w:type="pct"/>
                </w:tcPr>
                <w:p w14:paraId="2F2FB9A3" w14:textId="77777777" w:rsidR="008A3028" w:rsidRPr="00B82224" w:rsidRDefault="008A3028" w:rsidP="008A3028">
                  <w:pPr>
                    <w:spacing w:before="120"/>
                    <w:jc w:val="left"/>
                    <w:rPr>
                      <w:sz w:val="16"/>
                      <w:szCs w:val="16"/>
                      <w:lang w:val="en-US"/>
                    </w:rPr>
                  </w:pPr>
                  <w:r w:rsidRPr="00B82224">
                    <w:rPr>
                      <w:sz w:val="16"/>
                      <w:szCs w:val="16"/>
                      <w:lang w:val="en-US"/>
                    </w:rPr>
                    <w:t>FOR=</w:t>
                  </w:r>
                </w:p>
              </w:tc>
              <w:tc>
                <w:tcPr>
                  <w:tcW w:w="1252" w:type="pct"/>
                </w:tcPr>
                <w:p w14:paraId="54F162F4" w14:textId="77777777" w:rsidR="008A3028" w:rsidRPr="00B82224" w:rsidRDefault="008A3028" w:rsidP="008A3028">
                  <w:pPr>
                    <w:spacing w:before="120"/>
                    <w:jc w:val="left"/>
                    <w:rPr>
                      <w:sz w:val="16"/>
                      <w:szCs w:val="16"/>
                      <w:lang w:val="en-US"/>
                    </w:rPr>
                  </w:pPr>
                  <w:r w:rsidRPr="00B82224">
                    <w:rPr>
                      <w:sz w:val="16"/>
                      <w:szCs w:val="16"/>
                      <w:lang w:val="en-US"/>
                    </w:rPr>
                    <w:t>NSR=</w:t>
                  </w:r>
                </w:p>
              </w:tc>
              <w:tc>
                <w:tcPr>
                  <w:tcW w:w="1258" w:type="pct"/>
                </w:tcPr>
                <w:p w14:paraId="4B6E0215" w14:textId="77777777" w:rsidR="008A3028" w:rsidRPr="00B82224" w:rsidRDefault="008A3028" w:rsidP="008A3028">
                  <w:pPr>
                    <w:spacing w:before="120"/>
                    <w:jc w:val="left"/>
                    <w:rPr>
                      <w:sz w:val="16"/>
                      <w:szCs w:val="16"/>
                      <w:lang w:val="en-US"/>
                    </w:rPr>
                  </w:pPr>
                  <w:r w:rsidRPr="00B82224">
                    <w:rPr>
                      <w:sz w:val="16"/>
                      <w:szCs w:val="16"/>
                      <w:lang w:val="en-US"/>
                    </w:rPr>
                    <w:t>ACC=</w:t>
                  </w:r>
                </w:p>
              </w:tc>
            </w:tr>
          </w:tbl>
          <w:p w14:paraId="10BA1044" w14:textId="77777777" w:rsidR="0068455F" w:rsidRPr="00B82224" w:rsidRDefault="0068455F" w:rsidP="00BB5BA0">
            <w:pPr>
              <w:spacing w:before="120"/>
              <w:jc w:val="left"/>
              <w:cnfStyle w:val="000000000000" w:firstRow="0" w:lastRow="0" w:firstColumn="0" w:lastColumn="0" w:oddVBand="0" w:evenVBand="0" w:oddHBand="0" w:evenHBand="0" w:firstRowFirstColumn="0" w:firstRowLastColumn="0" w:lastRowFirstColumn="0" w:lastRowLastColumn="0"/>
              <w:rPr>
                <w:sz w:val="16"/>
                <w:szCs w:val="16"/>
                <w:lang w:val="en-US"/>
              </w:rPr>
            </w:pPr>
          </w:p>
        </w:tc>
        <w:tc>
          <w:tcPr>
            <w:tcW w:w="0" w:type="auto"/>
          </w:tcPr>
          <w:p w14:paraId="4D0EAE09" w14:textId="0F56A9D9" w:rsidR="0068455F" w:rsidRPr="00B82224" w:rsidRDefault="001E259E" w:rsidP="00BB5BA0">
            <w:pPr>
              <w:spacing w:before="120"/>
              <w:jc w:val="left"/>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0.5361</w:t>
            </w:r>
          </w:p>
        </w:tc>
      </w:tr>
      <w:tr w:rsidR="005B52E1" w:rsidRPr="00B82224" w14:paraId="0D17A1D0" w14:textId="77777777" w:rsidTr="003A53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4" w:type="dxa"/>
            <w:tcBorders>
              <w:bottom w:val="single" w:sz="12" w:space="0" w:color="000000"/>
            </w:tcBorders>
          </w:tcPr>
          <w:p w14:paraId="37D99A36" w14:textId="04500A72" w:rsidR="0068455F" w:rsidRPr="00B82224" w:rsidRDefault="0068455F" w:rsidP="00BB5BA0">
            <w:pPr>
              <w:spacing w:before="120"/>
              <w:jc w:val="left"/>
              <w:rPr>
                <w:sz w:val="16"/>
                <w:szCs w:val="16"/>
                <w:lang w:val="en-US"/>
              </w:rPr>
            </w:pPr>
            <w:r w:rsidRPr="00B82224">
              <w:rPr>
                <w:sz w:val="16"/>
                <w:szCs w:val="16"/>
                <w:lang w:val="en-US"/>
              </w:rPr>
              <w:t>LSTM_Market_22</w:t>
            </w:r>
          </w:p>
        </w:tc>
        <w:tc>
          <w:tcPr>
            <w:tcW w:w="5130" w:type="dxa"/>
            <w:tcBorders>
              <w:bottom w:val="single" w:sz="12" w:space="0" w:color="000000"/>
            </w:tcBorders>
          </w:tcPr>
          <w:tbl>
            <w:tblPr>
              <w:tblStyle w:val="Style3"/>
              <w:tblW w:w="5000" w:type="pct"/>
              <w:tblLook w:val="04A0" w:firstRow="1" w:lastRow="0" w:firstColumn="1" w:lastColumn="0" w:noHBand="0" w:noVBand="1"/>
            </w:tblPr>
            <w:tblGrid>
              <w:gridCol w:w="1213"/>
              <w:gridCol w:w="1236"/>
              <w:gridCol w:w="1230"/>
              <w:gridCol w:w="1235"/>
            </w:tblGrid>
            <w:tr w:rsidR="00B82224" w:rsidRPr="00B82224" w14:paraId="6FC3AC97" w14:textId="77777777" w:rsidTr="005C6990">
              <w:trPr>
                <w:trHeight w:val="283"/>
              </w:trPr>
              <w:tc>
                <w:tcPr>
                  <w:tcW w:w="1233" w:type="pct"/>
                </w:tcPr>
                <w:p w14:paraId="75F52907" w14:textId="77777777" w:rsidR="008A3028" w:rsidRPr="00B82224" w:rsidRDefault="008A3028" w:rsidP="008A3028">
                  <w:pPr>
                    <w:spacing w:before="120"/>
                    <w:jc w:val="left"/>
                    <w:rPr>
                      <w:sz w:val="16"/>
                      <w:szCs w:val="16"/>
                      <w:lang w:val="en-US"/>
                    </w:rPr>
                  </w:pPr>
                  <w:r w:rsidRPr="00B82224">
                    <w:rPr>
                      <w:sz w:val="16"/>
                      <w:szCs w:val="16"/>
                      <w:lang w:val="en-US"/>
                    </w:rPr>
                    <w:t>TPR=</w:t>
                  </w:r>
                </w:p>
              </w:tc>
              <w:tc>
                <w:tcPr>
                  <w:tcW w:w="1258" w:type="pct"/>
                </w:tcPr>
                <w:p w14:paraId="5933D8CB" w14:textId="77777777" w:rsidR="008A3028" w:rsidRPr="00B82224" w:rsidRDefault="008A3028" w:rsidP="008A3028">
                  <w:pPr>
                    <w:spacing w:before="120"/>
                    <w:jc w:val="left"/>
                    <w:rPr>
                      <w:sz w:val="16"/>
                      <w:szCs w:val="16"/>
                      <w:lang w:val="en-US"/>
                    </w:rPr>
                  </w:pPr>
                  <w:r w:rsidRPr="00B82224">
                    <w:rPr>
                      <w:sz w:val="16"/>
                      <w:szCs w:val="16"/>
                      <w:lang w:val="en-US"/>
                    </w:rPr>
                    <w:t>TNR=</w:t>
                  </w:r>
                </w:p>
              </w:tc>
              <w:tc>
                <w:tcPr>
                  <w:tcW w:w="1252" w:type="pct"/>
                </w:tcPr>
                <w:p w14:paraId="3510C946" w14:textId="77777777" w:rsidR="008A3028" w:rsidRPr="00B82224" w:rsidRDefault="008A3028" w:rsidP="008A3028">
                  <w:pPr>
                    <w:spacing w:before="120"/>
                    <w:jc w:val="left"/>
                    <w:rPr>
                      <w:sz w:val="16"/>
                      <w:szCs w:val="16"/>
                      <w:lang w:val="en-US"/>
                    </w:rPr>
                  </w:pPr>
                  <w:r w:rsidRPr="00B82224">
                    <w:rPr>
                      <w:sz w:val="16"/>
                      <w:szCs w:val="16"/>
                      <w:lang w:val="en-US"/>
                    </w:rPr>
                    <w:t>FPR=</w:t>
                  </w:r>
                </w:p>
              </w:tc>
              <w:tc>
                <w:tcPr>
                  <w:tcW w:w="1258" w:type="pct"/>
                </w:tcPr>
                <w:p w14:paraId="600660FD" w14:textId="77777777" w:rsidR="008A3028" w:rsidRPr="00B82224" w:rsidRDefault="008A3028" w:rsidP="008A3028">
                  <w:pPr>
                    <w:spacing w:before="120"/>
                    <w:jc w:val="left"/>
                    <w:rPr>
                      <w:sz w:val="16"/>
                      <w:szCs w:val="16"/>
                      <w:lang w:val="en-US"/>
                    </w:rPr>
                  </w:pPr>
                  <w:r w:rsidRPr="00B82224">
                    <w:rPr>
                      <w:sz w:val="16"/>
                      <w:szCs w:val="16"/>
                      <w:lang w:val="en-US"/>
                    </w:rPr>
                    <w:t>FNR=</w:t>
                  </w:r>
                </w:p>
              </w:tc>
            </w:tr>
            <w:tr w:rsidR="00B82224" w:rsidRPr="00B82224" w14:paraId="6D5E64B6" w14:textId="77777777" w:rsidTr="005C6990">
              <w:trPr>
                <w:trHeight w:val="283"/>
              </w:trPr>
              <w:tc>
                <w:tcPr>
                  <w:tcW w:w="1233" w:type="pct"/>
                </w:tcPr>
                <w:p w14:paraId="40C0FF29" w14:textId="77777777" w:rsidR="008A3028" w:rsidRPr="00B82224" w:rsidRDefault="008A3028" w:rsidP="008A3028">
                  <w:pPr>
                    <w:spacing w:before="120"/>
                    <w:jc w:val="left"/>
                    <w:rPr>
                      <w:sz w:val="16"/>
                      <w:szCs w:val="16"/>
                      <w:lang w:val="en-US"/>
                    </w:rPr>
                  </w:pPr>
                  <w:r w:rsidRPr="00B82224">
                    <w:rPr>
                      <w:sz w:val="16"/>
                      <w:szCs w:val="16"/>
                      <w:lang w:val="en-US"/>
                    </w:rPr>
                    <w:t>PPV=</w:t>
                  </w:r>
                </w:p>
              </w:tc>
              <w:tc>
                <w:tcPr>
                  <w:tcW w:w="1258" w:type="pct"/>
                </w:tcPr>
                <w:p w14:paraId="4709ADB9" w14:textId="77777777" w:rsidR="008A3028" w:rsidRPr="00B82224" w:rsidRDefault="008A3028" w:rsidP="008A3028">
                  <w:pPr>
                    <w:spacing w:before="120"/>
                    <w:jc w:val="left"/>
                    <w:rPr>
                      <w:sz w:val="16"/>
                      <w:szCs w:val="16"/>
                      <w:lang w:val="en-US"/>
                    </w:rPr>
                  </w:pPr>
                  <w:r w:rsidRPr="00B82224">
                    <w:rPr>
                      <w:sz w:val="16"/>
                      <w:szCs w:val="16"/>
                      <w:lang w:val="en-US"/>
                    </w:rPr>
                    <w:t>FOR=</w:t>
                  </w:r>
                </w:p>
              </w:tc>
              <w:tc>
                <w:tcPr>
                  <w:tcW w:w="1252" w:type="pct"/>
                </w:tcPr>
                <w:p w14:paraId="595A6646" w14:textId="77777777" w:rsidR="008A3028" w:rsidRPr="00B82224" w:rsidRDefault="008A3028" w:rsidP="008A3028">
                  <w:pPr>
                    <w:spacing w:before="120"/>
                    <w:jc w:val="left"/>
                    <w:rPr>
                      <w:sz w:val="16"/>
                      <w:szCs w:val="16"/>
                      <w:lang w:val="en-US"/>
                    </w:rPr>
                  </w:pPr>
                  <w:r w:rsidRPr="00B82224">
                    <w:rPr>
                      <w:sz w:val="16"/>
                      <w:szCs w:val="16"/>
                      <w:lang w:val="en-US"/>
                    </w:rPr>
                    <w:t>NSR=</w:t>
                  </w:r>
                </w:p>
              </w:tc>
              <w:tc>
                <w:tcPr>
                  <w:tcW w:w="1258" w:type="pct"/>
                </w:tcPr>
                <w:p w14:paraId="7C1283FC" w14:textId="77777777" w:rsidR="008A3028" w:rsidRPr="00B82224" w:rsidRDefault="008A3028" w:rsidP="008A3028">
                  <w:pPr>
                    <w:spacing w:before="120"/>
                    <w:jc w:val="left"/>
                    <w:rPr>
                      <w:sz w:val="16"/>
                      <w:szCs w:val="16"/>
                      <w:lang w:val="en-US"/>
                    </w:rPr>
                  </w:pPr>
                  <w:r w:rsidRPr="00B82224">
                    <w:rPr>
                      <w:sz w:val="16"/>
                      <w:szCs w:val="16"/>
                      <w:lang w:val="en-US"/>
                    </w:rPr>
                    <w:t>ACC=</w:t>
                  </w:r>
                </w:p>
              </w:tc>
            </w:tr>
          </w:tbl>
          <w:p w14:paraId="2A1BEC58" w14:textId="77777777" w:rsidR="0068455F" w:rsidRPr="00B82224" w:rsidRDefault="0068455F" w:rsidP="00BB5BA0">
            <w:pPr>
              <w:spacing w:before="120"/>
              <w:jc w:val="left"/>
              <w:cnfStyle w:val="000000100000" w:firstRow="0" w:lastRow="0" w:firstColumn="0" w:lastColumn="0" w:oddVBand="0" w:evenVBand="0" w:oddHBand="1" w:evenHBand="0" w:firstRowFirstColumn="0" w:firstRowLastColumn="0" w:lastRowFirstColumn="0" w:lastRowLastColumn="0"/>
              <w:rPr>
                <w:sz w:val="16"/>
                <w:szCs w:val="16"/>
                <w:lang w:val="en-US"/>
              </w:rPr>
            </w:pPr>
          </w:p>
        </w:tc>
        <w:tc>
          <w:tcPr>
            <w:tcW w:w="0" w:type="auto"/>
            <w:tcBorders>
              <w:bottom w:val="single" w:sz="12" w:space="0" w:color="000000"/>
            </w:tcBorders>
          </w:tcPr>
          <w:p w14:paraId="0C46A43E" w14:textId="1CDE5E2B" w:rsidR="0068455F" w:rsidRPr="00B82224" w:rsidRDefault="001E259E" w:rsidP="00BB5BA0">
            <w:pPr>
              <w:spacing w:before="120"/>
              <w:jc w:val="left"/>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0.4728</w:t>
            </w:r>
          </w:p>
        </w:tc>
      </w:tr>
    </w:tbl>
    <w:p w14:paraId="6EF31F3C" w14:textId="78A36E0A" w:rsidR="00EE4E76" w:rsidRPr="00F42E4E" w:rsidRDefault="00EE4E76" w:rsidP="00EE4E76">
      <w:pPr>
        <w:rPr>
          <w:lang w:val="en-US"/>
        </w:rPr>
      </w:pPr>
      <w:r>
        <w:t>The models</w:t>
      </w:r>
      <w:r w:rsidRPr="00F42E4E">
        <w:rPr>
          <w:lang w:val="en-US"/>
        </w:rPr>
        <w:t xml:space="preserve"> were retained only if they met two thresholds: </w:t>
      </w:r>
      <w:r>
        <w:rPr>
          <w:lang w:val="en-US"/>
        </w:rPr>
        <w:t>NSR of</w:t>
      </w:r>
      <w:r w:rsidRPr="00F42E4E">
        <w:rPr>
          <w:lang w:val="en-US"/>
        </w:rPr>
        <w:t xml:space="preserve"> 0.34</w:t>
      </w:r>
      <w:r>
        <w:rPr>
          <w:lang w:val="en-US"/>
        </w:rPr>
        <w:t xml:space="preserve"> or less</w:t>
      </w:r>
      <w:r w:rsidRPr="00F42E4E">
        <w:rPr>
          <w:lang w:val="en-US"/>
        </w:rPr>
        <w:t xml:space="preserve">, as recommended by Kaminsky (1998), and </w:t>
      </w:r>
      <w:r>
        <w:rPr>
          <w:lang w:val="en-US"/>
        </w:rPr>
        <w:t>FNR</w:t>
      </w:r>
      <w:r w:rsidRPr="00F42E4E">
        <w:rPr>
          <w:lang w:val="en-US"/>
        </w:rPr>
        <w:t xml:space="preserve"> of 0.5 or less, ensuring that the model correctly captures </w:t>
      </w:r>
      <w:proofErr w:type="gramStart"/>
      <w:r w:rsidRPr="00F42E4E">
        <w:rPr>
          <w:lang w:val="en-US"/>
        </w:rPr>
        <w:t>the majority of</w:t>
      </w:r>
      <w:proofErr w:type="gramEnd"/>
      <w:r w:rsidRPr="00F42E4E">
        <w:rPr>
          <w:lang w:val="en-US"/>
        </w:rPr>
        <w:t xml:space="preserve"> actual crash events. These constraints are critical for maintaining both practical utility and predictive reliability, especially in financial or policy-sensitive applications where missed crises and excessive false alarms carry significant costs.</w:t>
      </w:r>
    </w:p>
    <w:p w14:paraId="75FD19B5" w14:textId="23A527F2" w:rsidR="00710790" w:rsidRPr="00367313" w:rsidRDefault="00EE4E76" w:rsidP="004831D7">
      <w:pPr>
        <w:rPr>
          <w:lang w:val="en-US"/>
        </w:rPr>
      </w:pPr>
      <w:r w:rsidRPr="00F42E4E">
        <w:rPr>
          <w:lang w:val="en-US"/>
        </w:rPr>
        <w:t xml:space="preserve">After applying these criteria, only </w:t>
      </w:r>
      <w:r w:rsidR="00B52DBC">
        <w:rPr>
          <w:lang w:val="en-US"/>
        </w:rPr>
        <w:t>5</w:t>
      </w:r>
      <w:r w:rsidRPr="00F42E4E">
        <w:rPr>
          <w:lang w:val="en-US"/>
        </w:rPr>
        <w:t xml:space="preserve"> out of 48 models remained. The highest-ranked model by the custom weighted scoring function was the CNN</w:t>
      </w:r>
      <w:r w:rsidR="001E56A3">
        <w:rPr>
          <w:lang w:val="en-US"/>
        </w:rPr>
        <w:t>_</w:t>
      </w:r>
      <w:r>
        <w:rPr>
          <w:lang w:val="en-US"/>
        </w:rPr>
        <w:t>Sentiment</w:t>
      </w:r>
      <w:r w:rsidR="001E56A3">
        <w:rPr>
          <w:lang w:val="en-US"/>
        </w:rPr>
        <w:t>_</w:t>
      </w:r>
      <w:r w:rsidRPr="00F42E4E">
        <w:rPr>
          <w:lang w:val="en-US"/>
        </w:rPr>
        <w:t>22 with a score of 0.7223, a high TPR</w:t>
      </w:r>
      <w:r>
        <w:rPr>
          <w:lang w:val="en-US"/>
        </w:rPr>
        <w:t xml:space="preserve"> at </w:t>
      </w:r>
      <w:r w:rsidRPr="00F42E4E">
        <w:rPr>
          <w:lang w:val="en-US"/>
        </w:rPr>
        <w:t xml:space="preserve">0.9394, and an NSR of </w:t>
      </w:r>
      <w:r w:rsidRPr="00F42E4E">
        <w:rPr>
          <w:lang w:val="en-US"/>
        </w:rPr>
        <w:lastRenderedPageBreak/>
        <w:t>0.2946</w:t>
      </w:r>
      <w:r>
        <w:rPr>
          <w:lang w:val="en-US"/>
        </w:rPr>
        <w:t xml:space="preserve">, </w:t>
      </w:r>
      <w:r w:rsidRPr="00F42E4E">
        <w:rPr>
          <w:lang w:val="en-US"/>
        </w:rPr>
        <w:t>indicating strong sensitivity with controlled false alarms. Following closely was the Static</w:t>
      </w:r>
      <w:r w:rsidR="001E56A3">
        <w:rPr>
          <w:lang w:val="en-US"/>
        </w:rPr>
        <w:t>_</w:t>
      </w:r>
      <w:r w:rsidRPr="00F42E4E">
        <w:rPr>
          <w:lang w:val="en-US"/>
        </w:rPr>
        <w:t>Logit</w:t>
      </w:r>
      <w:r w:rsidR="001E56A3">
        <w:rPr>
          <w:lang w:val="en-US"/>
        </w:rPr>
        <w:t>_</w:t>
      </w:r>
      <w:r w:rsidRPr="00F42E4E">
        <w:rPr>
          <w:lang w:val="en-US"/>
        </w:rPr>
        <w:t>Combined</w:t>
      </w:r>
      <w:r w:rsidR="001E56A3">
        <w:rPr>
          <w:lang w:val="en-US"/>
        </w:rPr>
        <w:t>_</w:t>
      </w:r>
      <w:r w:rsidRPr="00F42E4E">
        <w:rPr>
          <w:lang w:val="en-US"/>
        </w:rPr>
        <w:t>22 with a score of 0.6779, combining strong TPR (0.8605) and balanced specificity. Other retained models included LSTM</w:t>
      </w:r>
      <w:r w:rsidR="008226A9">
        <w:rPr>
          <w:lang w:val="en-US"/>
        </w:rPr>
        <w:t>_</w:t>
      </w:r>
      <w:r w:rsidRPr="00F42E4E">
        <w:rPr>
          <w:lang w:val="en-US"/>
        </w:rPr>
        <w:t>Sentiment</w:t>
      </w:r>
      <w:r w:rsidR="008226A9">
        <w:rPr>
          <w:lang w:val="en-US"/>
        </w:rPr>
        <w:t>_22</w:t>
      </w:r>
      <w:r w:rsidRPr="00F42E4E">
        <w:rPr>
          <w:lang w:val="en-US"/>
        </w:rPr>
        <w:t>, Dynamic</w:t>
      </w:r>
      <w:r w:rsidR="008226A9">
        <w:rPr>
          <w:lang w:val="en-US"/>
        </w:rPr>
        <w:t>_</w:t>
      </w:r>
      <w:r w:rsidRPr="00F42E4E">
        <w:rPr>
          <w:lang w:val="en-US"/>
        </w:rPr>
        <w:t>Logit</w:t>
      </w:r>
      <w:r w:rsidR="008226A9">
        <w:rPr>
          <w:lang w:val="en-US"/>
        </w:rPr>
        <w:t>_</w:t>
      </w:r>
      <w:r w:rsidRPr="00F42E4E">
        <w:rPr>
          <w:lang w:val="en-US"/>
        </w:rPr>
        <w:t>Combined</w:t>
      </w:r>
      <w:r w:rsidR="008226A9">
        <w:rPr>
          <w:lang w:val="en-US"/>
        </w:rPr>
        <w:t>_22</w:t>
      </w:r>
      <w:r w:rsidRPr="00F42E4E">
        <w:rPr>
          <w:lang w:val="en-US"/>
        </w:rPr>
        <w:t>, and LSTM</w:t>
      </w:r>
      <w:r w:rsidR="008226A9">
        <w:rPr>
          <w:lang w:val="en-US"/>
        </w:rPr>
        <w:t>_</w:t>
      </w:r>
      <w:r w:rsidRPr="00F42E4E">
        <w:rPr>
          <w:lang w:val="en-US"/>
        </w:rPr>
        <w:t>Market</w:t>
      </w:r>
      <w:r w:rsidR="008226A9">
        <w:rPr>
          <w:lang w:val="en-US"/>
        </w:rPr>
        <w:t>_22</w:t>
      </w:r>
      <w:r w:rsidRPr="00F42E4E">
        <w:rPr>
          <w:lang w:val="en-US"/>
        </w:rPr>
        <w:t xml:space="preserve"> models, all demonstrating acceptable FNRs and low NSRs while maintaining competitive scores (ranging from 0.4728 to 0.5482).</w:t>
      </w:r>
    </w:p>
    <w:p w14:paraId="6FFBA54A" w14:textId="3DEEED4E" w:rsidR="00C879A7" w:rsidRDefault="00C879A7" w:rsidP="00C879A7">
      <w:pPr>
        <w:pStyle w:val="Heading3"/>
      </w:pPr>
      <w:r>
        <w:t>Results and Empirical interpretation</w:t>
      </w:r>
    </w:p>
    <w:p w14:paraId="6DF13F33" w14:textId="0C3B1017" w:rsidR="00C879A7" w:rsidRPr="00C879A7" w:rsidRDefault="00C879A7" w:rsidP="00C879A7">
      <w:r>
        <w:t>Answer research questions</w:t>
      </w:r>
    </w:p>
    <w:p w14:paraId="7B6D490A" w14:textId="2B4A55E1" w:rsidR="009927CD" w:rsidRDefault="009927CD" w:rsidP="009927CD">
      <w:pPr>
        <w:pStyle w:val="Heading2"/>
      </w:pPr>
      <w:r>
        <w:t>Out of Sample Analysis</w:t>
      </w:r>
      <w:bookmarkEnd w:id="24"/>
      <w:r w:rsidR="005F1D22">
        <w:t>?</w:t>
      </w:r>
    </w:p>
    <w:p w14:paraId="3643EC1D" w14:textId="044049EA" w:rsidR="0052480F" w:rsidRPr="007C0AB9" w:rsidRDefault="009927CD" w:rsidP="00E37976">
      <w:pPr>
        <w:pStyle w:val="ListParagraph"/>
        <w:numPr>
          <w:ilvl w:val="0"/>
          <w:numId w:val="40"/>
        </w:numPr>
      </w:pPr>
      <w:r>
        <w:t>Test the goodness of the previous model</w:t>
      </w:r>
    </w:p>
    <w:p w14:paraId="07EBF24F" w14:textId="6E546217" w:rsidR="00E37976" w:rsidRPr="007C0AB9" w:rsidRDefault="00E37976" w:rsidP="00E37976">
      <w:r w:rsidRPr="007C0AB9">
        <w:t>&lt;Figure below is in style “figure” which continues to style “figure caption” when you press Enter and then back to “Normal” when you press Enter again.&gt;</w:t>
      </w:r>
    </w:p>
    <w:p w14:paraId="01BB8317" w14:textId="77777777" w:rsidR="00E37976" w:rsidRPr="007C0AB9" w:rsidRDefault="00E37976" w:rsidP="00E37976">
      <w:pPr>
        <w:pStyle w:val="figure"/>
      </w:pPr>
      <w:r w:rsidRPr="007C0AB9">
        <w:rPr>
          <w:noProof/>
        </w:rPr>
        <mc:AlternateContent>
          <mc:Choice Requires="wpg">
            <w:drawing>
              <wp:inline distT="0" distB="0" distL="0" distR="0" wp14:anchorId="5E174D73" wp14:editId="3F0317D5">
                <wp:extent cx="1460500" cy="1173123"/>
                <wp:effectExtent l="50800" t="25400" r="88900" b="97155"/>
                <wp:docPr id="21" name="Group 20"/>
                <wp:cNvGraphicFramePr/>
                <a:graphic xmlns:a="http://schemas.openxmlformats.org/drawingml/2006/main">
                  <a:graphicData uri="http://schemas.microsoft.com/office/word/2010/wordprocessingGroup">
                    <wpg:wgp>
                      <wpg:cNvGrpSpPr/>
                      <wpg:grpSpPr>
                        <a:xfrm>
                          <a:off x="0" y="0"/>
                          <a:ext cx="1460500" cy="1173123"/>
                          <a:chOff x="0" y="0"/>
                          <a:chExt cx="2553111" cy="2050430"/>
                        </a:xfrm>
                      </wpg:grpSpPr>
                      <wps:wsp>
                        <wps:cNvPr id="2" name="Rectangle 2"/>
                        <wps:cNvSpPr/>
                        <wps:spPr>
                          <a:xfrm>
                            <a:off x="387212" y="0"/>
                            <a:ext cx="898330" cy="650562"/>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4C49D465" w14:textId="77777777" w:rsidR="00530753" w:rsidRPr="007C0AB9" w:rsidRDefault="00530753" w:rsidP="00E37976">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1654781" y="650562"/>
                            <a:ext cx="898330" cy="650562"/>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4765F67D" w14:textId="77777777" w:rsidR="00530753" w:rsidRPr="007C0AB9" w:rsidRDefault="00530753" w:rsidP="00E37976">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Oval 4"/>
                        <wps:cNvSpPr/>
                        <wps:spPr>
                          <a:xfrm>
                            <a:off x="0" y="1099759"/>
                            <a:ext cx="898330" cy="950671"/>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2DAE0469" w14:textId="77777777" w:rsidR="00530753" w:rsidRPr="007C0AB9" w:rsidRDefault="00530753" w:rsidP="00E37976">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Straight Arrow Connector 5"/>
                        <wps:cNvCnPr>
                          <a:stCxn id="4" idx="0"/>
                          <a:endCxn id="2" idx="2"/>
                        </wps:cNvCnPr>
                        <wps:spPr>
                          <a:xfrm flipV="1">
                            <a:off x="449165" y="650562"/>
                            <a:ext cx="387212" cy="449197"/>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6" name="Straight Arrow Connector 6"/>
                        <wps:cNvCnPr>
                          <a:stCxn id="4" idx="6"/>
                          <a:endCxn id="3" idx="2"/>
                        </wps:cNvCnPr>
                        <wps:spPr>
                          <a:xfrm flipV="1">
                            <a:off x="898330" y="1301124"/>
                            <a:ext cx="1205616" cy="273971"/>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g:wgp>
                  </a:graphicData>
                </a:graphic>
              </wp:inline>
            </w:drawing>
          </mc:Choice>
          <mc:Fallback>
            <w:pict>
              <v:group w14:anchorId="5E174D73" id="Group 20" o:spid="_x0000_s1026" style="width:115pt;height:92.35pt;mso-position-horizontal-relative:char;mso-position-vertical-relative:line" coordsize="25531,205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">
                <v:rect id="Rectangle 2" o:spid="_x0000_s1027" style="position:absolute;left:3872;width:8983;height:6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" filled="f" strokecolor="black [3213]">
                  <v:shadow on="t" color="black" opacity="22937f" origin=",.5" offset="0,.63889mm"/>
                  <v:textbox>
                    <w:txbxContent>
                      <w:p w14:paraId="4C49D465" w14:textId="77777777" w:rsidR="00530753" w:rsidRPr="007C0AB9" w:rsidRDefault="00530753" w:rsidP="00E37976">
                        <w:pPr>
                          <w:rPr>
                            <w:rFonts w:eastAsia="Times New Roman" w:cs="Times New Roman"/>
                          </w:rPr>
                        </w:pPr>
                      </w:p>
                    </w:txbxContent>
                  </v:textbox>
                </v:rect>
                <v:rect id="Rectangle 3" o:spid="_x0000_s1028" style="position:absolute;left:16547;top:6505;width:8984;height:6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" filled="f" strokecolor="black [3213]">
                  <v:shadow on="t" color="black" opacity="22937f" origin=",.5" offset="0,.63889mm"/>
                  <v:textbox>
                    <w:txbxContent>
                      <w:p w14:paraId="4765F67D" w14:textId="77777777" w:rsidR="00530753" w:rsidRPr="007C0AB9" w:rsidRDefault="00530753" w:rsidP="00E37976">
                        <w:pPr>
                          <w:rPr>
                            <w:rFonts w:eastAsia="Times New Roman" w:cs="Times New Roman"/>
                          </w:rPr>
                        </w:pPr>
                      </w:p>
                    </w:txbxContent>
                  </v:textbox>
                </v:rect>
                <v:oval id="Oval 4" o:spid="_x0000_s1029" style="position:absolute;top:10997;width:8983;height:95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" fillcolor="#4f81bd [3204]" strokecolor="#4579b8 [3044]">
                  <v:fill color2="#a7bfde [1620]" rotate="t" angle="180" focus="100%" type="gradient">
                    <o:fill v:ext="view" type="gradientUnscaled"/>
                  </v:fill>
                  <v:shadow on="t" color="black" opacity="22937f" origin=",.5" offset="0,.63889mm"/>
                  <v:textbox>
                    <w:txbxContent>
                      <w:p w14:paraId="2DAE0469" w14:textId="77777777" w:rsidR="00530753" w:rsidRPr="007C0AB9" w:rsidRDefault="00530753" w:rsidP="00E37976">
                        <w:pPr>
                          <w:rPr>
                            <w:rFonts w:eastAsia="Times New Roman" w:cs="Times New Roman"/>
                          </w:rPr>
                        </w:pPr>
                      </w:p>
                    </w:txbxContent>
                  </v:textbox>
                </v:oval>
                <v:shapetype id="_x0000_t32" coordsize="21600,21600" o:spt="32" o:oned="t" path="m,l21600,21600e" filled="f">
                  <v:path arrowok="t" fillok="f" o:connecttype="none"/>
                  <o:lock v:ext="edit" shapetype="t"/>
                </v:shapetype>
                <v:shape id="Straight Arrow Connector 5" o:spid="_x0000_s1030" type="#_x0000_t32" style="position:absolute;left:4491;top:6505;width:3872;height:449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" strokecolor="#4f81bd [3204]" strokeweight="2pt">
                  <v:stroke endarrow="open"/>
                  <v:shadow on="t" color="black" opacity="24903f" origin=",.5" offset="0,.55556mm"/>
                </v:shape>
                <v:shape id="Straight Arrow Connector 6" o:spid="_x0000_s1031" type="#_x0000_t32" style="position:absolute;left:8983;top:13011;width:12056;height:273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" strokecolor="#4f81bd [3204]" strokeweight="2pt">
                  <v:stroke endarrow="open"/>
                  <v:shadow on="t" color="black" opacity="24903f" origin=",.5" offset="0,.55556mm"/>
                </v:shape>
                <w10:anchorlock/>
              </v:group>
            </w:pict>
          </mc:Fallback>
        </mc:AlternateContent>
      </w:r>
    </w:p>
    <w:p w14:paraId="11A0BA49" w14:textId="77777777" w:rsidR="00E37976" w:rsidRPr="007C0AB9" w:rsidRDefault="00E37976" w:rsidP="00E37976">
      <w:pPr>
        <w:pStyle w:val="figurecaption"/>
      </w:pPr>
      <w:r w:rsidRPr="007C0AB9">
        <w:t xml:space="preserve">Figure 1:  </w:t>
      </w:r>
      <w:r w:rsidRPr="007C0AB9">
        <w:rPr>
          <w:b w:val="0"/>
        </w:rPr>
        <w:t>Some important shapes.</w:t>
      </w:r>
    </w:p>
    <w:p w14:paraId="74B62529" w14:textId="77777777" w:rsidR="00E37976" w:rsidRPr="007C0AB9" w:rsidRDefault="00E37976" w:rsidP="00D01157"/>
    <w:p w14:paraId="0ABC8D7C" w14:textId="77777777" w:rsidR="00E37976" w:rsidRPr="007C0AB9" w:rsidRDefault="00E37976" w:rsidP="00D01157"/>
    <w:p w14:paraId="5C6F2D13" w14:textId="66348B65" w:rsidR="00EE5614" w:rsidRPr="007C0AB9" w:rsidRDefault="00EE5614" w:rsidP="00D01157">
      <w:r w:rsidRPr="007C0AB9">
        <w:t>&lt;If you wanted to show any code fragments, you could use the following style called code</w:t>
      </w:r>
      <w:r w:rsidR="00536C57" w:rsidRPr="007C0AB9">
        <w:t xml:space="preserve">, which could then be followed by figure </w:t>
      </w:r>
      <w:proofErr w:type="gramStart"/>
      <w:r w:rsidR="00536C57" w:rsidRPr="007C0AB9">
        <w:t>caption.</w:t>
      </w:r>
      <w:r w:rsidRPr="007C0AB9">
        <w:t>.</w:t>
      </w:r>
      <w:proofErr w:type="gramEnd"/>
      <w:r w:rsidRPr="007C0AB9">
        <w:t>&gt;</w:t>
      </w:r>
    </w:p>
    <w:p w14:paraId="6996C204" w14:textId="65091559" w:rsidR="00EE5614" w:rsidRPr="007C0AB9" w:rsidRDefault="00EE5614" w:rsidP="00EE5614">
      <w:pPr>
        <w:pStyle w:val="code"/>
        <w:rPr>
          <w:i/>
        </w:rPr>
      </w:pPr>
      <w:r w:rsidRPr="007C0AB9">
        <w:rPr>
          <w:i/>
        </w:rPr>
        <w:t># This is a little bit of Python</w:t>
      </w:r>
    </w:p>
    <w:p w14:paraId="128A438C" w14:textId="2A4FD28A" w:rsidR="00EE5614" w:rsidRPr="007C0AB9" w:rsidRDefault="00EE5614" w:rsidP="00EE5614">
      <w:pPr>
        <w:pStyle w:val="code"/>
      </w:pPr>
      <w:r w:rsidRPr="007C0AB9">
        <w:rPr>
          <w:b/>
        </w:rPr>
        <w:t>for</w:t>
      </w:r>
      <w:r w:rsidRPr="007C0AB9">
        <w:t xml:space="preserve"> </w:t>
      </w:r>
      <w:proofErr w:type="spellStart"/>
      <w:r w:rsidRPr="007C0AB9">
        <w:t>i</w:t>
      </w:r>
      <w:proofErr w:type="spellEnd"/>
      <w:r w:rsidRPr="007C0AB9">
        <w:t xml:space="preserve"> in </w:t>
      </w:r>
      <w:proofErr w:type="gramStart"/>
      <w:r w:rsidRPr="007C0AB9">
        <w:t>range( 10</w:t>
      </w:r>
      <w:proofErr w:type="gramEnd"/>
      <w:r w:rsidRPr="007C0AB9">
        <w:t xml:space="preserve"> ):</w:t>
      </w:r>
    </w:p>
    <w:p w14:paraId="3F89F384" w14:textId="443459BC" w:rsidR="00EE5614" w:rsidRPr="007C0AB9" w:rsidRDefault="00EE5614" w:rsidP="00EE5614">
      <w:pPr>
        <w:pStyle w:val="code"/>
      </w:pPr>
      <w:r w:rsidRPr="007C0AB9">
        <w:tab/>
      </w:r>
      <w:r w:rsidRPr="007C0AB9">
        <w:rPr>
          <w:b/>
        </w:rPr>
        <w:t>for</w:t>
      </w:r>
      <w:r w:rsidRPr="007C0AB9">
        <w:t xml:space="preserve"> j in </w:t>
      </w:r>
      <w:proofErr w:type="gramStart"/>
      <w:r w:rsidRPr="007C0AB9">
        <w:t>range( 10</w:t>
      </w:r>
      <w:proofErr w:type="gramEnd"/>
      <w:r w:rsidRPr="007C0AB9">
        <w:t xml:space="preserve"> ):</w:t>
      </w:r>
    </w:p>
    <w:p w14:paraId="534CCBD4" w14:textId="28812CD7" w:rsidR="00EE5614" w:rsidRPr="007C0AB9" w:rsidRDefault="00EE5614" w:rsidP="00EE5614">
      <w:pPr>
        <w:pStyle w:val="code"/>
      </w:pPr>
      <w:r w:rsidRPr="007C0AB9">
        <w:tab/>
      </w:r>
      <w:r w:rsidRPr="007C0AB9">
        <w:tab/>
      </w:r>
      <w:r w:rsidRPr="007C0AB9">
        <w:rPr>
          <w:b/>
        </w:rPr>
        <w:t>print</w:t>
      </w:r>
      <w:r w:rsidRPr="007C0AB9">
        <w:t xml:space="preserve"> </w:t>
      </w:r>
      <w:proofErr w:type="spellStart"/>
      <w:r w:rsidRPr="007C0AB9">
        <w:t>i</w:t>
      </w:r>
      <w:proofErr w:type="spellEnd"/>
      <w:r w:rsidRPr="007C0AB9">
        <w:t>*j,</w:t>
      </w:r>
    </w:p>
    <w:p w14:paraId="27635358" w14:textId="2529C633" w:rsidR="00EE5614" w:rsidRPr="007C0AB9" w:rsidRDefault="00EE5614" w:rsidP="00EE5614">
      <w:pPr>
        <w:pStyle w:val="code"/>
        <w:rPr>
          <w:b/>
        </w:rPr>
      </w:pPr>
      <w:r w:rsidRPr="007C0AB9">
        <w:tab/>
      </w:r>
      <w:r w:rsidRPr="007C0AB9">
        <w:rPr>
          <w:b/>
        </w:rPr>
        <w:t>print</w:t>
      </w:r>
    </w:p>
    <w:p w14:paraId="7EA1EDB9" w14:textId="111488A9" w:rsidR="00EE5614" w:rsidRPr="007C0AB9" w:rsidRDefault="00EE5614" w:rsidP="00EE5614">
      <w:pPr>
        <w:pStyle w:val="figurecaption"/>
        <w:rPr>
          <w:b w:val="0"/>
        </w:rPr>
      </w:pPr>
      <w:r w:rsidRPr="007C0AB9">
        <w:t>Figure 2</w:t>
      </w:r>
      <w:r w:rsidR="00536C57" w:rsidRPr="007C0AB9">
        <w:rPr>
          <w:b w:val="0"/>
        </w:rPr>
        <w:t>:  A crucial algorithm for the project.</w:t>
      </w:r>
    </w:p>
    <w:p w14:paraId="6EBC4A13" w14:textId="77777777" w:rsidR="00E37976" w:rsidRPr="007C0AB9" w:rsidRDefault="00E37976">
      <w:pPr>
        <w:spacing w:before="0"/>
        <w:jc w:val="left"/>
        <w:rPr>
          <w:rFonts w:eastAsiaTheme="majorEastAsia" w:cstheme="majorBidi"/>
          <w:b/>
          <w:bCs/>
          <w:sz w:val="32"/>
          <w:szCs w:val="32"/>
        </w:rPr>
      </w:pPr>
      <w:r w:rsidRPr="007C0AB9">
        <w:br w:type="page"/>
      </w:r>
    </w:p>
    <w:p w14:paraId="603517E5" w14:textId="7213E87D" w:rsidR="00D01157" w:rsidRPr="007C0AB9" w:rsidRDefault="00E37976" w:rsidP="00F72F7C">
      <w:pPr>
        <w:pStyle w:val="Heading1"/>
      </w:pPr>
      <w:bookmarkStart w:id="25" w:name="_Toc204515583"/>
      <w:r w:rsidRPr="007C0AB9">
        <w:lastRenderedPageBreak/>
        <w:t>Conclusion</w:t>
      </w:r>
      <w:bookmarkEnd w:id="25"/>
    </w:p>
    <w:p w14:paraId="6FE295C3" w14:textId="6EE2CB91" w:rsidR="00D01157" w:rsidRPr="007C0AB9" w:rsidRDefault="00713754" w:rsidP="00D01157">
      <w:r w:rsidRPr="007C0AB9">
        <w:t>Main conclusions of your project. Here you should also include suggestions for future work.</w:t>
      </w:r>
    </w:p>
    <w:p w14:paraId="00CAEB91" w14:textId="6E03C145" w:rsidR="00E37976" w:rsidRPr="007C0AB9" w:rsidRDefault="00E37976" w:rsidP="0052480F">
      <w:pPr>
        <w:pStyle w:val="Heading1"/>
        <w:numPr>
          <w:ilvl w:val="0"/>
          <w:numId w:val="0"/>
        </w:numPr>
        <w:ind w:left="431" w:hanging="431"/>
        <w:rPr>
          <w:b w:val="0"/>
          <w:bCs w:val="0"/>
        </w:rPr>
      </w:pPr>
      <w:r w:rsidRPr="007C0AB9">
        <w:br w:type="page"/>
      </w:r>
    </w:p>
    <w:p w14:paraId="428C4033" w14:textId="77777777" w:rsidR="00AD5C18" w:rsidRPr="007C0AB9" w:rsidRDefault="00AD5C18" w:rsidP="00F72F7C">
      <w:pPr>
        <w:pStyle w:val="Heading1"/>
        <w:sectPr w:rsidR="00AD5C18" w:rsidRPr="007C0AB9" w:rsidSect="005E3085">
          <w:footerReference w:type="default" r:id="rId14"/>
          <w:pgSz w:w="11900" w:h="16840"/>
          <w:pgMar w:top="1440" w:right="1800" w:bottom="1440" w:left="1800" w:header="708" w:footer="708" w:gutter="0"/>
          <w:pgNumType w:start="1"/>
          <w:cols w:space="708"/>
          <w:docGrid w:linePitch="360"/>
        </w:sectPr>
      </w:pPr>
    </w:p>
    <w:p w14:paraId="53C344FB" w14:textId="1B7715CE" w:rsidR="00E37976" w:rsidRPr="007C0AB9" w:rsidRDefault="00E37976" w:rsidP="00FA5C40">
      <w:pPr>
        <w:pStyle w:val="Heading6"/>
      </w:pPr>
      <w:bookmarkStart w:id="26" w:name="_Toc204515584"/>
      <w:r w:rsidRPr="007C0AB9">
        <w:lastRenderedPageBreak/>
        <w:t>&lt;Name of appendix&gt;</w:t>
      </w:r>
      <w:bookmarkEnd w:id="26"/>
    </w:p>
    <w:p w14:paraId="2ACE9701" w14:textId="45535498" w:rsidR="00DE5BAB" w:rsidRPr="007C0AB9" w:rsidRDefault="00DE5BAB">
      <w:pPr>
        <w:spacing w:before="0"/>
        <w:jc w:val="left"/>
      </w:pPr>
      <w:r w:rsidRPr="007C0AB9">
        <w:t>&lt;Use Heading 6 for the Appendix heading&gt;</w:t>
      </w:r>
    </w:p>
    <w:p w14:paraId="3693A944" w14:textId="4078A9CE" w:rsidR="00C50DD9" w:rsidRPr="007C0AB9" w:rsidRDefault="00C50DD9">
      <w:pPr>
        <w:spacing w:before="0"/>
        <w:jc w:val="left"/>
        <w:rPr>
          <w:rFonts w:eastAsiaTheme="majorEastAsia" w:cstheme="majorBidi"/>
          <w:b/>
          <w:bCs/>
          <w:sz w:val="32"/>
          <w:szCs w:val="32"/>
        </w:rPr>
      </w:pPr>
      <w:r w:rsidRPr="007C0AB9">
        <w:br w:type="page"/>
      </w:r>
    </w:p>
    <w:p w14:paraId="59D1692C" w14:textId="77777777" w:rsidR="00C50DD9" w:rsidRPr="007C0AB9" w:rsidRDefault="00C50DD9" w:rsidP="00FA5C40">
      <w:pPr>
        <w:pStyle w:val="Heading6"/>
      </w:pPr>
      <w:bookmarkStart w:id="27" w:name="_Toc204515585"/>
      <w:r w:rsidRPr="007C0AB9">
        <w:lastRenderedPageBreak/>
        <w:t>&lt;Another appendix&gt;</w:t>
      </w:r>
      <w:bookmarkEnd w:id="27"/>
    </w:p>
    <w:p w14:paraId="11A36015" w14:textId="211A6390" w:rsidR="00C50DD9" w:rsidRPr="007C0AB9" w:rsidRDefault="00C50DD9">
      <w:pPr>
        <w:spacing w:before="0"/>
        <w:jc w:val="left"/>
        <w:rPr>
          <w:rFonts w:eastAsiaTheme="majorEastAsia" w:cstheme="majorBidi"/>
          <w:b/>
          <w:bCs/>
          <w:sz w:val="32"/>
          <w:szCs w:val="32"/>
        </w:rPr>
      </w:pPr>
    </w:p>
    <w:p w14:paraId="0C6A4995" w14:textId="64958A6E" w:rsidR="0052480F" w:rsidRPr="007C0AB9" w:rsidRDefault="0052480F">
      <w:pPr>
        <w:spacing w:before="0"/>
        <w:jc w:val="left"/>
        <w:rPr>
          <w:rFonts w:eastAsiaTheme="majorEastAsia" w:cstheme="majorBidi"/>
          <w:b/>
          <w:bCs/>
          <w:sz w:val="32"/>
          <w:szCs w:val="32"/>
        </w:rPr>
      </w:pPr>
    </w:p>
    <w:p w14:paraId="57EC8BBB" w14:textId="28B962BF" w:rsidR="0052480F" w:rsidRPr="007C0AB9" w:rsidRDefault="0052480F">
      <w:pPr>
        <w:spacing w:before="0"/>
        <w:jc w:val="left"/>
        <w:rPr>
          <w:rFonts w:eastAsiaTheme="majorEastAsia" w:cstheme="majorBidi"/>
          <w:b/>
          <w:bCs/>
          <w:sz w:val="32"/>
          <w:szCs w:val="32"/>
        </w:rPr>
      </w:pPr>
    </w:p>
    <w:p w14:paraId="6B0DFCBF" w14:textId="12A6108B" w:rsidR="0052480F" w:rsidRPr="007C0AB9" w:rsidRDefault="0052480F">
      <w:pPr>
        <w:spacing w:before="0"/>
        <w:jc w:val="left"/>
        <w:rPr>
          <w:rFonts w:eastAsiaTheme="majorEastAsia" w:cstheme="majorBidi"/>
          <w:b/>
          <w:bCs/>
          <w:sz w:val="32"/>
          <w:szCs w:val="32"/>
        </w:rPr>
      </w:pPr>
    </w:p>
    <w:p w14:paraId="07D5605E" w14:textId="1FDEAEA6" w:rsidR="0052480F" w:rsidRPr="007C0AB9" w:rsidRDefault="0052480F">
      <w:pPr>
        <w:spacing w:before="0"/>
        <w:jc w:val="left"/>
        <w:rPr>
          <w:rFonts w:eastAsiaTheme="majorEastAsia" w:cstheme="majorBidi"/>
          <w:b/>
          <w:bCs/>
          <w:sz w:val="32"/>
          <w:szCs w:val="32"/>
        </w:rPr>
      </w:pPr>
    </w:p>
    <w:p w14:paraId="3CDEC822" w14:textId="49B0922C" w:rsidR="0052480F" w:rsidRPr="007C0AB9" w:rsidRDefault="0052480F">
      <w:pPr>
        <w:spacing w:before="0"/>
        <w:jc w:val="left"/>
        <w:rPr>
          <w:rFonts w:eastAsiaTheme="majorEastAsia" w:cstheme="majorBidi"/>
          <w:b/>
          <w:bCs/>
          <w:sz w:val="32"/>
          <w:szCs w:val="32"/>
        </w:rPr>
      </w:pPr>
    </w:p>
    <w:p w14:paraId="15E48950" w14:textId="7B74880B" w:rsidR="0052480F" w:rsidRPr="007C0AB9" w:rsidRDefault="0052480F">
      <w:pPr>
        <w:spacing w:before="0"/>
        <w:jc w:val="left"/>
        <w:rPr>
          <w:rFonts w:eastAsiaTheme="majorEastAsia" w:cstheme="majorBidi"/>
          <w:b/>
          <w:bCs/>
          <w:sz w:val="32"/>
          <w:szCs w:val="32"/>
        </w:rPr>
      </w:pPr>
    </w:p>
    <w:p w14:paraId="409400DD" w14:textId="08F1E34C" w:rsidR="0052480F" w:rsidRPr="007C0AB9" w:rsidRDefault="0052480F">
      <w:pPr>
        <w:spacing w:before="0"/>
        <w:jc w:val="left"/>
        <w:rPr>
          <w:rFonts w:eastAsiaTheme="majorEastAsia" w:cstheme="majorBidi"/>
          <w:b/>
          <w:bCs/>
          <w:sz w:val="32"/>
          <w:szCs w:val="32"/>
        </w:rPr>
      </w:pPr>
    </w:p>
    <w:p w14:paraId="42A99940" w14:textId="7F690064" w:rsidR="0052480F" w:rsidRPr="007C0AB9" w:rsidRDefault="0052480F">
      <w:pPr>
        <w:spacing w:before="0"/>
        <w:jc w:val="left"/>
        <w:rPr>
          <w:rFonts w:eastAsiaTheme="majorEastAsia" w:cstheme="majorBidi"/>
          <w:b/>
          <w:bCs/>
          <w:sz w:val="32"/>
          <w:szCs w:val="32"/>
        </w:rPr>
      </w:pPr>
    </w:p>
    <w:p w14:paraId="7A40FBDA" w14:textId="2A0AE065" w:rsidR="0052480F" w:rsidRPr="007C0AB9" w:rsidRDefault="0052480F">
      <w:pPr>
        <w:spacing w:before="0"/>
        <w:jc w:val="left"/>
        <w:rPr>
          <w:rFonts w:eastAsiaTheme="majorEastAsia" w:cstheme="majorBidi"/>
          <w:b/>
          <w:bCs/>
          <w:sz w:val="32"/>
          <w:szCs w:val="32"/>
        </w:rPr>
      </w:pPr>
    </w:p>
    <w:p w14:paraId="7E4F4274" w14:textId="41B54C15" w:rsidR="0052480F" w:rsidRPr="007C0AB9" w:rsidRDefault="0052480F">
      <w:pPr>
        <w:spacing w:before="0"/>
        <w:jc w:val="left"/>
        <w:rPr>
          <w:rFonts w:eastAsiaTheme="majorEastAsia" w:cstheme="majorBidi"/>
          <w:b/>
          <w:bCs/>
          <w:sz w:val="32"/>
          <w:szCs w:val="32"/>
        </w:rPr>
      </w:pPr>
    </w:p>
    <w:p w14:paraId="6334A9DA" w14:textId="7665036F" w:rsidR="0052480F" w:rsidRPr="007C0AB9" w:rsidRDefault="0052480F">
      <w:pPr>
        <w:spacing w:before="0"/>
        <w:jc w:val="left"/>
        <w:rPr>
          <w:rFonts w:eastAsiaTheme="majorEastAsia" w:cstheme="majorBidi"/>
          <w:b/>
          <w:bCs/>
          <w:sz w:val="32"/>
          <w:szCs w:val="32"/>
        </w:rPr>
      </w:pPr>
    </w:p>
    <w:p w14:paraId="1C41A11A" w14:textId="1CCE2BF4" w:rsidR="0052480F" w:rsidRPr="007C0AB9" w:rsidRDefault="0052480F">
      <w:pPr>
        <w:spacing w:before="0"/>
        <w:jc w:val="left"/>
        <w:rPr>
          <w:rFonts w:eastAsiaTheme="majorEastAsia" w:cstheme="majorBidi"/>
          <w:b/>
          <w:bCs/>
          <w:sz w:val="32"/>
          <w:szCs w:val="32"/>
        </w:rPr>
      </w:pPr>
    </w:p>
    <w:p w14:paraId="2C78EA63" w14:textId="35C49B07" w:rsidR="0052480F" w:rsidRPr="007C0AB9" w:rsidRDefault="0052480F">
      <w:pPr>
        <w:spacing w:before="0"/>
        <w:jc w:val="left"/>
        <w:rPr>
          <w:rFonts w:eastAsiaTheme="majorEastAsia" w:cstheme="majorBidi"/>
          <w:b/>
          <w:bCs/>
          <w:sz w:val="32"/>
          <w:szCs w:val="32"/>
        </w:rPr>
      </w:pPr>
    </w:p>
    <w:p w14:paraId="527C24D2" w14:textId="7F9D7EDA" w:rsidR="0052480F" w:rsidRPr="007C0AB9" w:rsidRDefault="0052480F">
      <w:pPr>
        <w:spacing w:before="0"/>
        <w:jc w:val="left"/>
        <w:rPr>
          <w:rFonts w:eastAsiaTheme="majorEastAsia" w:cstheme="majorBidi"/>
          <w:b/>
          <w:bCs/>
          <w:sz w:val="32"/>
          <w:szCs w:val="32"/>
        </w:rPr>
      </w:pPr>
    </w:p>
    <w:p w14:paraId="581866FB" w14:textId="3B3399B4" w:rsidR="0052480F" w:rsidRPr="007C0AB9" w:rsidRDefault="0052480F">
      <w:pPr>
        <w:spacing w:before="0"/>
        <w:jc w:val="left"/>
        <w:rPr>
          <w:rFonts w:eastAsiaTheme="majorEastAsia" w:cstheme="majorBidi"/>
          <w:b/>
          <w:bCs/>
          <w:sz w:val="32"/>
          <w:szCs w:val="32"/>
        </w:rPr>
      </w:pPr>
    </w:p>
    <w:p w14:paraId="459C6528" w14:textId="1BE19669" w:rsidR="0052480F" w:rsidRPr="007C0AB9" w:rsidRDefault="0052480F">
      <w:pPr>
        <w:spacing w:before="0"/>
        <w:jc w:val="left"/>
        <w:rPr>
          <w:rFonts w:eastAsiaTheme="majorEastAsia" w:cstheme="majorBidi"/>
          <w:b/>
          <w:bCs/>
          <w:sz w:val="32"/>
          <w:szCs w:val="32"/>
        </w:rPr>
      </w:pPr>
    </w:p>
    <w:p w14:paraId="3853FCAF" w14:textId="09118471" w:rsidR="0052480F" w:rsidRPr="007C0AB9" w:rsidRDefault="0052480F">
      <w:pPr>
        <w:spacing w:before="0"/>
        <w:jc w:val="left"/>
        <w:rPr>
          <w:rFonts w:eastAsiaTheme="majorEastAsia" w:cstheme="majorBidi"/>
          <w:b/>
          <w:bCs/>
          <w:sz w:val="32"/>
          <w:szCs w:val="32"/>
        </w:rPr>
      </w:pPr>
    </w:p>
    <w:p w14:paraId="0012A5BE" w14:textId="666D1076" w:rsidR="0052480F" w:rsidRPr="007C0AB9" w:rsidRDefault="0052480F">
      <w:pPr>
        <w:spacing w:before="0"/>
        <w:jc w:val="left"/>
        <w:rPr>
          <w:rFonts w:eastAsiaTheme="majorEastAsia" w:cstheme="majorBidi"/>
          <w:b/>
          <w:bCs/>
          <w:sz w:val="32"/>
          <w:szCs w:val="32"/>
        </w:rPr>
      </w:pPr>
    </w:p>
    <w:p w14:paraId="011D5FAE" w14:textId="5EEC4B09" w:rsidR="0052480F" w:rsidRPr="007C0AB9" w:rsidRDefault="0052480F">
      <w:pPr>
        <w:spacing w:before="0"/>
        <w:jc w:val="left"/>
        <w:rPr>
          <w:rFonts w:eastAsiaTheme="majorEastAsia" w:cstheme="majorBidi"/>
          <w:b/>
          <w:bCs/>
          <w:sz w:val="32"/>
          <w:szCs w:val="32"/>
        </w:rPr>
      </w:pPr>
    </w:p>
    <w:p w14:paraId="2A077449" w14:textId="7B04D58E" w:rsidR="0052480F" w:rsidRPr="007C0AB9" w:rsidRDefault="0052480F">
      <w:pPr>
        <w:spacing w:before="0"/>
        <w:jc w:val="left"/>
        <w:rPr>
          <w:rFonts w:eastAsiaTheme="majorEastAsia" w:cstheme="majorBidi"/>
          <w:b/>
          <w:bCs/>
          <w:sz w:val="32"/>
          <w:szCs w:val="32"/>
        </w:rPr>
      </w:pPr>
    </w:p>
    <w:p w14:paraId="03819BE8" w14:textId="1E46B560" w:rsidR="0052480F" w:rsidRPr="007C0AB9" w:rsidRDefault="0052480F">
      <w:pPr>
        <w:spacing w:before="0"/>
        <w:jc w:val="left"/>
        <w:rPr>
          <w:rFonts w:eastAsiaTheme="majorEastAsia" w:cstheme="majorBidi"/>
          <w:b/>
          <w:bCs/>
          <w:sz w:val="32"/>
          <w:szCs w:val="32"/>
        </w:rPr>
      </w:pPr>
    </w:p>
    <w:p w14:paraId="19A8F028" w14:textId="0111DE91" w:rsidR="0052480F" w:rsidRPr="007C0AB9" w:rsidRDefault="0052480F">
      <w:pPr>
        <w:spacing w:before="0"/>
        <w:jc w:val="left"/>
        <w:rPr>
          <w:rFonts w:eastAsiaTheme="majorEastAsia" w:cstheme="majorBidi"/>
          <w:b/>
          <w:bCs/>
          <w:sz w:val="32"/>
          <w:szCs w:val="32"/>
        </w:rPr>
      </w:pPr>
    </w:p>
    <w:p w14:paraId="2593FE59" w14:textId="3991737A" w:rsidR="0052480F" w:rsidRPr="007C0AB9" w:rsidRDefault="0052480F">
      <w:pPr>
        <w:spacing w:before="0"/>
        <w:jc w:val="left"/>
        <w:rPr>
          <w:rFonts w:eastAsiaTheme="majorEastAsia" w:cstheme="majorBidi"/>
          <w:b/>
          <w:bCs/>
          <w:sz w:val="32"/>
          <w:szCs w:val="32"/>
        </w:rPr>
      </w:pPr>
    </w:p>
    <w:p w14:paraId="1C07D7D1" w14:textId="73EF2977" w:rsidR="0052480F" w:rsidRPr="007C0AB9" w:rsidRDefault="0052480F">
      <w:pPr>
        <w:spacing w:before="0"/>
        <w:jc w:val="left"/>
        <w:rPr>
          <w:rFonts w:eastAsiaTheme="majorEastAsia" w:cstheme="majorBidi"/>
          <w:b/>
          <w:bCs/>
          <w:sz w:val="32"/>
          <w:szCs w:val="32"/>
        </w:rPr>
      </w:pPr>
    </w:p>
    <w:p w14:paraId="3916B171" w14:textId="36A21597" w:rsidR="0052480F" w:rsidRPr="007C0AB9" w:rsidRDefault="0052480F">
      <w:pPr>
        <w:spacing w:before="0"/>
        <w:jc w:val="left"/>
        <w:rPr>
          <w:rFonts w:eastAsiaTheme="majorEastAsia" w:cstheme="majorBidi"/>
          <w:b/>
          <w:bCs/>
          <w:sz w:val="32"/>
          <w:szCs w:val="32"/>
        </w:rPr>
      </w:pPr>
    </w:p>
    <w:p w14:paraId="03231E05" w14:textId="75436953" w:rsidR="0052480F" w:rsidRPr="007C0AB9" w:rsidRDefault="0052480F">
      <w:pPr>
        <w:spacing w:before="0"/>
        <w:jc w:val="left"/>
        <w:rPr>
          <w:rFonts w:eastAsiaTheme="majorEastAsia" w:cstheme="majorBidi"/>
          <w:b/>
          <w:bCs/>
          <w:sz w:val="32"/>
          <w:szCs w:val="32"/>
        </w:rPr>
      </w:pPr>
    </w:p>
    <w:p w14:paraId="362C883F" w14:textId="6573A370" w:rsidR="0052480F" w:rsidRPr="007C0AB9" w:rsidRDefault="0052480F">
      <w:pPr>
        <w:spacing w:before="0"/>
        <w:jc w:val="left"/>
        <w:rPr>
          <w:rFonts w:eastAsiaTheme="majorEastAsia" w:cstheme="majorBidi"/>
          <w:b/>
          <w:bCs/>
          <w:sz w:val="32"/>
          <w:szCs w:val="32"/>
        </w:rPr>
      </w:pPr>
    </w:p>
    <w:p w14:paraId="2051F5A0" w14:textId="0348D139" w:rsidR="0052480F" w:rsidRPr="007C0AB9" w:rsidRDefault="0052480F">
      <w:pPr>
        <w:spacing w:before="0"/>
        <w:jc w:val="left"/>
        <w:rPr>
          <w:rFonts w:eastAsiaTheme="majorEastAsia" w:cstheme="majorBidi"/>
          <w:b/>
          <w:bCs/>
          <w:sz w:val="32"/>
          <w:szCs w:val="32"/>
        </w:rPr>
      </w:pPr>
    </w:p>
    <w:p w14:paraId="1B8F1FDF" w14:textId="5CC66F46" w:rsidR="0052480F" w:rsidRPr="007C0AB9" w:rsidRDefault="0052480F">
      <w:pPr>
        <w:spacing w:before="0"/>
        <w:jc w:val="left"/>
        <w:rPr>
          <w:rFonts w:eastAsiaTheme="majorEastAsia" w:cstheme="majorBidi"/>
          <w:b/>
          <w:bCs/>
          <w:sz w:val="32"/>
          <w:szCs w:val="32"/>
        </w:rPr>
      </w:pPr>
    </w:p>
    <w:p w14:paraId="43A7C94A" w14:textId="16E1F533" w:rsidR="0052480F" w:rsidRPr="007C0AB9" w:rsidRDefault="0052480F">
      <w:pPr>
        <w:spacing w:before="0"/>
        <w:jc w:val="left"/>
        <w:rPr>
          <w:rFonts w:eastAsiaTheme="majorEastAsia" w:cstheme="majorBidi"/>
          <w:b/>
          <w:bCs/>
          <w:sz w:val="32"/>
          <w:szCs w:val="32"/>
        </w:rPr>
      </w:pPr>
    </w:p>
    <w:p w14:paraId="75886CC8" w14:textId="0DC22AE6" w:rsidR="0052480F" w:rsidRPr="007C0AB9" w:rsidRDefault="0052480F">
      <w:pPr>
        <w:spacing w:before="0"/>
        <w:jc w:val="left"/>
        <w:rPr>
          <w:rFonts w:eastAsiaTheme="majorEastAsia" w:cstheme="majorBidi"/>
          <w:b/>
          <w:bCs/>
          <w:sz w:val="32"/>
          <w:szCs w:val="32"/>
        </w:rPr>
      </w:pPr>
    </w:p>
    <w:p w14:paraId="6CF45EF1" w14:textId="75EB35E3" w:rsidR="0052480F" w:rsidRPr="007C0AB9" w:rsidRDefault="0052480F">
      <w:pPr>
        <w:spacing w:before="0"/>
        <w:jc w:val="left"/>
        <w:rPr>
          <w:rFonts w:eastAsiaTheme="majorEastAsia" w:cstheme="majorBidi"/>
          <w:b/>
          <w:bCs/>
          <w:sz w:val="32"/>
          <w:szCs w:val="32"/>
        </w:rPr>
      </w:pPr>
    </w:p>
    <w:p w14:paraId="5B7F4CDC" w14:textId="3DB47674" w:rsidR="0052480F" w:rsidRPr="007C0AB9" w:rsidRDefault="0052480F">
      <w:pPr>
        <w:spacing w:before="0"/>
        <w:jc w:val="left"/>
        <w:rPr>
          <w:rFonts w:eastAsiaTheme="majorEastAsia" w:cstheme="majorBidi"/>
          <w:b/>
          <w:bCs/>
          <w:sz w:val="32"/>
          <w:szCs w:val="32"/>
        </w:rPr>
      </w:pPr>
    </w:p>
    <w:p w14:paraId="28ECAD4C" w14:textId="2F48DA05" w:rsidR="0052480F" w:rsidRPr="007C0AB9" w:rsidRDefault="00A133E9" w:rsidP="0052480F">
      <w:pPr>
        <w:pStyle w:val="Heading1"/>
        <w:numPr>
          <w:ilvl w:val="0"/>
          <w:numId w:val="0"/>
        </w:numPr>
        <w:ind w:left="431" w:hanging="431"/>
      </w:pPr>
      <w:bookmarkStart w:id="28" w:name="_Toc204515586"/>
      <w:r w:rsidRPr="007C0AB9">
        <w:lastRenderedPageBreak/>
        <w:t>Bibliography</w:t>
      </w:r>
      <w:bookmarkEnd w:id="28"/>
      <w:r w:rsidR="0052480F" w:rsidRPr="007C0AB9">
        <w:t xml:space="preserve"> </w:t>
      </w:r>
    </w:p>
    <w:p w14:paraId="1AC10FEF" w14:textId="5297DA20" w:rsidR="0052480F" w:rsidRDefault="0052480F" w:rsidP="0052480F">
      <w:pPr>
        <w:tabs>
          <w:tab w:val="left" w:pos="426"/>
        </w:tabs>
        <w:rPr>
          <w:sz w:val="20"/>
          <w:szCs w:val="20"/>
        </w:rPr>
      </w:pPr>
      <w:r w:rsidRPr="007C0AB9">
        <w:rPr>
          <w:sz w:val="20"/>
          <w:szCs w:val="20"/>
        </w:rPr>
        <w:t>[1]</w:t>
      </w:r>
      <w:r w:rsidR="00D21090">
        <w:rPr>
          <w:sz w:val="20"/>
          <w:szCs w:val="20"/>
        </w:rPr>
        <w:tab/>
      </w:r>
      <w:proofErr w:type="spellStart"/>
      <w:r w:rsidR="00840FEA" w:rsidRPr="00840FEA">
        <w:rPr>
          <w:sz w:val="20"/>
          <w:szCs w:val="20"/>
        </w:rPr>
        <w:t>Kustina</w:t>
      </w:r>
      <w:proofErr w:type="spellEnd"/>
      <w:r w:rsidR="00840FEA" w:rsidRPr="00840FEA">
        <w:rPr>
          <w:sz w:val="20"/>
          <w:szCs w:val="20"/>
        </w:rPr>
        <w:t xml:space="preserve">, L., Sudarsono, R., &amp; Effendi, N. (2023). Market crash factors and developing an early warning system: Evidence from Asia. </w:t>
      </w:r>
      <w:r w:rsidR="00840FEA" w:rsidRPr="003A1BA1">
        <w:rPr>
          <w:i/>
          <w:iCs/>
          <w:sz w:val="20"/>
          <w:szCs w:val="20"/>
        </w:rPr>
        <w:t>Investment Management and Financial Innovations</w:t>
      </w:r>
      <w:r w:rsidR="00840FEA" w:rsidRPr="00EE50A6">
        <w:rPr>
          <w:i/>
          <w:iCs/>
          <w:sz w:val="20"/>
          <w:szCs w:val="20"/>
        </w:rPr>
        <w:t>, 20</w:t>
      </w:r>
      <w:r w:rsidR="00840FEA" w:rsidRPr="00553CBD">
        <w:rPr>
          <w:sz w:val="20"/>
          <w:szCs w:val="20"/>
        </w:rPr>
        <w:t>(3)</w:t>
      </w:r>
      <w:r w:rsidR="00840FEA" w:rsidRPr="00EE50A6">
        <w:rPr>
          <w:sz w:val="20"/>
          <w:szCs w:val="20"/>
        </w:rPr>
        <w:t>,</w:t>
      </w:r>
      <w:r w:rsidR="00840FEA" w:rsidRPr="00840FEA">
        <w:rPr>
          <w:sz w:val="20"/>
          <w:szCs w:val="20"/>
        </w:rPr>
        <w:t xml:space="preserve"> 1</w:t>
      </w:r>
      <w:r w:rsidR="007F73B9">
        <w:rPr>
          <w:sz w:val="20"/>
          <w:szCs w:val="20"/>
        </w:rPr>
        <w:t>16</w:t>
      </w:r>
      <w:r w:rsidR="00840FEA" w:rsidRPr="00840FEA">
        <w:rPr>
          <w:sz w:val="20"/>
          <w:szCs w:val="20"/>
        </w:rPr>
        <w:t>–1</w:t>
      </w:r>
      <w:r w:rsidR="007F73B9">
        <w:rPr>
          <w:sz w:val="20"/>
          <w:szCs w:val="20"/>
        </w:rPr>
        <w:t>25</w:t>
      </w:r>
      <w:r w:rsidR="00840FEA" w:rsidRPr="00840FEA">
        <w:rPr>
          <w:sz w:val="20"/>
          <w:szCs w:val="20"/>
        </w:rPr>
        <w:t>.</w:t>
      </w:r>
      <w:r w:rsidR="00840FEA">
        <w:rPr>
          <w:sz w:val="20"/>
          <w:szCs w:val="20"/>
        </w:rPr>
        <w:t xml:space="preserve"> </w:t>
      </w:r>
      <w:hyperlink r:id="rId15" w:history="1">
        <w:r w:rsidR="00D21090" w:rsidRPr="00A96A38">
          <w:rPr>
            <w:rStyle w:val="Hyperlink"/>
            <w:sz w:val="20"/>
            <w:szCs w:val="20"/>
          </w:rPr>
          <w:t>https://doi.org/10.21511/imfi.20(3).2023.10</w:t>
        </w:r>
      </w:hyperlink>
    </w:p>
    <w:p w14:paraId="434CF1FA" w14:textId="71B8B8A7" w:rsidR="00840FEA" w:rsidRDefault="00D21090" w:rsidP="0052480F">
      <w:pPr>
        <w:tabs>
          <w:tab w:val="left" w:pos="426"/>
        </w:tabs>
        <w:rPr>
          <w:sz w:val="20"/>
          <w:szCs w:val="20"/>
        </w:rPr>
      </w:pPr>
      <w:r>
        <w:rPr>
          <w:sz w:val="20"/>
          <w:szCs w:val="20"/>
        </w:rPr>
        <w:t>[2]</w:t>
      </w:r>
      <w:r>
        <w:rPr>
          <w:sz w:val="20"/>
          <w:szCs w:val="20"/>
        </w:rPr>
        <w:tab/>
      </w:r>
      <w:r w:rsidR="00840FEA" w:rsidRPr="00840FEA">
        <w:rPr>
          <w:sz w:val="20"/>
          <w:szCs w:val="20"/>
        </w:rPr>
        <w:t xml:space="preserve">Song, </w:t>
      </w:r>
      <w:r w:rsidR="00840FEA">
        <w:rPr>
          <w:sz w:val="20"/>
          <w:szCs w:val="20"/>
        </w:rPr>
        <w:t>S</w:t>
      </w:r>
      <w:r w:rsidR="00840FEA" w:rsidRPr="00840FEA">
        <w:rPr>
          <w:sz w:val="20"/>
          <w:szCs w:val="20"/>
        </w:rPr>
        <w:t xml:space="preserve">., &amp; Li, </w:t>
      </w:r>
      <w:r w:rsidR="00840FEA">
        <w:rPr>
          <w:sz w:val="20"/>
          <w:szCs w:val="20"/>
        </w:rPr>
        <w:t>H</w:t>
      </w:r>
      <w:r w:rsidR="00840FEA" w:rsidRPr="00840FEA">
        <w:rPr>
          <w:sz w:val="20"/>
          <w:szCs w:val="20"/>
        </w:rPr>
        <w:t xml:space="preserve">. (2024). Early warning signals for stock market crashes: Empirical and analytical insights utilizing nonlinear methods. </w:t>
      </w:r>
      <w:r w:rsidR="00840FEA" w:rsidRPr="00EE50A6">
        <w:rPr>
          <w:i/>
          <w:iCs/>
          <w:sz w:val="20"/>
          <w:szCs w:val="20"/>
        </w:rPr>
        <w:t>EPJ Data Science, 13</w:t>
      </w:r>
      <w:r w:rsidR="00840FEA" w:rsidRPr="00840FEA">
        <w:rPr>
          <w:sz w:val="20"/>
          <w:szCs w:val="20"/>
        </w:rPr>
        <w:t xml:space="preserve">, </w:t>
      </w:r>
      <w:r w:rsidR="00503EA5">
        <w:rPr>
          <w:sz w:val="20"/>
          <w:szCs w:val="20"/>
        </w:rPr>
        <w:t>16</w:t>
      </w:r>
      <w:r w:rsidR="00840FEA" w:rsidRPr="00840FEA">
        <w:rPr>
          <w:sz w:val="20"/>
          <w:szCs w:val="20"/>
        </w:rPr>
        <w:t xml:space="preserve">. </w:t>
      </w:r>
      <w:hyperlink r:id="rId16" w:history="1">
        <w:r w:rsidR="00840FEA" w:rsidRPr="00EA6B1A">
          <w:rPr>
            <w:rStyle w:val="Hyperlink"/>
            <w:sz w:val="20"/>
            <w:szCs w:val="20"/>
          </w:rPr>
          <w:t>https://doi.org/10.1140/epjds/s13688-024-00457-2</w:t>
        </w:r>
      </w:hyperlink>
    </w:p>
    <w:p w14:paraId="2FEEA08B" w14:textId="740B2FF7" w:rsidR="00D21090" w:rsidRDefault="00D21090" w:rsidP="0052480F">
      <w:pPr>
        <w:tabs>
          <w:tab w:val="left" w:pos="426"/>
        </w:tabs>
        <w:rPr>
          <w:sz w:val="20"/>
          <w:szCs w:val="20"/>
        </w:rPr>
      </w:pPr>
      <w:r>
        <w:rPr>
          <w:sz w:val="20"/>
          <w:szCs w:val="20"/>
        </w:rPr>
        <w:t>[3]</w:t>
      </w:r>
      <w:r>
        <w:tab/>
      </w:r>
      <w:r w:rsidRPr="00D21090">
        <w:rPr>
          <w:sz w:val="20"/>
          <w:szCs w:val="20"/>
        </w:rPr>
        <w:t xml:space="preserve">Liu, J., Leu, J., &amp; Holst, S. (2023). Stock price movement prediction based on </w:t>
      </w:r>
      <w:proofErr w:type="spellStart"/>
      <w:r w:rsidRPr="00D21090">
        <w:rPr>
          <w:sz w:val="20"/>
          <w:szCs w:val="20"/>
        </w:rPr>
        <w:t>Stocktwits</w:t>
      </w:r>
      <w:proofErr w:type="spellEnd"/>
      <w:r w:rsidRPr="00D21090">
        <w:rPr>
          <w:sz w:val="20"/>
          <w:szCs w:val="20"/>
        </w:rPr>
        <w:t xml:space="preserve"> investor sentiment using </w:t>
      </w:r>
      <w:proofErr w:type="spellStart"/>
      <w:r w:rsidRPr="00D21090">
        <w:rPr>
          <w:sz w:val="20"/>
          <w:szCs w:val="20"/>
        </w:rPr>
        <w:t>FinBERT</w:t>
      </w:r>
      <w:proofErr w:type="spellEnd"/>
      <w:r w:rsidRPr="00D21090">
        <w:rPr>
          <w:sz w:val="20"/>
          <w:szCs w:val="20"/>
        </w:rPr>
        <w:t xml:space="preserve"> and ensemble SVM. </w:t>
      </w:r>
      <w:proofErr w:type="spellStart"/>
      <w:r w:rsidRPr="00B65963">
        <w:rPr>
          <w:i/>
          <w:iCs/>
          <w:sz w:val="20"/>
          <w:szCs w:val="20"/>
        </w:rPr>
        <w:t>PeerJ</w:t>
      </w:r>
      <w:proofErr w:type="spellEnd"/>
      <w:r w:rsidRPr="00B65963">
        <w:rPr>
          <w:i/>
          <w:iCs/>
          <w:sz w:val="20"/>
          <w:szCs w:val="20"/>
        </w:rPr>
        <w:t xml:space="preserve"> Computer Science, 9</w:t>
      </w:r>
      <w:r w:rsidR="00B65963">
        <w:rPr>
          <w:sz w:val="20"/>
          <w:szCs w:val="20"/>
        </w:rPr>
        <w:t>,</w:t>
      </w:r>
      <w:r w:rsidR="003A1BA1" w:rsidRPr="003A1BA1">
        <w:t xml:space="preserve"> </w:t>
      </w:r>
      <w:r w:rsidR="003A1BA1" w:rsidRPr="003A1BA1">
        <w:rPr>
          <w:sz w:val="20"/>
          <w:szCs w:val="20"/>
        </w:rPr>
        <w:t>e1403</w:t>
      </w:r>
      <w:r w:rsidRPr="00D21090">
        <w:rPr>
          <w:sz w:val="20"/>
          <w:szCs w:val="20"/>
        </w:rPr>
        <w:t xml:space="preserve">. </w:t>
      </w:r>
      <w:hyperlink r:id="rId17" w:history="1">
        <w:r w:rsidRPr="00A96A38">
          <w:rPr>
            <w:rStyle w:val="Hyperlink"/>
            <w:sz w:val="20"/>
            <w:szCs w:val="20"/>
          </w:rPr>
          <w:t>https://doi.org/10.7717/peerj-cs.1403</w:t>
        </w:r>
      </w:hyperlink>
    </w:p>
    <w:p w14:paraId="455A9607" w14:textId="2361F7CF" w:rsidR="00D21090" w:rsidRDefault="00D21090" w:rsidP="0052480F">
      <w:pPr>
        <w:tabs>
          <w:tab w:val="left" w:pos="426"/>
        </w:tabs>
        <w:rPr>
          <w:sz w:val="20"/>
          <w:szCs w:val="20"/>
        </w:rPr>
      </w:pPr>
      <w:r>
        <w:rPr>
          <w:sz w:val="20"/>
          <w:szCs w:val="20"/>
        </w:rPr>
        <w:t>[4]</w:t>
      </w:r>
      <w:r>
        <w:rPr>
          <w:sz w:val="20"/>
          <w:szCs w:val="20"/>
        </w:rPr>
        <w:tab/>
      </w:r>
      <w:proofErr w:type="spellStart"/>
      <w:r w:rsidR="00553CBD" w:rsidRPr="00553CBD">
        <w:rPr>
          <w:sz w:val="20"/>
          <w:szCs w:val="20"/>
        </w:rPr>
        <w:t>Allaj</w:t>
      </w:r>
      <w:proofErr w:type="spellEnd"/>
      <w:r w:rsidR="00553CBD" w:rsidRPr="00553CBD">
        <w:rPr>
          <w:sz w:val="20"/>
          <w:szCs w:val="20"/>
        </w:rPr>
        <w:t xml:space="preserve">, E., &amp; </w:t>
      </w:r>
      <w:proofErr w:type="spellStart"/>
      <w:r w:rsidR="00553CBD" w:rsidRPr="00553CBD">
        <w:rPr>
          <w:sz w:val="20"/>
          <w:szCs w:val="20"/>
        </w:rPr>
        <w:t>Sanfelici</w:t>
      </w:r>
      <w:proofErr w:type="spellEnd"/>
      <w:r w:rsidR="00553CBD" w:rsidRPr="00553CBD">
        <w:rPr>
          <w:sz w:val="20"/>
          <w:szCs w:val="20"/>
        </w:rPr>
        <w:t xml:space="preserve">, S. (2023). Early warning systems for identifying financial instability. </w:t>
      </w:r>
      <w:r w:rsidR="00553CBD" w:rsidRPr="00553CBD">
        <w:rPr>
          <w:i/>
          <w:iCs/>
          <w:sz w:val="20"/>
          <w:szCs w:val="20"/>
        </w:rPr>
        <w:t>International Journal of Forecasting, 39</w:t>
      </w:r>
      <w:r w:rsidR="00553CBD" w:rsidRPr="00553CBD">
        <w:rPr>
          <w:sz w:val="20"/>
          <w:szCs w:val="20"/>
        </w:rPr>
        <w:t>(4), 1777–1803</w:t>
      </w:r>
      <w:r w:rsidR="00553CBD">
        <w:rPr>
          <w:sz w:val="20"/>
          <w:szCs w:val="20"/>
        </w:rPr>
        <w:t>.</w:t>
      </w:r>
      <w:r w:rsidRPr="00D21090">
        <w:rPr>
          <w:sz w:val="20"/>
          <w:szCs w:val="20"/>
        </w:rPr>
        <w:t xml:space="preserve"> </w:t>
      </w:r>
      <w:hyperlink r:id="rId18" w:history="1">
        <w:r w:rsidRPr="00A96A38">
          <w:rPr>
            <w:rStyle w:val="Hyperlink"/>
            <w:sz w:val="20"/>
            <w:szCs w:val="20"/>
          </w:rPr>
          <w:t>https://doi.org/10.1016/j.ijforecast.2022.08.004</w:t>
        </w:r>
      </w:hyperlink>
    </w:p>
    <w:p w14:paraId="0E78F02A" w14:textId="45DE6744" w:rsidR="00D21090" w:rsidRDefault="00D21090" w:rsidP="0052480F">
      <w:pPr>
        <w:tabs>
          <w:tab w:val="left" w:pos="426"/>
        </w:tabs>
        <w:rPr>
          <w:sz w:val="20"/>
          <w:szCs w:val="20"/>
        </w:rPr>
      </w:pPr>
      <w:r>
        <w:rPr>
          <w:sz w:val="20"/>
          <w:szCs w:val="20"/>
        </w:rPr>
        <w:t>[5]</w:t>
      </w:r>
      <w:r>
        <w:rPr>
          <w:sz w:val="20"/>
          <w:szCs w:val="20"/>
        </w:rPr>
        <w:tab/>
      </w:r>
      <w:r w:rsidRPr="00D21090">
        <w:rPr>
          <w:sz w:val="20"/>
          <w:szCs w:val="20"/>
        </w:rPr>
        <w:t>Park, M., Peterson, M., &amp; Weisbrod, E.H. (2024). Top-Down vs. Bottom-Up Index Forecasts: Are Market Strategists Strategically Pessimistic?</w:t>
      </w:r>
      <w:r w:rsidR="00363B4B" w:rsidRPr="00363B4B">
        <w:t xml:space="preserve"> </w:t>
      </w:r>
      <w:r w:rsidR="00363B4B" w:rsidRPr="00363B4B">
        <w:rPr>
          <w:i/>
          <w:iCs/>
          <w:sz w:val="20"/>
          <w:szCs w:val="20"/>
        </w:rPr>
        <w:t>SSRN Electronic Journal</w:t>
      </w:r>
      <w:r w:rsidR="00363B4B" w:rsidRPr="00363B4B">
        <w:rPr>
          <w:sz w:val="20"/>
          <w:szCs w:val="20"/>
        </w:rPr>
        <w:t>.</w:t>
      </w:r>
      <w:r w:rsidRPr="00D21090">
        <w:rPr>
          <w:sz w:val="20"/>
          <w:szCs w:val="20"/>
        </w:rPr>
        <w:t xml:space="preserve">  </w:t>
      </w:r>
      <w:hyperlink r:id="rId19" w:history="1">
        <w:r w:rsidRPr="00A96A38">
          <w:rPr>
            <w:rStyle w:val="Hyperlink"/>
            <w:sz w:val="20"/>
            <w:szCs w:val="20"/>
          </w:rPr>
          <w:t>http://dx.doi.org/10.2139/ssrn.4695279</w:t>
        </w:r>
      </w:hyperlink>
    </w:p>
    <w:p w14:paraId="0BCEBF6D" w14:textId="157045D6" w:rsidR="00D21090" w:rsidRDefault="00D21090" w:rsidP="0052480F">
      <w:pPr>
        <w:tabs>
          <w:tab w:val="left" w:pos="426"/>
        </w:tabs>
        <w:rPr>
          <w:sz w:val="20"/>
          <w:szCs w:val="20"/>
        </w:rPr>
      </w:pPr>
      <w:r>
        <w:rPr>
          <w:sz w:val="20"/>
          <w:szCs w:val="20"/>
        </w:rPr>
        <w:t>[6]</w:t>
      </w:r>
      <w:r>
        <w:rPr>
          <w:sz w:val="20"/>
          <w:szCs w:val="20"/>
        </w:rPr>
        <w:tab/>
      </w:r>
      <w:r w:rsidRPr="00D21090">
        <w:rPr>
          <w:sz w:val="20"/>
          <w:szCs w:val="20"/>
        </w:rPr>
        <w:t>Le, T.H. (2024)</w:t>
      </w:r>
      <w:r w:rsidR="007A37C1">
        <w:rPr>
          <w:sz w:val="20"/>
          <w:szCs w:val="20"/>
        </w:rPr>
        <w:t>.</w:t>
      </w:r>
      <w:r w:rsidRPr="00D21090">
        <w:rPr>
          <w:sz w:val="20"/>
          <w:szCs w:val="20"/>
        </w:rPr>
        <w:t xml:space="preserve"> Forecasting value-at-risk and expected shortfall in emerging market: does forecast combination help? </w:t>
      </w:r>
      <w:r w:rsidRPr="00CB31E9">
        <w:rPr>
          <w:i/>
          <w:iCs/>
          <w:sz w:val="20"/>
          <w:szCs w:val="20"/>
        </w:rPr>
        <w:t>Journal of Risk Finance,</w:t>
      </w:r>
      <w:r w:rsidR="00CB31E9">
        <w:rPr>
          <w:i/>
          <w:iCs/>
          <w:sz w:val="20"/>
          <w:szCs w:val="20"/>
        </w:rPr>
        <w:t xml:space="preserve"> </w:t>
      </w:r>
      <w:r w:rsidRPr="00CB31E9">
        <w:rPr>
          <w:i/>
          <w:iCs/>
          <w:sz w:val="20"/>
          <w:szCs w:val="20"/>
        </w:rPr>
        <w:t>25</w:t>
      </w:r>
      <w:r w:rsidR="00CB31E9">
        <w:rPr>
          <w:sz w:val="20"/>
          <w:szCs w:val="20"/>
        </w:rPr>
        <w:t>(</w:t>
      </w:r>
      <w:r w:rsidRPr="00D21090">
        <w:rPr>
          <w:sz w:val="20"/>
          <w:szCs w:val="20"/>
        </w:rPr>
        <w:t>1</w:t>
      </w:r>
      <w:r w:rsidR="00CB31E9">
        <w:rPr>
          <w:sz w:val="20"/>
          <w:szCs w:val="20"/>
        </w:rPr>
        <w:t>)</w:t>
      </w:r>
      <w:r w:rsidRPr="00D21090">
        <w:rPr>
          <w:sz w:val="20"/>
          <w:szCs w:val="20"/>
        </w:rPr>
        <w:t xml:space="preserve">, 160-177. </w:t>
      </w:r>
      <w:hyperlink r:id="rId20" w:history="1">
        <w:r w:rsidRPr="00A96A38">
          <w:rPr>
            <w:rStyle w:val="Hyperlink"/>
            <w:sz w:val="20"/>
            <w:szCs w:val="20"/>
          </w:rPr>
          <w:t>https://doi.org/10.1108/JRF-06-2023-0137</w:t>
        </w:r>
      </w:hyperlink>
    </w:p>
    <w:p w14:paraId="4F311482" w14:textId="7C2782E0" w:rsidR="0052480F" w:rsidRDefault="00D21090" w:rsidP="00D21090">
      <w:pPr>
        <w:tabs>
          <w:tab w:val="left" w:pos="426"/>
        </w:tabs>
        <w:rPr>
          <w:sz w:val="20"/>
          <w:szCs w:val="20"/>
        </w:rPr>
      </w:pPr>
      <w:r>
        <w:rPr>
          <w:sz w:val="20"/>
          <w:szCs w:val="20"/>
        </w:rPr>
        <w:t>[7]</w:t>
      </w:r>
      <w:r>
        <w:rPr>
          <w:sz w:val="20"/>
          <w:szCs w:val="20"/>
        </w:rPr>
        <w:tab/>
      </w:r>
      <w:r w:rsidR="000B0B7F" w:rsidRPr="000B0B7F">
        <w:rPr>
          <w:sz w:val="20"/>
          <w:szCs w:val="20"/>
        </w:rPr>
        <w:t xml:space="preserve">Huang, A. H., Wang, H., &amp; Yang, Y. (2020). </w:t>
      </w:r>
      <w:proofErr w:type="spellStart"/>
      <w:r w:rsidR="000B0B7F" w:rsidRPr="000B0B7F">
        <w:rPr>
          <w:sz w:val="20"/>
          <w:szCs w:val="20"/>
        </w:rPr>
        <w:t>FinBERT</w:t>
      </w:r>
      <w:proofErr w:type="spellEnd"/>
      <w:r w:rsidR="000B0B7F" w:rsidRPr="000B0B7F">
        <w:rPr>
          <w:sz w:val="20"/>
          <w:szCs w:val="20"/>
        </w:rPr>
        <w:t xml:space="preserve"> – A large language model for extracting information from financial text. </w:t>
      </w:r>
      <w:r w:rsidR="000B0B7F" w:rsidRPr="000B0B7F">
        <w:rPr>
          <w:i/>
          <w:iCs/>
          <w:sz w:val="20"/>
          <w:szCs w:val="20"/>
        </w:rPr>
        <w:t>SSRN Electronic Journal</w:t>
      </w:r>
      <w:r w:rsidR="000B0B7F" w:rsidRPr="000B0B7F">
        <w:rPr>
          <w:sz w:val="20"/>
          <w:szCs w:val="20"/>
        </w:rPr>
        <w:t>.</w:t>
      </w:r>
      <w:r w:rsidRPr="00D21090">
        <w:rPr>
          <w:sz w:val="20"/>
          <w:szCs w:val="20"/>
        </w:rPr>
        <w:t xml:space="preserve"> </w:t>
      </w:r>
      <w:hyperlink r:id="rId21" w:history="1">
        <w:r w:rsidRPr="00A96A38">
          <w:rPr>
            <w:rStyle w:val="Hyperlink"/>
            <w:sz w:val="20"/>
            <w:szCs w:val="20"/>
          </w:rPr>
          <w:t>http://dx.doi.org/10.2139/ssrn.3910214</w:t>
        </w:r>
      </w:hyperlink>
    </w:p>
    <w:p w14:paraId="3C1BB3A9" w14:textId="4075B824" w:rsidR="00F71AA7" w:rsidRDefault="00F71AA7" w:rsidP="00D21090">
      <w:pPr>
        <w:tabs>
          <w:tab w:val="left" w:pos="426"/>
        </w:tabs>
      </w:pPr>
      <w:r>
        <w:rPr>
          <w:sz w:val="20"/>
          <w:szCs w:val="20"/>
        </w:rPr>
        <w:t>[8]</w:t>
      </w:r>
      <w:r w:rsidR="00E54E14">
        <w:rPr>
          <w:sz w:val="20"/>
          <w:szCs w:val="20"/>
        </w:rPr>
        <w:tab/>
      </w:r>
      <w:r w:rsidR="00274A4F" w:rsidRPr="00274A4F">
        <w:rPr>
          <w:sz w:val="20"/>
          <w:szCs w:val="20"/>
        </w:rPr>
        <w:t xml:space="preserve">Kaminsky, G., </w:t>
      </w:r>
      <w:proofErr w:type="spellStart"/>
      <w:r w:rsidR="00274A4F" w:rsidRPr="00274A4F">
        <w:rPr>
          <w:sz w:val="20"/>
          <w:szCs w:val="20"/>
        </w:rPr>
        <w:t>Lizondo</w:t>
      </w:r>
      <w:proofErr w:type="spellEnd"/>
      <w:r w:rsidR="00274A4F" w:rsidRPr="00274A4F">
        <w:rPr>
          <w:sz w:val="20"/>
          <w:szCs w:val="20"/>
        </w:rPr>
        <w:t xml:space="preserve">, S., &amp; Reinhart, C. M. (1998). Leading indicators of currency crises. </w:t>
      </w:r>
      <w:r w:rsidR="00274A4F" w:rsidRPr="00274A4F">
        <w:rPr>
          <w:i/>
          <w:iCs/>
          <w:sz w:val="20"/>
          <w:szCs w:val="20"/>
        </w:rPr>
        <w:t>IMF Staff Papers, 45</w:t>
      </w:r>
      <w:r w:rsidR="00274A4F" w:rsidRPr="00274A4F">
        <w:rPr>
          <w:sz w:val="20"/>
          <w:szCs w:val="20"/>
        </w:rPr>
        <w:t>(1), 1–48</w:t>
      </w:r>
      <w:r w:rsidR="00E54E14" w:rsidRPr="00E54E14">
        <w:rPr>
          <w:sz w:val="20"/>
          <w:szCs w:val="20"/>
        </w:rPr>
        <w:t xml:space="preserve"> </w:t>
      </w:r>
      <w:hyperlink r:id="rId22" w:history="1">
        <w:r w:rsidR="00E54E14" w:rsidRPr="00A96A38">
          <w:rPr>
            <w:rStyle w:val="Hyperlink"/>
            <w:sz w:val="20"/>
            <w:szCs w:val="20"/>
          </w:rPr>
          <w:t>https://EconPapers.repec.org/RePEc:pal:imfstp:v:45:y:1998:i:1:p:1-48</w:t>
        </w:r>
      </w:hyperlink>
    </w:p>
    <w:p w14:paraId="38880BD4" w14:textId="6B65A556" w:rsidR="00466C03" w:rsidRDefault="00334A96" w:rsidP="00334A96">
      <w:pPr>
        <w:tabs>
          <w:tab w:val="left" w:pos="426"/>
        </w:tabs>
        <w:rPr>
          <w:sz w:val="20"/>
          <w:szCs w:val="20"/>
        </w:rPr>
      </w:pPr>
      <w:r>
        <w:rPr>
          <w:sz w:val="20"/>
          <w:szCs w:val="20"/>
        </w:rPr>
        <w:t>[9]</w:t>
      </w:r>
      <w:r w:rsidR="0042047A">
        <w:tab/>
      </w:r>
      <w:r w:rsidR="0042047A" w:rsidRPr="0042047A">
        <w:rPr>
          <w:sz w:val="20"/>
          <w:szCs w:val="20"/>
        </w:rPr>
        <w:t xml:space="preserve">Kaminsky, G., &amp; Reinhart, C. M. (1999). The twin crises: The causes of banking and balance-of-payments problems. </w:t>
      </w:r>
      <w:r w:rsidR="0042047A" w:rsidRPr="0042047A">
        <w:rPr>
          <w:i/>
          <w:iCs/>
          <w:sz w:val="20"/>
          <w:szCs w:val="20"/>
        </w:rPr>
        <w:t>American Economic Review, 89</w:t>
      </w:r>
      <w:r w:rsidR="0042047A" w:rsidRPr="0042047A">
        <w:rPr>
          <w:sz w:val="20"/>
          <w:szCs w:val="20"/>
        </w:rPr>
        <w:t>(3), 473–500</w:t>
      </w:r>
      <w:r w:rsidRPr="00334A96">
        <w:rPr>
          <w:sz w:val="20"/>
          <w:szCs w:val="20"/>
        </w:rPr>
        <w:t>.</w:t>
      </w:r>
      <w:r w:rsidR="00466C03">
        <w:rPr>
          <w:sz w:val="20"/>
          <w:szCs w:val="20"/>
        </w:rPr>
        <w:t xml:space="preserve"> </w:t>
      </w:r>
      <w:hyperlink r:id="rId23" w:history="1">
        <w:r w:rsidR="00466C03" w:rsidRPr="00C41D9B">
          <w:rPr>
            <w:rStyle w:val="Hyperlink"/>
            <w:sz w:val="20"/>
            <w:szCs w:val="20"/>
          </w:rPr>
          <w:t>https://doi.org/10.1257/aer.89.3.473</w:t>
        </w:r>
      </w:hyperlink>
    </w:p>
    <w:p w14:paraId="6C9DDEBD" w14:textId="7A456039" w:rsidR="00EB3392" w:rsidRDefault="00EB3392" w:rsidP="00EB3392">
      <w:pPr>
        <w:tabs>
          <w:tab w:val="left" w:pos="426"/>
        </w:tabs>
        <w:rPr>
          <w:sz w:val="20"/>
          <w:szCs w:val="20"/>
        </w:rPr>
      </w:pPr>
      <w:r>
        <w:rPr>
          <w:sz w:val="20"/>
          <w:szCs w:val="20"/>
        </w:rPr>
        <w:t>[</w:t>
      </w:r>
      <w:r w:rsidR="00334A96">
        <w:rPr>
          <w:sz w:val="20"/>
          <w:szCs w:val="20"/>
        </w:rPr>
        <w:t>10</w:t>
      </w:r>
      <w:r>
        <w:rPr>
          <w:sz w:val="20"/>
          <w:szCs w:val="20"/>
        </w:rPr>
        <w:t>]</w:t>
      </w:r>
      <w:r w:rsidR="001D162E">
        <w:rPr>
          <w:sz w:val="20"/>
          <w:szCs w:val="20"/>
        </w:rPr>
        <w:tab/>
      </w:r>
      <w:proofErr w:type="spellStart"/>
      <w:r w:rsidR="00C15D15" w:rsidRPr="00C15D15">
        <w:rPr>
          <w:sz w:val="20"/>
          <w:szCs w:val="20"/>
        </w:rPr>
        <w:t>Jemović</w:t>
      </w:r>
      <w:proofErr w:type="spellEnd"/>
      <w:r w:rsidR="00C15D15" w:rsidRPr="00C15D15">
        <w:rPr>
          <w:sz w:val="20"/>
          <w:szCs w:val="20"/>
        </w:rPr>
        <w:t xml:space="preserve">, M., &amp; Marinković, S. (2019). Determinants of financial crises—An early warning system based on panel, logit regression. </w:t>
      </w:r>
      <w:r w:rsidR="00C15D15" w:rsidRPr="00C15D15">
        <w:rPr>
          <w:i/>
          <w:iCs/>
          <w:sz w:val="20"/>
          <w:szCs w:val="20"/>
        </w:rPr>
        <w:t>International Journal of Finance &amp; Economics, 24</w:t>
      </w:r>
      <w:r w:rsidR="00C15D15" w:rsidRPr="00C15D15">
        <w:rPr>
          <w:sz w:val="20"/>
          <w:szCs w:val="20"/>
        </w:rPr>
        <w:t>(4), 1–15</w:t>
      </w:r>
      <w:r w:rsidR="003B551F">
        <w:rPr>
          <w:sz w:val="20"/>
          <w:szCs w:val="20"/>
        </w:rPr>
        <w:t xml:space="preserve">. </w:t>
      </w:r>
      <w:hyperlink r:id="rId24" w:history="1">
        <w:r w:rsidR="003B551F" w:rsidRPr="00C41D9B">
          <w:rPr>
            <w:rStyle w:val="Hyperlink"/>
            <w:sz w:val="20"/>
            <w:szCs w:val="20"/>
          </w:rPr>
          <w:t>https://doi.org/10.1002/ijfe.1779</w:t>
        </w:r>
      </w:hyperlink>
    </w:p>
    <w:p w14:paraId="11CD6781" w14:textId="7A871907" w:rsidR="00791331" w:rsidRDefault="00791331" w:rsidP="00791331">
      <w:pPr>
        <w:tabs>
          <w:tab w:val="left" w:pos="426"/>
        </w:tabs>
        <w:rPr>
          <w:sz w:val="20"/>
          <w:szCs w:val="20"/>
        </w:rPr>
      </w:pPr>
      <w:r>
        <w:rPr>
          <w:sz w:val="20"/>
          <w:szCs w:val="20"/>
        </w:rPr>
        <w:t>[11]</w:t>
      </w:r>
      <w:r w:rsidR="001D162E">
        <w:rPr>
          <w:sz w:val="20"/>
          <w:szCs w:val="20"/>
        </w:rPr>
        <w:tab/>
      </w:r>
      <w:proofErr w:type="spellStart"/>
      <w:r w:rsidR="006B1105" w:rsidRPr="006B1105">
        <w:rPr>
          <w:sz w:val="20"/>
          <w:szCs w:val="20"/>
        </w:rPr>
        <w:t>Bussière</w:t>
      </w:r>
      <w:proofErr w:type="spellEnd"/>
      <w:r w:rsidR="006B1105" w:rsidRPr="006B1105">
        <w:rPr>
          <w:sz w:val="20"/>
          <w:szCs w:val="20"/>
        </w:rPr>
        <w:t xml:space="preserve">, M., &amp; Fratzscher, M. (2006). Towards a new early warning system of financial crises. </w:t>
      </w:r>
      <w:r w:rsidR="006B1105" w:rsidRPr="006B1105">
        <w:rPr>
          <w:i/>
          <w:iCs/>
          <w:sz w:val="20"/>
          <w:szCs w:val="20"/>
        </w:rPr>
        <w:t>Journal of International Money and Finance, 25</w:t>
      </w:r>
      <w:r w:rsidR="006B1105" w:rsidRPr="006B1105">
        <w:rPr>
          <w:sz w:val="20"/>
          <w:szCs w:val="20"/>
        </w:rPr>
        <w:t>(6), 953–973</w:t>
      </w:r>
      <w:r w:rsidR="006B1105">
        <w:rPr>
          <w:sz w:val="20"/>
          <w:szCs w:val="20"/>
        </w:rPr>
        <w:t xml:space="preserve">. </w:t>
      </w:r>
      <w:hyperlink r:id="rId25" w:history="1">
        <w:r w:rsidR="00466C03" w:rsidRPr="00C41D9B">
          <w:rPr>
            <w:rStyle w:val="Hyperlink"/>
            <w:sz w:val="20"/>
            <w:szCs w:val="20"/>
          </w:rPr>
          <w:t>https://doi.org/10.1016/j.jimonfin.2006.07.007</w:t>
        </w:r>
      </w:hyperlink>
      <w:r w:rsidRPr="00791331">
        <w:rPr>
          <w:sz w:val="20"/>
          <w:szCs w:val="20"/>
        </w:rPr>
        <w:t>.</w:t>
      </w:r>
    </w:p>
    <w:p w14:paraId="4659ECBF" w14:textId="0F5C2C49" w:rsidR="00466C03" w:rsidRDefault="001D162E" w:rsidP="00791331">
      <w:pPr>
        <w:tabs>
          <w:tab w:val="left" w:pos="426"/>
        </w:tabs>
        <w:rPr>
          <w:sz w:val="20"/>
          <w:szCs w:val="20"/>
        </w:rPr>
      </w:pPr>
      <w:r>
        <w:rPr>
          <w:sz w:val="20"/>
          <w:szCs w:val="20"/>
        </w:rPr>
        <w:t>[12]</w:t>
      </w:r>
      <w:r>
        <w:rPr>
          <w:sz w:val="20"/>
          <w:szCs w:val="20"/>
        </w:rPr>
        <w:tab/>
      </w:r>
      <w:r w:rsidRPr="001D162E">
        <w:rPr>
          <w:sz w:val="20"/>
          <w:szCs w:val="20"/>
        </w:rPr>
        <w:t xml:space="preserve">Parras-Gutiérrez, E., Rivas, V. M., García-Arenas, M., &amp; del Jesús, M. J. (2014). Short-, medium- and long-term forecasting of time series using the L-Co-R algorithm. </w:t>
      </w:r>
      <w:r w:rsidRPr="009E6193">
        <w:rPr>
          <w:i/>
          <w:iCs/>
          <w:sz w:val="20"/>
          <w:szCs w:val="20"/>
        </w:rPr>
        <w:t>Neurocomputing, 128</w:t>
      </w:r>
      <w:r w:rsidRPr="001D162E">
        <w:rPr>
          <w:sz w:val="20"/>
          <w:szCs w:val="20"/>
        </w:rPr>
        <w:t xml:space="preserve">, 433–446. </w:t>
      </w:r>
      <w:hyperlink r:id="rId26" w:history="1">
        <w:r w:rsidR="00202C33" w:rsidRPr="00EA6B1A">
          <w:rPr>
            <w:rStyle w:val="Hyperlink"/>
            <w:sz w:val="20"/>
            <w:szCs w:val="20"/>
          </w:rPr>
          <w:t>https://doi.org/10.1016/j.neucom.2013.08.023</w:t>
        </w:r>
      </w:hyperlink>
    </w:p>
    <w:p w14:paraId="06776ACB" w14:textId="517094D1" w:rsidR="00824480" w:rsidRDefault="009E6193" w:rsidP="00791331">
      <w:pPr>
        <w:tabs>
          <w:tab w:val="left" w:pos="426"/>
        </w:tabs>
        <w:rPr>
          <w:sz w:val="20"/>
          <w:szCs w:val="20"/>
        </w:rPr>
      </w:pPr>
      <w:r>
        <w:rPr>
          <w:sz w:val="20"/>
          <w:szCs w:val="20"/>
        </w:rPr>
        <w:t>[13]</w:t>
      </w:r>
      <w:r>
        <w:rPr>
          <w:sz w:val="20"/>
          <w:szCs w:val="20"/>
        </w:rPr>
        <w:tab/>
      </w:r>
      <w:proofErr w:type="spellStart"/>
      <w:r w:rsidRPr="009E6193">
        <w:rPr>
          <w:sz w:val="20"/>
          <w:szCs w:val="20"/>
        </w:rPr>
        <w:t>Budhidharma</w:t>
      </w:r>
      <w:proofErr w:type="spellEnd"/>
      <w:r w:rsidRPr="009E6193">
        <w:rPr>
          <w:sz w:val="20"/>
          <w:szCs w:val="20"/>
        </w:rPr>
        <w:t xml:space="preserve">, Valentino &amp; </w:t>
      </w:r>
      <w:proofErr w:type="spellStart"/>
      <w:r w:rsidRPr="009E6193">
        <w:rPr>
          <w:sz w:val="20"/>
          <w:szCs w:val="20"/>
        </w:rPr>
        <w:t>Sembel</w:t>
      </w:r>
      <w:proofErr w:type="spellEnd"/>
      <w:r w:rsidRPr="009E6193">
        <w:rPr>
          <w:sz w:val="20"/>
          <w:szCs w:val="20"/>
        </w:rPr>
        <w:t xml:space="preserve">, Roy &amp; Hulu, Edison &amp; </w:t>
      </w:r>
      <w:proofErr w:type="spellStart"/>
      <w:r w:rsidRPr="009E6193">
        <w:rPr>
          <w:sz w:val="20"/>
          <w:szCs w:val="20"/>
        </w:rPr>
        <w:t>Ugut</w:t>
      </w:r>
      <w:proofErr w:type="spellEnd"/>
      <w:r w:rsidRPr="009E6193">
        <w:rPr>
          <w:sz w:val="20"/>
          <w:szCs w:val="20"/>
        </w:rPr>
        <w:t xml:space="preserve">, Gracia. (2023). Early warning signs of financial distress using random forest and logit model. </w:t>
      </w:r>
      <w:r w:rsidRPr="009E6193">
        <w:rPr>
          <w:i/>
          <w:iCs/>
          <w:sz w:val="20"/>
          <w:szCs w:val="20"/>
        </w:rPr>
        <w:t>Corporate and Business Strategy Review, 4</w:t>
      </w:r>
      <w:r>
        <w:rPr>
          <w:sz w:val="20"/>
          <w:szCs w:val="20"/>
        </w:rPr>
        <w:t>,</w:t>
      </w:r>
      <w:r w:rsidRPr="009E6193">
        <w:rPr>
          <w:sz w:val="20"/>
          <w:szCs w:val="20"/>
        </w:rPr>
        <w:t xml:space="preserve"> 69-88.</w:t>
      </w:r>
      <w:r w:rsidR="00824480">
        <w:rPr>
          <w:sz w:val="20"/>
          <w:szCs w:val="20"/>
        </w:rPr>
        <w:t xml:space="preserve"> </w:t>
      </w:r>
      <w:hyperlink r:id="rId27" w:history="1">
        <w:r w:rsidR="00824480" w:rsidRPr="00EA6B1A">
          <w:rPr>
            <w:rStyle w:val="Hyperlink"/>
            <w:sz w:val="20"/>
            <w:szCs w:val="20"/>
          </w:rPr>
          <w:t>https://doi.org/10.22495/cbsrv4i4art8</w:t>
        </w:r>
      </w:hyperlink>
    </w:p>
    <w:p w14:paraId="20D357FA" w14:textId="765D44D1" w:rsidR="00824480" w:rsidRDefault="00824480" w:rsidP="00204FBB">
      <w:pPr>
        <w:tabs>
          <w:tab w:val="left" w:pos="426"/>
        </w:tabs>
        <w:rPr>
          <w:sz w:val="20"/>
          <w:szCs w:val="20"/>
        </w:rPr>
      </w:pPr>
      <w:r>
        <w:rPr>
          <w:sz w:val="20"/>
          <w:szCs w:val="20"/>
        </w:rPr>
        <w:lastRenderedPageBreak/>
        <w:t xml:space="preserve">[14] </w:t>
      </w:r>
      <w:r w:rsidR="00204FBB" w:rsidRPr="00204FBB">
        <w:rPr>
          <w:sz w:val="20"/>
          <w:szCs w:val="20"/>
        </w:rPr>
        <w:t xml:space="preserve">Chawla, N. V., Bowyer, K. W., Hall, L. O., &amp; </w:t>
      </w:r>
      <w:proofErr w:type="spellStart"/>
      <w:r w:rsidR="00204FBB" w:rsidRPr="00204FBB">
        <w:rPr>
          <w:sz w:val="20"/>
          <w:szCs w:val="20"/>
        </w:rPr>
        <w:t>Kegelmeyer</w:t>
      </w:r>
      <w:proofErr w:type="spellEnd"/>
      <w:r w:rsidR="00204FBB" w:rsidRPr="00204FBB">
        <w:rPr>
          <w:sz w:val="20"/>
          <w:szCs w:val="20"/>
        </w:rPr>
        <w:t>, W. P. (2002). SMOTE: Synthetic minority over-sampling technique</w:t>
      </w:r>
      <w:r w:rsidR="00204FBB" w:rsidRPr="00204FBB">
        <w:rPr>
          <w:i/>
          <w:iCs/>
          <w:sz w:val="20"/>
          <w:szCs w:val="20"/>
        </w:rPr>
        <w:t>. Journal of Artificial Intelligence Research, 16</w:t>
      </w:r>
      <w:r w:rsidR="00204FBB" w:rsidRPr="00204FBB">
        <w:rPr>
          <w:sz w:val="20"/>
          <w:szCs w:val="20"/>
        </w:rPr>
        <w:t xml:space="preserve">, 321–357. </w:t>
      </w:r>
      <w:hyperlink r:id="rId28" w:history="1">
        <w:r w:rsidR="00F15D34" w:rsidRPr="00783D8C">
          <w:rPr>
            <w:rStyle w:val="Hyperlink"/>
            <w:sz w:val="20"/>
            <w:szCs w:val="20"/>
          </w:rPr>
          <w:t>https://doi.org/10.1613/jair.953</w:t>
        </w:r>
      </w:hyperlink>
    </w:p>
    <w:p w14:paraId="062067ED" w14:textId="5B4F5206" w:rsidR="00824480" w:rsidRDefault="00F15D34" w:rsidP="00791331">
      <w:pPr>
        <w:tabs>
          <w:tab w:val="left" w:pos="426"/>
        </w:tabs>
        <w:rPr>
          <w:sz w:val="20"/>
          <w:szCs w:val="20"/>
        </w:rPr>
      </w:pPr>
      <w:r>
        <w:rPr>
          <w:sz w:val="20"/>
          <w:szCs w:val="20"/>
        </w:rPr>
        <w:t>[15]</w:t>
      </w:r>
      <w:r w:rsidR="00D40085">
        <w:rPr>
          <w:sz w:val="20"/>
          <w:szCs w:val="20"/>
        </w:rPr>
        <w:tab/>
      </w:r>
      <w:r w:rsidRPr="00F15D34">
        <w:rPr>
          <w:sz w:val="20"/>
          <w:szCs w:val="20"/>
        </w:rPr>
        <w:t>Box, G.E.P., Jenkins, G.M. and Reinsel, G.C. (2008)</w:t>
      </w:r>
      <w:r>
        <w:rPr>
          <w:sz w:val="20"/>
          <w:szCs w:val="20"/>
        </w:rPr>
        <w:t>.</w:t>
      </w:r>
      <w:r w:rsidRPr="00F15D34">
        <w:rPr>
          <w:sz w:val="20"/>
          <w:szCs w:val="20"/>
        </w:rPr>
        <w:t xml:space="preserve"> Time Series Analysis: Forecasting and Control. 4th Edition, </w:t>
      </w:r>
      <w:r w:rsidRPr="00F15D34">
        <w:rPr>
          <w:i/>
          <w:iCs/>
          <w:sz w:val="20"/>
          <w:szCs w:val="20"/>
        </w:rPr>
        <w:t>Wiley, Oxford</w:t>
      </w:r>
      <w:r w:rsidRPr="00F15D34">
        <w:rPr>
          <w:sz w:val="20"/>
          <w:szCs w:val="20"/>
        </w:rPr>
        <w:t xml:space="preserve">. </w:t>
      </w:r>
      <w:hyperlink r:id="rId29" w:history="1">
        <w:r w:rsidRPr="00783D8C">
          <w:rPr>
            <w:rStyle w:val="Hyperlink"/>
            <w:sz w:val="20"/>
            <w:szCs w:val="20"/>
          </w:rPr>
          <w:t>https://doi.org/10.1002/9781118619193</w:t>
        </w:r>
      </w:hyperlink>
    </w:p>
    <w:p w14:paraId="728295A6" w14:textId="6E0D265C" w:rsidR="00F15D34" w:rsidRDefault="00686240" w:rsidP="001F644D">
      <w:pPr>
        <w:tabs>
          <w:tab w:val="left" w:pos="426"/>
        </w:tabs>
        <w:rPr>
          <w:sz w:val="20"/>
          <w:szCs w:val="20"/>
        </w:rPr>
      </w:pPr>
      <w:r>
        <w:rPr>
          <w:sz w:val="20"/>
          <w:szCs w:val="20"/>
        </w:rPr>
        <w:t>[16]</w:t>
      </w:r>
      <w:r>
        <w:rPr>
          <w:sz w:val="20"/>
          <w:szCs w:val="20"/>
        </w:rPr>
        <w:tab/>
      </w:r>
      <w:r w:rsidRPr="00686240">
        <w:rPr>
          <w:sz w:val="20"/>
          <w:szCs w:val="20"/>
        </w:rPr>
        <w:t>Hiew</w:t>
      </w:r>
      <w:r>
        <w:rPr>
          <w:sz w:val="20"/>
          <w:szCs w:val="20"/>
        </w:rPr>
        <w:t xml:space="preserve"> </w:t>
      </w:r>
      <w:r w:rsidRPr="00686240">
        <w:rPr>
          <w:sz w:val="20"/>
          <w:szCs w:val="20"/>
        </w:rPr>
        <w:t>J</w:t>
      </w:r>
      <w:r>
        <w:rPr>
          <w:sz w:val="20"/>
          <w:szCs w:val="20"/>
        </w:rPr>
        <w:t xml:space="preserve">. </w:t>
      </w:r>
      <w:r w:rsidRPr="00686240">
        <w:rPr>
          <w:sz w:val="20"/>
          <w:szCs w:val="20"/>
        </w:rPr>
        <w:t>Z</w:t>
      </w:r>
      <w:r>
        <w:rPr>
          <w:sz w:val="20"/>
          <w:szCs w:val="20"/>
        </w:rPr>
        <w:t xml:space="preserve">. </w:t>
      </w:r>
      <w:r w:rsidRPr="00686240">
        <w:rPr>
          <w:sz w:val="20"/>
          <w:szCs w:val="20"/>
        </w:rPr>
        <w:t>G</w:t>
      </w:r>
      <w:r>
        <w:rPr>
          <w:sz w:val="20"/>
          <w:szCs w:val="20"/>
        </w:rPr>
        <w:t>.</w:t>
      </w:r>
      <w:r w:rsidRPr="00686240">
        <w:rPr>
          <w:sz w:val="20"/>
          <w:szCs w:val="20"/>
        </w:rPr>
        <w:t>,</w:t>
      </w:r>
      <w:r>
        <w:rPr>
          <w:sz w:val="20"/>
          <w:szCs w:val="20"/>
        </w:rPr>
        <w:t xml:space="preserve"> </w:t>
      </w:r>
      <w:r w:rsidRPr="00686240">
        <w:rPr>
          <w:sz w:val="20"/>
          <w:szCs w:val="20"/>
        </w:rPr>
        <w:t>Huang</w:t>
      </w:r>
      <w:r>
        <w:rPr>
          <w:sz w:val="20"/>
          <w:szCs w:val="20"/>
        </w:rPr>
        <w:t xml:space="preserve"> </w:t>
      </w:r>
      <w:r w:rsidRPr="00686240">
        <w:rPr>
          <w:sz w:val="20"/>
          <w:szCs w:val="20"/>
        </w:rPr>
        <w:t>X</w:t>
      </w:r>
      <w:r>
        <w:rPr>
          <w:sz w:val="20"/>
          <w:szCs w:val="20"/>
        </w:rPr>
        <w:t>.</w:t>
      </w:r>
      <w:r w:rsidRPr="00686240">
        <w:rPr>
          <w:sz w:val="20"/>
          <w:szCs w:val="20"/>
        </w:rPr>
        <w:t>,</w:t>
      </w:r>
      <w:r>
        <w:rPr>
          <w:sz w:val="20"/>
          <w:szCs w:val="20"/>
        </w:rPr>
        <w:t xml:space="preserve"> </w:t>
      </w:r>
      <w:r w:rsidRPr="00686240">
        <w:rPr>
          <w:sz w:val="20"/>
          <w:szCs w:val="20"/>
        </w:rPr>
        <w:t>Mou</w:t>
      </w:r>
      <w:r>
        <w:rPr>
          <w:sz w:val="20"/>
          <w:szCs w:val="20"/>
        </w:rPr>
        <w:t xml:space="preserve"> </w:t>
      </w:r>
      <w:r w:rsidRPr="00686240">
        <w:rPr>
          <w:sz w:val="20"/>
          <w:szCs w:val="20"/>
        </w:rPr>
        <w:t>H</w:t>
      </w:r>
      <w:r>
        <w:rPr>
          <w:sz w:val="20"/>
          <w:szCs w:val="20"/>
        </w:rPr>
        <w:t>.</w:t>
      </w:r>
      <w:r w:rsidRPr="00686240">
        <w:rPr>
          <w:sz w:val="20"/>
          <w:szCs w:val="20"/>
        </w:rPr>
        <w:t>,</w:t>
      </w:r>
      <w:r>
        <w:rPr>
          <w:sz w:val="20"/>
          <w:szCs w:val="20"/>
        </w:rPr>
        <w:t xml:space="preserve"> </w:t>
      </w:r>
      <w:r w:rsidRPr="00686240">
        <w:rPr>
          <w:sz w:val="20"/>
          <w:szCs w:val="20"/>
        </w:rPr>
        <w:t>Li</w:t>
      </w:r>
      <w:r>
        <w:rPr>
          <w:sz w:val="20"/>
          <w:szCs w:val="20"/>
        </w:rPr>
        <w:t xml:space="preserve"> </w:t>
      </w:r>
      <w:r w:rsidRPr="00686240">
        <w:rPr>
          <w:sz w:val="20"/>
          <w:szCs w:val="20"/>
        </w:rPr>
        <w:t>D</w:t>
      </w:r>
      <w:r>
        <w:rPr>
          <w:sz w:val="20"/>
          <w:szCs w:val="20"/>
        </w:rPr>
        <w:t>.</w:t>
      </w:r>
      <w:r w:rsidRPr="00686240">
        <w:rPr>
          <w:sz w:val="20"/>
          <w:szCs w:val="20"/>
        </w:rPr>
        <w:t>,</w:t>
      </w:r>
      <w:r>
        <w:rPr>
          <w:sz w:val="20"/>
          <w:szCs w:val="20"/>
        </w:rPr>
        <w:t xml:space="preserve"> </w:t>
      </w:r>
      <w:r w:rsidRPr="00686240">
        <w:rPr>
          <w:sz w:val="20"/>
          <w:szCs w:val="20"/>
        </w:rPr>
        <w:t>Wu</w:t>
      </w:r>
      <w:r>
        <w:rPr>
          <w:sz w:val="20"/>
          <w:szCs w:val="20"/>
        </w:rPr>
        <w:t xml:space="preserve"> </w:t>
      </w:r>
      <w:r w:rsidRPr="00686240">
        <w:rPr>
          <w:sz w:val="20"/>
          <w:szCs w:val="20"/>
        </w:rPr>
        <w:t>Q</w:t>
      </w:r>
      <w:r>
        <w:rPr>
          <w:sz w:val="20"/>
          <w:szCs w:val="20"/>
        </w:rPr>
        <w:t>.</w:t>
      </w:r>
      <w:r w:rsidRPr="00686240">
        <w:rPr>
          <w:sz w:val="20"/>
          <w:szCs w:val="20"/>
        </w:rPr>
        <w:t>,</w:t>
      </w:r>
      <w:r>
        <w:rPr>
          <w:sz w:val="20"/>
          <w:szCs w:val="20"/>
        </w:rPr>
        <w:t xml:space="preserve"> </w:t>
      </w:r>
      <w:r w:rsidRPr="00686240">
        <w:rPr>
          <w:sz w:val="20"/>
          <w:szCs w:val="20"/>
        </w:rPr>
        <w:t>Xu</w:t>
      </w:r>
      <w:r>
        <w:rPr>
          <w:sz w:val="20"/>
          <w:szCs w:val="20"/>
        </w:rPr>
        <w:t xml:space="preserve"> </w:t>
      </w:r>
      <w:r w:rsidRPr="00686240">
        <w:rPr>
          <w:sz w:val="20"/>
          <w:szCs w:val="20"/>
        </w:rPr>
        <w:t>Y.</w:t>
      </w:r>
      <w:r>
        <w:rPr>
          <w:sz w:val="20"/>
          <w:szCs w:val="20"/>
        </w:rPr>
        <w:t xml:space="preserve"> (</w:t>
      </w:r>
      <w:r w:rsidRPr="00686240">
        <w:rPr>
          <w:sz w:val="20"/>
          <w:szCs w:val="20"/>
        </w:rPr>
        <w:t>2019</w:t>
      </w:r>
      <w:r>
        <w:rPr>
          <w:sz w:val="20"/>
          <w:szCs w:val="20"/>
        </w:rPr>
        <w:t>)</w:t>
      </w:r>
      <w:r w:rsidRPr="00686240">
        <w:rPr>
          <w:sz w:val="20"/>
          <w:szCs w:val="20"/>
        </w:rPr>
        <w:t>.</w:t>
      </w:r>
      <w:r>
        <w:rPr>
          <w:sz w:val="20"/>
          <w:szCs w:val="20"/>
        </w:rPr>
        <w:t xml:space="preserve"> </w:t>
      </w:r>
      <w:r w:rsidRPr="00686240">
        <w:rPr>
          <w:sz w:val="20"/>
          <w:szCs w:val="20"/>
        </w:rPr>
        <w:t>BERT-based</w:t>
      </w:r>
      <w:r>
        <w:rPr>
          <w:sz w:val="20"/>
          <w:szCs w:val="20"/>
        </w:rPr>
        <w:t xml:space="preserve"> </w:t>
      </w:r>
      <w:r w:rsidRPr="00686240">
        <w:rPr>
          <w:sz w:val="20"/>
          <w:szCs w:val="20"/>
        </w:rPr>
        <w:t>financial</w:t>
      </w:r>
      <w:r>
        <w:rPr>
          <w:sz w:val="20"/>
          <w:szCs w:val="20"/>
        </w:rPr>
        <w:t xml:space="preserve"> </w:t>
      </w:r>
      <w:r w:rsidRPr="00686240">
        <w:rPr>
          <w:sz w:val="20"/>
          <w:szCs w:val="20"/>
        </w:rPr>
        <w:t xml:space="preserve">sentiment index and LSTM-based stock return predictability. </w:t>
      </w:r>
      <w:r w:rsidR="001F644D" w:rsidRPr="001F644D">
        <w:rPr>
          <w:i/>
          <w:iCs/>
          <w:sz w:val="20"/>
          <w:szCs w:val="20"/>
        </w:rPr>
        <w:tab/>
        <w:t>Statistical Finance</w:t>
      </w:r>
      <w:r w:rsidR="001F644D">
        <w:rPr>
          <w:sz w:val="20"/>
          <w:szCs w:val="20"/>
        </w:rPr>
        <w:t xml:space="preserve"> </w:t>
      </w:r>
      <w:r w:rsidRPr="001F644D">
        <w:rPr>
          <w:i/>
          <w:iCs/>
          <w:sz w:val="20"/>
          <w:szCs w:val="20"/>
        </w:rPr>
        <w:t>[q-fin.ST]</w:t>
      </w:r>
      <w:r w:rsidR="001F644D">
        <w:rPr>
          <w:sz w:val="20"/>
          <w:szCs w:val="20"/>
        </w:rPr>
        <w:t>,</w:t>
      </w:r>
      <w:r w:rsidRPr="00686240">
        <w:rPr>
          <w:sz w:val="20"/>
          <w:szCs w:val="20"/>
        </w:rPr>
        <w:t xml:space="preserve"> </w:t>
      </w:r>
      <w:proofErr w:type="spellStart"/>
      <w:r w:rsidRPr="00686240">
        <w:rPr>
          <w:sz w:val="20"/>
          <w:szCs w:val="20"/>
        </w:rPr>
        <w:t>ArXiv</w:t>
      </w:r>
      <w:proofErr w:type="spellEnd"/>
      <w:r w:rsidRPr="00686240">
        <w:rPr>
          <w:sz w:val="20"/>
          <w:szCs w:val="20"/>
        </w:rPr>
        <w:t xml:space="preserve"> preprint. arXiv:1906.09024</w:t>
      </w:r>
      <w:r w:rsidR="001F644D">
        <w:rPr>
          <w:sz w:val="20"/>
          <w:szCs w:val="20"/>
        </w:rPr>
        <w:t xml:space="preserve">. </w:t>
      </w:r>
      <w:hyperlink r:id="rId30" w:history="1">
        <w:r w:rsidR="00201E1E" w:rsidRPr="00F0596A">
          <w:rPr>
            <w:rStyle w:val="Hyperlink"/>
            <w:sz w:val="20"/>
            <w:szCs w:val="20"/>
          </w:rPr>
          <w:t>https://doi.org/10.48550/arXiv.1906.09024</w:t>
        </w:r>
      </w:hyperlink>
    </w:p>
    <w:p w14:paraId="481FCCE3" w14:textId="7D97A8A1" w:rsidR="00686240" w:rsidRDefault="00201E1E" w:rsidP="00686240">
      <w:pPr>
        <w:tabs>
          <w:tab w:val="left" w:pos="426"/>
        </w:tabs>
        <w:rPr>
          <w:sz w:val="20"/>
          <w:szCs w:val="20"/>
        </w:rPr>
      </w:pPr>
      <w:r>
        <w:rPr>
          <w:sz w:val="20"/>
          <w:szCs w:val="20"/>
        </w:rPr>
        <w:t>[17]</w:t>
      </w:r>
      <w:r w:rsidR="006214F6">
        <w:rPr>
          <w:sz w:val="20"/>
          <w:szCs w:val="20"/>
        </w:rPr>
        <w:tab/>
      </w:r>
      <w:r w:rsidRPr="00201E1E">
        <w:rPr>
          <w:sz w:val="20"/>
          <w:szCs w:val="20"/>
        </w:rPr>
        <w:t>Bonde, G.</w:t>
      </w:r>
      <w:r>
        <w:rPr>
          <w:sz w:val="20"/>
          <w:szCs w:val="20"/>
        </w:rPr>
        <w:t xml:space="preserve"> </w:t>
      </w:r>
      <w:r w:rsidRPr="00201E1E">
        <w:rPr>
          <w:sz w:val="20"/>
          <w:szCs w:val="20"/>
        </w:rPr>
        <w:t>Khaled</w:t>
      </w:r>
      <w:r>
        <w:rPr>
          <w:sz w:val="20"/>
          <w:szCs w:val="20"/>
        </w:rPr>
        <w:t xml:space="preserve"> R.</w:t>
      </w:r>
      <w:r w:rsidRPr="00201E1E">
        <w:rPr>
          <w:sz w:val="20"/>
          <w:szCs w:val="20"/>
        </w:rPr>
        <w:t xml:space="preserve"> (2012). Extracting the best features for predicting stock prices using machine learning.</w:t>
      </w:r>
      <w:r>
        <w:rPr>
          <w:sz w:val="20"/>
          <w:szCs w:val="20"/>
        </w:rPr>
        <w:t xml:space="preserve"> </w:t>
      </w:r>
      <w:r w:rsidRPr="00201E1E">
        <w:rPr>
          <w:i/>
          <w:iCs/>
          <w:sz w:val="20"/>
          <w:szCs w:val="20"/>
        </w:rPr>
        <w:t>Institute of Artificial Intelligence</w:t>
      </w:r>
      <w:r w:rsidR="009458D2">
        <w:rPr>
          <w:i/>
          <w:iCs/>
          <w:sz w:val="20"/>
          <w:szCs w:val="20"/>
        </w:rPr>
        <w:t>,</w:t>
      </w:r>
      <w:r w:rsidRPr="00201E1E">
        <w:rPr>
          <w:i/>
          <w:iCs/>
          <w:sz w:val="20"/>
          <w:szCs w:val="20"/>
        </w:rPr>
        <w:t xml:space="preserve"> University </w:t>
      </w:r>
      <w:proofErr w:type="gramStart"/>
      <w:r w:rsidRPr="00201E1E">
        <w:rPr>
          <w:i/>
          <w:iCs/>
          <w:sz w:val="20"/>
          <w:szCs w:val="20"/>
        </w:rPr>
        <w:t>Of</w:t>
      </w:r>
      <w:proofErr w:type="gramEnd"/>
      <w:r w:rsidRPr="00201E1E">
        <w:rPr>
          <w:i/>
          <w:iCs/>
          <w:sz w:val="20"/>
          <w:szCs w:val="20"/>
        </w:rPr>
        <w:t xml:space="preserve"> Georgia Athens,</w:t>
      </w:r>
      <w:r>
        <w:rPr>
          <w:i/>
          <w:iCs/>
          <w:sz w:val="20"/>
          <w:szCs w:val="20"/>
        </w:rPr>
        <w:t xml:space="preserve"> </w:t>
      </w:r>
      <w:r w:rsidRPr="00201E1E">
        <w:rPr>
          <w:i/>
          <w:iCs/>
          <w:sz w:val="20"/>
          <w:szCs w:val="20"/>
        </w:rPr>
        <w:t>GA-30601</w:t>
      </w:r>
      <w:r>
        <w:rPr>
          <w:sz w:val="20"/>
          <w:szCs w:val="20"/>
        </w:rPr>
        <w:t xml:space="preserve">, </w:t>
      </w:r>
      <w:hyperlink r:id="rId31" w:history="1">
        <w:r w:rsidR="007B30E2" w:rsidRPr="00F0596A">
          <w:rPr>
            <w:rStyle w:val="Hyperlink"/>
            <w:sz w:val="20"/>
            <w:szCs w:val="20"/>
          </w:rPr>
          <w:t>https://api.semanticscholar.org/CorpusID:252608319</w:t>
        </w:r>
      </w:hyperlink>
    </w:p>
    <w:p w14:paraId="13D9684C" w14:textId="24A761D4" w:rsidR="003B551F" w:rsidRDefault="006214F6" w:rsidP="006214F6">
      <w:pPr>
        <w:tabs>
          <w:tab w:val="left" w:pos="426"/>
        </w:tabs>
        <w:rPr>
          <w:sz w:val="20"/>
          <w:szCs w:val="20"/>
        </w:rPr>
      </w:pPr>
      <w:r>
        <w:rPr>
          <w:sz w:val="20"/>
          <w:szCs w:val="20"/>
        </w:rPr>
        <w:t>[18]</w:t>
      </w:r>
      <w:r>
        <w:rPr>
          <w:sz w:val="20"/>
          <w:szCs w:val="20"/>
        </w:rPr>
        <w:tab/>
      </w:r>
      <w:r w:rsidRPr="006214F6">
        <w:rPr>
          <w:sz w:val="20"/>
          <w:szCs w:val="20"/>
        </w:rPr>
        <w:t>Bollerslev</w:t>
      </w:r>
      <w:r>
        <w:rPr>
          <w:sz w:val="20"/>
          <w:szCs w:val="20"/>
        </w:rPr>
        <w:t xml:space="preserve"> T. (1986)</w:t>
      </w:r>
      <w:r w:rsidRPr="006214F6">
        <w:rPr>
          <w:sz w:val="20"/>
          <w:szCs w:val="20"/>
        </w:rPr>
        <w:t>,</w:t>
      </w:r>
      <w:r>
        <w:rPr>
          <w:sz w:val="20"/>
          <w:szCs w:val="20"/>
        </w:rPr>
        <w:t xml:space="preserve"> </w:t>
      </w:r>
      <w:r w:rsidRPr="006214F6">
        <w:rPr>
          <w:sz w:val="20"/>
          <w:szCs w:val="20"/>
        </w:rPr>
        <w:t>Generalized autoregressive conditional heteroskedasticity,</w:t>
      </w:r>
      <w:r>
        <w:rPr>
          <w:sz w:val="20"/>
          <w:szCs w:val="20"/>
        </w:rPr>
        <w:t xml:space="preserve"> </w:t>
      </w:r>
      <w:r w:rsidRPr="006214F6">
        <w:rPr>
          <w:i/>
          <w:iCs/>
          <w:sz w:val="20"/>
          <w:szCs w:val="20"/>
        </w:rPr>
        <w:t>Journal of Econometrics, 31</w:t>
      </w:r>
      <w:r>
        <w:rPr>
          <w:sz w:val="20"/>
          <w:szCs w:val="20"/>
        </w:rPr>
        <w:t>(</w:t>
      </w:r>
      <w:r w:rsidRPr="006214F6">
        <w:rPr>
          <w:sz w:val="20"/>
          <w:szCs w:val="20"/>
        </w:rPr>
        <w:t>3</w:t>
      </w:r>
      <w:r>
        <w:rPr>
          <w:sz w:val="20"/>
          <w:szCs w:val="20"/>
        </w:rPr>
        <w:t>)</w:t>
      </w:r>
      <w:r w:rsidRPr="006214F6">
        <w:rPr>
          <w:sz w:val="20"/>
          <w:szCs w:val="20"/>
        </w:rPr>
        <w:t>,</w:t>
      </w:r>
      <w:r>
        <w:rPr>
          <w:sz w:val="20"/>
          <w:szCs w:val="20"/>
        </w:rPr>
        <w:t xml:space="preserve"> </w:t>
      </w:r>
      <w:r w:rsidRPr="006214F6">
        <w:rPr>
          <w:sz w:val="20"/>
          <w:szCs w:val="20"/>
        </w:rPr>
        <w:t>307-327,</w:t>
      </w:r>
      <w:r>
        <w:rPr>
          <w:sz w:val="20"/>
          <w:szCs w:val="20"/>
        </w:rPr>
        <w:t xml:space="preserve"> </w:t>
      </w:r>
      <w:hyperlink r:id="rId32" w:history="1">
        <w:r w:rsidRPr="00F0596A">
          <w:rPr>
            <w:rStyle w:val="Hyperlink"/>
            <w:sz w:val="20"/>
            <w:szCs w:val="20"/>
          </w:rPr>
          <w:t>https://doi.org/10.1016/0304-4076(86)90063-1</w:t>
        </w:r>
      </w:hyperlink>
    </w:p>
    <w:p w14:paraId="3CDC729A" w14:textId="799DEF63" w:rsidR="006214F6" w:rsidRDefault="00CF2836" w:rsidP="006214F6">
      <w:pPr>
        <w:tabs>
          <w:tab w:val="left" w:pos="426"/>
        </w:tabs>
        <w:rPr>
          <w:sz w:val="20"/>
          <w:szCs w:val="20"/>
        </w:rPr>
      </w:pPr>
      <w:r>
        <w:rPr>
          <w:sz w:val="20"/>
          <w:szCs w:val="20"/>
        </w:rPr>
        <w:t>[19]</w:t>
      </w:r>
      <w:r>
        <w:rPr>
          <w:sz w:val="20"/>
          <w:szCs w:val="20"/>
        </w:rPr>
        <w:tab/>
      </w:r>
      <w:r w:rsidRPr="00CF2836">
        <w:rPr>
          <w:sz w:val="20"/>
          <w:szCs w:val="20"/>
        </w:rPr>
        <w:t xml:space="preserve">Engle R. F., &amp; Manganelli, S. (2004). </w:t>
      </w:r>
      <w:proofErr w:type="spellStart"/>
      <w:r w:rsidRPr="00CF2836">
        <w:rPr>
          <w:sz w:val="20"/>
          <w:szCs w:val="20"/>
        </w:rPr>
        <w:t>CAViaR</w:t>
      </w:r>
      <w:proofErr w:type="spellEnd"/>
      <w:r w:rsidRPr="00CF2836">
        <w:rPr>
          <w:sz w:val="20"/>
          <w:szCs w:val="20"/>
        </w:rPr>
        <w:t xml:space="preserve">: Conditional Autoregressive Value at Risk by Regression Quantiles. </w:t>
      </w:r>
      <w:r w:rsidRPr="00CF2836">
        <w:rPr>
          <w:i/>
          <w:iCs/>
          <w:sz w:val="20"/>
          <w:szCs w:val="20"/>
        </w:rPr>
        <w:t>Journal of Business &amp; Economic Statistics, 22</w:t>
      </w:r>
      <w:r w:rsidRPr="00CF2836">
        <w:rPr>
          <w:sz w:val="20"/>
          <w:szCs w:val="20"/>
        </w:rPr>
        <w:t xml:space="preserve">(4), 367–381. </w:t>
      </w:r>
      <w:hyperlink r:id="rId33" w:history="1">
        <w:r w:rsidR="00964BE1" w:rsidRPr="00F0596A">
          <w:rPr>
            <w:rStyle w:val="Hyperlink"/>
            <w:sz w:val="20"/>
            <w:szCs w:val="20"/>
          </w:rPr>
          <w:t>https://doi.org/10.1198/073500104000000370</w:t>
        </w:r>
      </w:hyperlink>
    </w:p>
    <w:p w14:paraId="48BAE98E" w14:textId="536663B2" w:rsidR="00964BE1" w:rsidRDefault="00560757" w:rsidP="00560757">
      <w:pPr>
        <w:tabs>
          <w:tab w:val="left" w:pos="426"/>
        </w:tabs>
        <w:rPr>
          <w:sz w:val="20"/>
          <w:szCs w:val="20"/>
        </w:rPr>
      </w:pPr>
      <w:r>
        <w:rPr>
          <w:sz w:val="20"/>
          <w:szCs w:val="20"/>
        </w:rPr>
        <w:t>[20]</w:t>
      </w:r>
      <w:r>
        <w:rPr>
          <w:sz w:val="20"/>
          <w:szCs w:val="20"/>
        </w:rPr>
        <w:tab/>
      </w:r>
      <w:r w:rsidRPr="00560757">
        <w:rPr>
          <w:sz w:val="20"/>
          <w:szCs w:val="20"/>
        </w:rPr>
        <w:t>Andreou</w:t>
      </w:r>
      <w:r>
        <w:rPr>
          <w:sz w:val="20"/>
          <w:szCs w:val="20"/>
        </w:rPr>
        <w:t xml:space="preserve"> C.</w:t>
      </w:r>
      <w:r w:rsidRPr="00560757">
        <w:rPr>
          <w:sz w:val="20"/>
          <w:szCs w:val="20"/>
        </w:rPr>
        <w:t>, Andreou</w:t>
      </w:r>
      <w:r>
        <w:rPr>
          <w:sz w:val="20"/>
          <w:szCs w:val="20"/>
        </w:rPr>
        <w:t xml:space="preserve"> P.</w:t>
      </w:r>
      <w:r w:rsidRPr="00560757">
        <w:rPr>
          <w:sz w:val="20"/>
          <w:szCs w:val="20"/>
        </w:rPr>
        <w:t xml:space="preserve">, </w:t>
      </w:r>
      <w:proofErr w:type="spellStart"/>
      <w:r w:rsidRPr="00560757">
        <w:rPr>
          <w:sz w:val="20"/>
          <w:szCs w:val="20"/>
        </w:rPr>
        <w:t>Lambertides</w:t>
      </w:r>
      <w:proofErr w:type="spellEnd"/>
      <w:r>
        <w:rPr>
          <w:sz w:val="20"/>
          <w:szCs w:val="20"/>
        </w:rPr>
        <w:t xml:space="preserve"> N. (2019). </w:t>
      </w:r>
      <w:r w:rsidRPr="00560757">
        <w:rPr>
          <w:sz w:val="20"/>
          <w:szCs w:val="20"/>
        </w:rPr>
        <w:t>Financial Distress Risk and Stock Price Crashes</w:t>
      </w:r>
      <w:r>
        <w:rPr>
          <w:sz w:val="20"/>
          <w:szCs w:val="20"/>
        </w:rPr>
        <w:t xml:space="preserve">. </w:t>
      </w:r>
      <w:r w:rsidRPr="00CD0733">
        <w:rPr>
          <w:i/>
          <w:iCs/>
          <w:sz w:val="20"/>
          <w:szCs w:val="20"/>
        </w:rPr>
        <w:t>Journal of Corporate Finance</w:t>
      </w:r>
      <w:r w:rsidR="00CD0733">
        <w:rPr>
          <w:sz w:val="20"/>
          <w:szCs w:val="20"/>
        </w:rPr>
        <w:t xml:space="preserve">, </w:t>
      </w:r>
      <w:hyperlink r:id="rId34" w:history="1">
        <w:r w:rsidR="00CD0733" w:rsidRPr="00F0596A">
          <w:rPr>
            <w:rStyle w:val="Hyperlink"/>
            <w:sz w:val="20"/>
            <w:szCs w:val="20"/>
          </w:rPr>
          <w:t>https://doi.org/10.2139/ssrn.3450075</w:t>
        </w:r>
      </w:hyperlink>
    </w:p>
    <w:p w14:paraId="5CEDB34C" w14:textId="05DDD930" w:rsidR="00CD0733" w:rsidRDefault="00C657B7" w:rsidP="00560757">
      <w:pPr>
        <w:tabs>
          <w:tab w:val="left" w:pos="426"/>
        </w:tabs>
        <w:rPr>
          <w:sz w:val="20"/>
          <w:szCs w:val="20"/>
        </w:rPr>
      </w:pPr>
      <w:r>
        <w:rPr>
          <w:sz w:val="20"/>
          <w:szCs w:val="20"/>
        </w:rPr>
        <w:t>[21]</w:t>
      </w:r>
      <w:r>
        <w:rPr>
          <w:sz w:val="20"/>
          <w:szCs w:val="20"/>
        </w:rPr>
        <w:tab/>
      </w:r>
      <w:r w:rsidRPr="00C657B7">
        <w:rPr>
          <w:rFonts w:hint="eastAsia"/>
          <w:sz w:val="20"/>
          <w:szCs w:val="20"/>
        </w:rPr>
        <w:t>Lander</w:t>
      </w:r>
      <w:r w:rsidR="009A782E">
        <w:rPr>
          <w:sz w:val="20"/>
          <w:szCs w:val="20"/>
        </w:rPr>
        <w:t xml:space="preserve"> G. P.,</w:t>
      </w:r>
      <w:r w:rsidRPr="00C657B7">
        <w:rPr>
          <w:rFonts w:hint="eastAsia"/>
          <w:sz w:val="20"/>
          <w:szCs w:val="20"/>
        </w:rPr>
        <w:t xml:space="preserve"> The Sarbanes</w:t>
      </w:r>
      <w:r w:rsidRPr="00C657B7">
        <w:rPr>
          <w:rFonts w:hint="eastAsia"/>
          <w:sz w:val="20"/>
          <w:szCs w:val="20"/>
        </w:rPr>
        <w:t>‐</w:t>
      </w:r>
      <w:r w:rsidRPr="00C657B7">
        <w:rPr>
          <w:rFonts w:hint="eastAsia"/>
          <w:sz w:val="20"/>
          <w:szCs w:val="20"/>
        </w:rPr>
        <w:t>Oxley Act of 2002</w:t>
      </w:r>
      <w:r>
        <w:rPr>
          <w:sz w:val="20"/>
          <w:szCs w:val="20"/>
        </w:rPr>
        <w:t xml:space="preserve"> (2002)</w:t>
      </w:r>
      <w:r w:rsidRPr="00C657B7">
        <w:rPr>
          <w:rFonts w:hint="eastAsia"/>
          <w:sz w:val="20"/>
          <w:szCs w:val="20"/>
        </w:rPr>
        <w:t xml:space="preserve">. </w:t>
      </w:r>
      <w:r w:rsidRPr="00C657B7">
        <w:rPr>
          <w:rFonts w:hint="eastAsia"/>
          <w:i/>
          <w:iCs/>
          <w:sz w:val="20"/>
          <w:szCs w:val="20"/>
        </w:rPr>
        <w:t>Journal of Investment Compliance</w:t>
      </w:r>
      <w:r>
        <w:rPr>
          <w:sz w:val="20"/>
          <w:szCs w:val="20"/>
        </w:rPr>
        <w:t>,</w:t>
      </w:r>
      <w:r w:rsidRPr="00C657B7">
        <w:rPr>
          <w:rFonts w:hint="eastAsia"/>
          <w:sz w:val="20"/>
          <w:szCs w:val="20"/>
        </w:rPr>
        <w:t xml:space="preserve"> </w:t>
      </w:r>
      <w:r w:rsidRPr="00C657B7">
        <w:rPr>
          <w:rFonts w:hint="eastAsia"/>
          <w:i/>
          <w:iCs/>
          <w:sz w:val="20"/>
          <w:szCs w:val="20"/>
        </w:rPr>
        <w:t>3</w:t>
      </w:r>
      <w:r w:rsidRPr="00C657B7">
        <w:rPr>
          <w:rFonts w:hint="eastAsia"/>
          <w:sz w:val="20"/>
          <w:szCs w:val="20"/>
        </w:rPr>
        <w:t>(1)</w:t>
      </w:r>
      <w:r w:rsidR="007510E0">
        <w:rPr>
          <w:sz w:val="20"/>
          <w:szCs w:val="20"/>
        </w:rPr>
        <w:t>,</w:t>
      </w:r>
      <w:r w:rsidRPr="00C657B7">
        <w:rPr>
          <w:rFonts w:hint="eastAsia"/>
          <w:sz w:val="20"/>
          <w:szCs w:val="20"/>
        </w:rPr>
        <w:t xml:space="preserve"> 44</w:t>
      </w:r>
      <w:r w:rsidRPr="00C657B7">
        <w:rPr>
          <w:rFonts w:hint="eastAsia"/>
          <w:sz w:val="20"/>
          <w:szCs w:val="20"/>
        </w:rPr>
        <w:t>–</w:t>
      </w:r>
      <w:r w:rsidRPr="00C657B7">
        <w:rPr>
          <w:rFonts w:hint="eastAsia"/>
          <w:sz w:val="20"/>
          <w:szCs w:val="20"/>
        </w:rPr>
        <w:t xml:space="preserve">53. </w:t>
      </w:r>
      <w:hyperlink r:id="rId35" w:history="1">
        <w:r w:rsidRPr="00F0596A">
          <w:rPr>
            <w:rStyle w:val="Hyperlink"/>
            <w:rFonts w:hint="eastAsia"/>
            <w:sz w:val="20"/>
            <w:szCs w:val="20"/>
          </w:rPr>
          <w:t>https://doi.org/10.1108/joic.2002.3.1.44</w:t>
        </w:r>
      </w:hyperlink>
    </w:p>
    <w:p w14:paraId="22EFE86D" w14:textId="7086DDA9" w:rsidR="00C657B7" w:rsidRDefault="00BC7ADD" w:rsidP="00560757">
      <w:pPr>
        <w:tabs>
          <w:tab w:val="left" w:pos="426"/>
        </w:tabs>
        <w:rPr>
          <w:sz w:val="20"/>
          <w:szCs w:val="20"/>
        </w:rPr>
      </w:pPr>
      <w:r>
        <w:rPr>
          <w:sz w:val="20"/>
          <w:szCs w:val="20"/>
        </w:rPr>
        <w:t xml:space="preserve">[22] </w:t>
      </w:r>
      <w:proofErr w:type="spellStart"/>
      <w:r w:rsidRPr="00BC7ADD">
        <w:rPr>
          <w:sz w:val="20"/>
          <w:szCs w:val="20"/>
        </w:rPr>
        <w:t>Hällman</w:t>
      </w:r>
      <w:proofErr w:type="spellEnd"/>
      <w:r w:rsidRPr="00BC7ADD">
        <w:rPr>
          <w:sz w:val="20"/>
          <w:szCs w:val="20"/>
        </w:rPr>
        <w:t>, L. (2017). The Rolling Window Method: Precisions of Financial Forecasting</w:t>
      </w:r>
      <w:r w:rsidR="0069174A">
        <w:rPr>
          <w:sz w:val="20"/>
          <w:szCs w:val="20"/>
        </w:rPr>
        <w:t xml:space="preserve">. </w:t>
      </w:r>
      <w:proofErr w:type="spellStart"/>
      <w:r w:rsidRPr="00BC7ADD">
        <w:rPr>
          <w:i/>
          <w:iCs/>
          <w:sz w:val="20"/>
          <w:szCs w:val="20"/>
        </w:rPr>
        <w:t>Matematisk</w:t>
      </w:r>
      <w:proofErr w:type="spellEnd"/>
      <w:r w:rsidRPr="00BC7ADD">
        <w:rPr>
          <w:i/>
          <w:iCs/>
          <w:sz w:val="20"/>
          <w:szCs w:val="20"/>
        </w:rPr>
        <w:t xml:space="preserve"> </w:t>
      </w:r>
      <w:r w:rsidR="0069174A">
        <w:rPr>
          <w:i/>
          <w:iCs/>
          <w:sz w:val="20"/>
          <w:szCs w:val="20"/>
        </w:rPr>
        <w:t>statistic, KTH</w:t>
      </w:r>
      <w:r w:rsidRPr="00BC7ADD">
        <w:rPr>
          <w:sz w:val="20"/>
          <w:szCs w:val="20"/>
        </w:rPr>
        <w:t xml:space="preserve">. </w:t>
      </w:r>
      <w:hyperlink r:id="rId36" w:history="1">
        <w:r w:rsidRPr="005264DB">
          <w:rPr>
            <w:rStyle w:val="Hyperlink"/>
            <w:sz w:val="20"/>
            <w:szCs w:val="20"/>
          </w:rPr>
          <w:t>http://urn.kb.se/resolve?urn=urn:nbn:se:kth:diva-205595</w:t>
        </w:r>
      </w:hyperlink>
    </w:p>
    <w:p w14:paraId="13C04FE6" w14:textId="71CD0E04" w:rsidR="00BC7ADD" w:rsidRDefault="00633235" w:rsidP="00560757">
      <w:pPr>
        <w:tabs>
          <w:tab w:val="left" w:pos="426"/>
        </w:tabs>
        <w:rPr>
          <w:sz w:val="20"/>
          <w:szCs w:val="20"/>
        </w:rPr>
      </w:pPr>
      <w:r>
        <w:rPr>
          <w:sz w:val="20"/>
          <w:szCs w:val="20"/>
        </w:rPr>
        <w:t>[23]</w:t>
      </w:r>
      <w:r>
        <w:rPr>
          <w:sz w:val="20"/>
          <w:szCs w:val="20"/>
        </w:rPr>
        <w:tab/>
      </w:r>
      <w:proofErr w:type="spellStart"/>
      <w:r w:rsidRPr="00633235">
        <w:rPr>
          <w:sz w:val="20"/>
          <w:szCs w:val="20"/>
        </w:rPr>
        <w:t>Defazio</w:t>
      </w:r>
      <w:proofErr w:type="spellEnd"/>
      <w:r w:rsidRPr="00633235">
        <w:rPr>
          <w:sz w:val="20"/>
          <w:szCs w:val="20"/>
        </w:rPr>
        <w:t xml:space="preserve">, A., Bach, F.R., &amp; Lacoste-Julien, S. (2014). SAGA: A Fast Incremental Gradient Method </w:t>
      </w:r>
      <w:proofErr w:type="gramStart"/>
      <w:r w:rsidRPr="00633235">
        <w:rPr>
          <w:sz w:val="20"/>
          <w:szCs w:val="20"/>
        </w:rPr>
        <w:t>With</w:t>
      </w:r>
      <w:proofErr w:type="gramEnd"/>
      <w:r w:rsidRPr="00633235">
        <w:rPr>
          <w:sz w:val="20"/>
          <w:szCs w:val="20"/>
        </w:rPr>
        <w:t xml:space="preserve"> Support for Non-Strongly Convex Composite Objectives. </w:t>
      </w:r>
      <w:r w:rsidRPr="00633235">
        <w:rPr>
          <w:i/>
          <w:iCs/>
          <w:sz w:val="20"/>
          <w:szCs w:val="20"/>
        </w:rPr>
        <w:t>Neural Information Processing Systems</w:t>
      </w:r>
      <w:r w:rsidRPr="00633235">
        <w:rPr>
          <w:sz w:val="20"/>
          <w:szCs w:val="20"/>
        </w:rPr>
        <w:t>.</w:t>
      </w:r>
      <w:r>
        <w:rPr>
          <w:sz w:val="20"/>
          <w:szCs w:val="20"/>
        </w:rPr>
        <w:t xml:space="preserve"> </w:t>
      </w:r>
      <w:hyperlink r:id="rId37" w:history="1">
        <w:r w:rsidR="007C2F94" w:rsidRPr="005264DB">
          <w:rPr>
            <w:rStyle w:val="Hyperlink"/>
            <w:sz w:val="20"/>
            <w:szCs w:val="20"/>
          </w:rPr>
          <w:t>https://doi.org/10.48550/arXiv.1407.0202</w:t>
        </w:r>
      </w:hyperlink>
    </w:p>
    <w:p w14:paraId="65E55C1B" w14:textId="16E3AAE5" w:rsidR="007C2F94" w:rsidRDefault="00DE1AD4" w:rsidP="00DE1AD4">
      <w:pPr>
        <w:tabs>
          <w:tab w:val="left" w:pos="426"/>
        </w:tabs>
        <w:rPr>
          <w:sz w:val="20"/>
          <w:szCs w:val="20"/>
        </w:rPr>
      </w:pPr>
      <w:r>
        <w:rPr>
          <w:sz w:val="20"/>
          <w:szCs w:val="20"/>
        </w:rPr>
        <w:t>[24]</w:t>
      </w:r>
      <w:r>
        <w:rPr>
          <w:sz w:val="20"/>
          <w:szCs w:val="20"/>
        </w:rPr>
        <w:tab/>
      </w:r>
      <w:r w:rsidRPr="00DE1AD4">
        <w:rPr>
          <w:sz w:val="20"/>
          <w:szCs w:val="20"/>
        </w:rPr>
        <w:t>Osborne</w:t>
      </w:r>
      <w:r w:rsidR="00AC70D1">
        <w:rPr>
          <w:sz w:val="20"/>
          <w:szCs w:val="20"/>
        </w:rPr>
        <w:t xml:space="preserve"> </w:t>
      </w:r>
      <w:r w:rsidR="00AC70D1" w:rsidRPr="00DE1AD4">
        <w:rPr>
          <w:sz w:val="20"/>
          <w:szCs w:val="20"/>
        </w:rPr>
        <w:t>M. F. M.</w:t>
      </w:r>
      <w:r w:rsidRPr="00DE1AD4">
        <w:rPr>
          <w:sz w:val="20"/>
          <w:szCs w:val="20"/>
        </w:rPr>
        <w:t xml:space="preserve"> (1959)</w:t>
      </w:r>
      <w:r w:rsidR="00456D0D">
        <w:rPr>
          <w:sz w:val="20"/>
          <w:szCs w:val="20"/>
        </w:rPr>
        <w:t>.</w:t>
      </w:r>
      <w:r w:rsidRPr="00DE1AD4">
        <w:rPr>
          <w:sz w:val="20"/>
          <w:szCs w:val="20"/>
        </w:rPr>
        <w:t xml:space="preserve"> Brownian Motion in the Stock Market. </w:t>
      </w:r>
      <w:r w:rsidRPr="00DE1AD4">
        <w:rPr>
          <w:i/>
          <w:iCs/>
          <w:sz w:val="20"/>
          <w:szCs w:val="20"/>
        </w:rPr>
        <w:t>Operations Research 7</w:t>
      </w:r>
      <w:r w:rsidRPr="00DE1AD4">
        <w:rPr>
          <w:sz w:val="20"/>
          <w:szCs w:val="20"/>
        </w:rPr>
        <w:t>(2)</w:t>
      </w:r>
      <w:r>
        <w:rPr>
          <w:sz w:val="20"/>
          <w:szCs w:val="20"/>
        </w:rPr>
        <w:t xml:space="preserve">, </w:t>
      </w:r>
      <w:r w:rsidRPr="00DE1AD4">
        <w:rPr>
          <w:sz w:val="20"/>
          <w:szCs w:val="20"/>
        </w:rPr>
        <w:t>145-173.</w:t>
      </w:r>
      <w:r>
        <w:rPr>
          <w:sz w:val="20"/>
          <w:szCs w:val="20"/>
        </w:rPr>
        <w:t xml:space="preserve"> </w:t>
      </w:r>
      <w:hyperlink r:id="rId38" w:history="1">
        <w:r w:rsidR="00AC70D1" w:rsidRPr="007D30F2">
          <w:rPr>
            <w:rStyle w:val="Hyperlink"/>
            <w:sz w:val="20"/>
            <w:szCs w:val="20"/>
          </w:rPr>
          <w:t>https://doi.org/10.1287/opre.7.2.145</w:t>
        </w:r>
      </w:hyperlink>
    </w:p>
    <w:p w14:paraId="7E683896" w14:textId="4E144CDB" w:rsidR="009B5455" w:rsidRDefault="006161F3" w:rsidP="00DE1AD4">
      <w:pPr>
        <w:tabs>
          <w:tab w:val="left" w:pos="426"/>
        </w:tabs>
      </w:pPr>
      <w:r>
        <w:rPr>
          <w:sz w:val="20"/>
          <w:szCs w:val="20"/>
        </w:rPr>
        <w:t>[25]</w:t>
      </w:r>
      <w:r>
        <w:rPr>
          <w:sz w:val="20"/>
          <w:szCs w:val="20"/>
        </w:rPr>
        <w:tab/>
      </w:r>
      <w:r w:rsidRPr="006161F3">
        <w:rPr>
          <w:sz w:val="20"/>
          <w:szCs w:val="20"/>
        </w:rPr>
        <w:t>Ren</w:t>
      </w:r>
      <w:r>
        <w:rPr>
          <w:sz w:val="20"/>
          <w:szCs w:val="20"/>
        </w:rPr>
        <w:t xml:space="preserve"> L.</w:t>
      </w:r>
      <w:r w:rsidRPr="006161F3">
        <w:rPr>
          <w:sz w:val="20"/>
          <w:szCs w:val="20"/>
        </w:rPr>
        <w:t>, Ren</w:t>
      </w:r>
      <w:r>
        <w:rPr>
          <w:sz w:val="20"/>
          <w:szCs w:val="20"/>
        </w:rPr>
        <w:t xml:space="preserve"> P.</w:t>
      </w:r>
      <w:r w:rsidR="0004699B">
        <w:rPr>
          <w:sz w:val="20"/>
          <w:szCs w:val="20"/>
        </w:rPr>
        <w:t xml:space="preserve"> (2017)</w:t>
      </w:r>
      <w:r w:rsidR="00781D15">
        <w:rPr>
          <w:sz w:val="20"/>
          <w:szCs w:val="20"/>
        </w:rPr>
        <w:t>.</w:t>
      </w:r>
      <w:r w:rsidRPr="006161F3">
        <w:rPr>
          <w:sz w:val="20"/>
          <w:szCs w:val="20"/>
        </w:rPr>
        <w:t xml:space="preserve"> Testing the market efficiency by mean absolute deviation. Benchmarking</w:t>
      </w:r>
      <w:r w:rsidR="00781D15">
        <w:rPr>
          <w:sz w:val="20"/>
          <w:szCs w:val="20"/>
        </w:rPr>
        <w:t>,</w:t>
      </w:r>
      <w:r w:rsidRPr="006161F3">
        <w:rPr>
          <w:sz w:val="20"/>
          <w:szCs w:val="20"/>
        </w:rPr>
        <w:t xml:space="preserve"> </w:t>
      </w:r>
      <w:r w:rsidRPr="00781D15">
        <w:rPr>
          <w:i/>
          <w:iCs/>
          <w:sz w:val="20"/>
          <w:szCs w:val="20"/>
        </w:rPr>
        <w:t>An International Journal</w:t>
      </w:r>
      <w:r w:rsidR="00781D15" w:rsidRPr="00781D15">
        <w:rPr>
          <w:i/>
          <w:iCs/>
          <w:sz w:val="20"/>
          <w:szCs w:val="20"/>
        </w:rPr>
        <w:t>,</w:t>
      </w:r>
      <w:r w:rsidRPr="00781D15">
        <w:rPr>
          <w:i/>
          <w:iCs/>
          <w:sz w:val="20"/>
          <w:szCs w:val="20"/>
        </w:rPr>
        <w:t xml:space="preserve"> 24</w:t>
      </w:r>
      <w:r w:rsidRPr="006161F3">
        <w:rPr>
          <w:sz w:val="20"/>
          <w:szCs w:val="20"/>
        </w:rPr>
        <w:t>(7)</w:t>
      </w:r>
      <w:r w:rsidR="00781D15">
        <w:rPr>
          <w:sz w:val="20"/>
          <w:szCs w:val="20"/>
        </w:rPr>
        <w:t>,</w:t>
      </w:r>
      <w:r w:rsidRPr="006161F3">
        <w:rPr>
          <w:sz w:val="20"/>
          <w:szCs w:val="20"/>
        </w:rPr>
        <w:t xml:space="preserve"> 2049–2062. </w:t>
      </w:r>
      <w:hyperlink r:id="rId39" w:history="1">
        <w:r w:rsidR="009B5455" w:rsidRPr="00761913">
          <w:rPr>
            <w:rStyle w:val="Hyperlink"/>
            <w:sz w:val="20"/>
            <w:szCs w:val="20"/>
          </w:rPr>
          <w:t>https://doi.org/10.1108/BIJ-06-2016-0096</w:t>
        </w:r>
      </w:hyperlink>
    </w:p>
    <w:p w14:paraId="707E4147" w14:textId="52183EAD" w:rsidR="009B5455" w:rsidRDefault="009B5455" w:rsidP="009B5455">
      <w:pPr>
        <w:tabs>
          <w:tab w:val="left" w:pos="426"/>
        </w:tabs>
        <w:rPr>
          <w:sz w:val="20"/>
          <w:szCs w:val="20"/>
        </w:rPr>
      </w:pPr>
      <w:r>
        <w:rPr>
          <w:sz w:val="20"/>
          <w:szCs w:val="20"/>
        </w:rPr>
        <w:t xml:space="preserve">[26] </w:t>
      </w:r>
      <w:proofErr w:type="spellStart"/>
      <w:r w:rsidRPr="009B5455">
        <w:rPr>
          <w:sz w:val="20"/>
          <w:szCs w:val="20"/>
        </w:rPr>
        <w:t>Gaies</w:t>
      </w:r>
      <w:proofErr w:type="spellEnd"/>
      <w:r>
        <w:rPr>
          <w:sz w:val="20"/>
          <w:szCs w:val="20"/>
        </w:rPr>
        <w:t xml:space="preserve"> B.</w:t>
      </w:r>
      <w:r w:rsidRPr="009B5455">
        <w:rPr>
          <w:sz w:val="20"/>
          <w:szCs w:val="20"/>
        </w:rPr>
        <w:t xml:space="preserve">, </w:t>
      </w:r>
      <w:proofErr w:type="spellStart"/>
      <w:r w:rsidRPr="009B5455">
        <w:rPr>
          <w:sz w:val="20"/>
          <w:szCs w:val="20"/>
        </w:rPr>
        <w:t>Nakhli</w:t>
      </w:r>
      <w:proofErr w:type="spellEnd"/>
      <w:r>
        <w:rPr>
          <w:sz w:val="20"/>
          <w:szCs w:val="20"/>
        </w:rPr>
        <w:t xml:space="preserve"> M. S.</w:t>
      </w:r>
      <w:r w:rsidRPr="009B5455">
        <w:rPr>
          <w:sz w:val="20"/>
          <w:szCs w:val="20"/>
        </w:rPr>
        <w:t>, Ayadi</w:t>
      </w:r>
      <w:r>
        <w:rPr>
          <w:sz w:val="20"/>
          <w:szCs w:val="20"/>
        </w:rPr>
        <w:t xml:space="preserve"> R.</w:t>
      </w:r>
      <w:r w:rsidRPr="009B5455">
        <w:rPr>
          <w:sz w:val="20"/>
          <w:szCs w:val="20"/>
        </w:rPr>
        <w:t xml:space="preserve">, </w:t>
      </w:r>
      <w:proofErr w:type="spellStart"/>
      <w:r w:rsidRPr="009B5455">
        <w:rPr>
          <w:sz w:val="20"/>
          <w:szCs w:val="20"/>
        </w:rPr>
        <w:t>Sahut</w:t>
      </w:r>
      <w:proofErr w:type="spellEnd"/>
      <w:r>
        <w:rPr>
          <w:sz w:val="20"/>
          <w:szCs w:val="20"/>
        </w:rPr>
        <w:t xml:space="preserve"> J. (2022) </w:t>
      </w:r>
      <w:r w:rsidRPr="009B5455">
        <w:rPr>
          <w:sz w:val="20"/>
          <w:szCs w:val="20"/>
        </w:rPr>
        <w:t>Exploring the causal links between investor sentiment and financial instability: A dynamic macro-financial analysis,</w:t>
      </w:r>
      <w:r>
        <w:rPr>
          <w:sz w:val="20"/>
          <w:szCs w:val="20"/>
        </w:rPr>
        <w:t xml:space="preserve"> </w:t>
      </w:r>
      <w:r w:rsidRPr="009B5455">
        <w:rPr>
          <w:i/>
          <w:iCs/>
          <w:sz w:val="20"/>
          <w:szCs w:val="20"/>
        </w:rPr>
        <w:t xml:space="preserve">Journal of Economic </w:t>
      </w:r>
      <w:proofErr w:type="spellStart"/>
      <w:r w:rsidRPr="009B5455">
        <w:rPr>
          <w:i/>
          <w:iCs/>
          <w:sz w:val="20"/>
          <w:szCs w:val="20"/>
        </w:rPr>
        <w:t>Behavior</w:t>
      </w:r>
      <w:proofErr w:type="spellEnd"/>
      <w:r w:rsidRPr="009B5455">
        <w:rPr>
          <w:i/>
          <w:iCs/>
          <w:sz w:val="20"/>
          <w:szCs w:val="20"/>
        </w:rPr>
        <w:t xml:space="preserve"> &amp; Organization,</w:t>
      </w:r>
      <w:r>
        <w:rPr>
          <w:i/>
          <w:iCs/>
          <w:sz w:val="20"/>
          <w:szCs w:val="20"/>
        </w:rPr>
        <w:t xml:space="preserve"> 204</w:t>
      </w:r>
      <w:r>
        <w:rPr>
          <w:sz w:val="20"/>
          <w:szCs w:val="20"/>
        </w:rPr>
        <w:t xml:space="preserve">, </w:t>
      </w:r>
      <w:r w:rsidRPr="009B5455">
        <w:rPr>
          <w:sz w:val="20"/>
          <w:szCs w:val="20"/>
        </w:rPr>
        <w:t>290-303,</w:t>
      </w:r>
      <w:r>
        <w:rPr>
          <w:sz w:val="20"/>
          <w:szCs w:val="20"/>
        </w:rPr>
        <w:t xml:space="preserve"> </w:t>
      </w:r>
      <w:hyperlink r:id="rId40" w:history="1">
        <w:r w:rsidRPr="00761913">
          <w:rPr>
            <w:rStyle w:val="Hyperlink"/>
            <w:sz w:val="20"/>
            <w:szCs w:val="20"/>
          </w:rPr>
          <w:t>https://doi.org/10.1016/j.jebo.2022.10.013</w:t>
        </w:r>
      </w:hyperlink>
      <w:r w:rsidRPr="009B5455">
        <w:rPr>
          <w:sz w:val="20"/>
          <w:szCs w:val="20"/>
        </w:rPr>
        <w:t>.</w:t>
      </w:r>
    </w:p>
    <w:p w14:paraId="51E5DBDC" w14:textId="77777777" w:rsidR="009B5455" w:rsidRPr="009B5455" w:rsidRDefault="009B5455" w:rsidP="009B5455">
      <w:pPr>
        <w:tabs>
          <w:tab w:val="left" w:pos="426"/>
        </w:tabs>
        <w:rPr>
          <w:sz w:val="20"/>
          <w:szCs w:val="20"/>
        </w:rPr>
      </w:pPr>
    </w:p>
    <w:p w14:paraId="3EE78356" w14:textId="77777777" w:rsidR="00781D15" w:rsidRDefault="00781D15" w:rsidP="00DE1AD4">
      <w:pPr>
        <w:tabs>
          <w:tab w:val="left" w:pos="426"/>
        </w:tabs>
        <w:rPr>
          <w:sz w:val="20"/>
          <w:szCs w:val="20"/>
        </w:rPr>
      </w:pPr>
    </w:p>
    <w:p w14:paraId="545752BA" w14:textId="77777777" w:rsidR="00EB3392" w:rsidRDefault="00EB3392" w:rsidP="00EB3392">
      <w:pPr>
        <w:tabs>
          <w:tab w:val="left" w:pos="426"/>
        </w:tabs>
        <w:rPr>
          <w:sz w:val="20"/>
          <w:szCs w:val="20"/>
        </w:rPr>
      </w:pPr>
    </w:p>
    <w:p w14:paraId="5B4635D8" w14:textId="77777777" w:rsidR="00CF2836" w:rsidRPr="00EB3392" w:rsidRDefault="00CF2836" w:rsidP="00EB3392">
      <w:pPr>
        <w:tabs>
          <w:tab w:val="left" w:pos="426"/>
        </w:tabs>
        <w:rPr>
          <w:sz w:val="20"/>
          <w:szCs w:val="20"/>
        </w:rPr>
      </w:pPr>
    </w:p>
    <w:p w14:paraId="184AAE79" w14:textId="77777777" w:rsidR="00E54E14" w:rsidRPr="00D21090" w:rsidRDefault="00E54E14" w:rsidP="00D21090">
      <w:pPr>
        <w:tabs>
          <w:tab w:val="left" w:pos="426"/>
        </w:tabs>
        <w:rPr>
          <w:sz w:val="20"/>
          <w:szCs w:val="20"/>
        </w:rPr>
      </w:pPr>
    </w:p>
    <w:sectPr w:rsidR="00E54E14" w:rsidRPr="00D21090" w:rsidSect="005E3085">
      <w:pgSz w:w="11900" w:h="16840"/>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5C4EF8" w14:textId="77777777" w:rsidR="00775B2A" w:rsidRPr="007C0AB9" w:rsidRDefault="00775B2A" w:rsidP="004F65C9">
      <w:pPr>
        <w:spacing w:before="0"/>
      </w:pPr>
      <w:r w:rsidRPr="007C0AB9">
        <w:separator/>
      </w:r>
    </w:p>
  </w:endnote>
  <w:endnote w:type="continuationSeparator" w:id="0">
    <w:p w14:paraId="346617BD" w14:textId="77777777" w:rsidR="00775B2A" w:rsidRPr="007C0AB9" w:rsidRDefault="00775B2A" w:rsidP="004F65C9">
      <w:pPr>
        <w:spacing w:before="0"/>
      </w:pPr>
      <w:r w:rsidRPr="007C0AB9">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4002EFF" w:usb1="C200247B" w:usb2="00000009" w:usb3="00000000" w:csb0="000001FF" w:csb1="00000000"/>
  </w:font>
  <w:font w:name="Lucida Grande">
    <w:altName w:val="Segoe UI"/>
    <w:charset w:val="00"/>
    <w:family w:val="auto"/>
    <w:pitch w:val="variable"/>
    <w:sig w:usb0="E1000AEF" w:usb1="5000A1FF" w:usb2="00000000" w:usb3="00000000" w:csb0="000001BF" w:csb1="00000000"/>
  </w:font>
  <w:font w:name="Courier">
    <w:altName w:val="Courier New"/>
    <w:panose1 w:val="02070409020205020404"/>
    <w:charset w:val="00"/>
    <w:family w:val="modern"/>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7221DC" w14:textId="77777777" w:rsidR="00530753" w:rsidRPr="007C0AB9" w:rsidRDefault="00530753" w:rsidP="005E3085">
    <w:pPr>
      <w:pStyle w:val="Footer"/>
      <w:framePr w:wrap="around" w:vAnchor="text" w:hAnchor="margin" w:xAlign="center" w:y="1"/>
      <w:rPr>
        <w:rStyle w:val="PageNumber"/>
      </w:rPr>
    </w:pPr>
    <w:r w:rsidRPr="007C0AB9">
      <w:rPr>
        <w:rStyle w:val="PageNumber"/>
      </w:rPr>
      <w:fldChar w:fldCharType="begin"/>
    </w:r>
    <w:r w:rsidRPr="007C0AB9">
      <w:rPr>
        <w:rStyle w:val="PageNumber"/>
      </w:rPr>
      <w:instrText xml:space="preserve">PAGE  </w:instrText>
    </w:r>
    <w:r w:rsidRPr="007C0AB9">
      <w:rPr>
        <w:rStyle w:val="PageNumber"/>
      </w:rPr>
      <w:fldChar w:fldCharType="end"/>
    </w:r>
  </w:p>
  <w:p w14:paraId="49A026C3" w14:textId="77777777" w:rsidR="00530753" w:rsidRPr="007C0AB9" w:rsidRDefault="005307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0F2873" w14:textId="16E59E47" w:rsidR="00530753" w:rsidRPr="007C0AB9" w:rsidRDefault="00530753" w:rsidP="004F65C9">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933859" w14:textId="6589D7E6" w:rsidR="00530753" w:rsidRPr="007C0AB9" w:rsidRDefault="00530753" w:rsidP="004F65C9">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8A30BC" w14:textId="77777777" w:rsidR="00530753" w:rsidRPr="007C0AB9" w:rsidRDefault="00530753" w:rsidP="005E3085">
    <w:pPr>
      <w:pStyle w:val="Footer"/>
      <w:framePr w:wrap="around" w:vAnchor="text" w:hAnchor="margin" w:xAlign="center" w:y="1"/>
      <w:rPr>
        <w:rStyle w:val="PageNumber"/>
      </w:rPr>
    </w:pPr>
    <w:r w:rsidRPr="007C0AB9">
      <w:rPr>
        <w:rStyle w:val="PageNumber"/>
      </w:rPr>
      <w:fldChar w:fldCharType="begin"/>
    </w:r>
    <w:r w:rsidRPr="007C0AB9">
      <w:rPr>
        <w:rStyle w:val="PageNumber"/>
      </w:rPr>
      <w:instrText xml:space="preserve">PAGE  </w:instrText>
    </w:r>
    <w:r w:rsidRPr="007C0AB9">
      <w:rPr>
        <w:rStyle w:val="PageNumber"/>
      </w:rPr>
      <w:fldChar w:fldCharType="separate"/>
    </w:r>
    <w:r w:rsidR="00BE5B0B" w:rsidRPr="007C0AB9">
      <w:rPr>
        <w:rStyle w:val="PageNumber"/>
      </w:rPr>
      <w:t>1</w:t>
    </w:r>
    <w:r w:rsidRPr="007C0AB9">
      <w:rPr>
        <w:rStyle w:val="PageNumber"/>
      </w:rPr>
      <w:fldChar w:fldCharType="end"/>
    </w:r>
  </w:p>
  <w:p w14:paraId="597C4CA0" w14:textId="77777777" w:rsidR="00530753" w:rsidRPr="007C0AB9" w:rsidRDefault="00530753" w:rsidP="004F65C9">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D625D7" w14:textId="77777777" w:rsidR="00775B2A" w:rsidRPr="007C0AB9" w:rsidRDefault="00775B2A" w:rsidP="004F65C9">
      <w:pPr>
        <w:spacing w:before="0"/>
      </w:pPr>
      <w:r w:rsidRPr="007C0AB9">
        <w:separator/>
      </w:r>
    </w:p>
  </w:footnote>
  <w:footnote w:type="continuationSeparator" w:id="0">
    <w:p w14:paraId="7E5CFFB1" w14:textId="77777777" w:rsidR="00775B2A" w:rsidRPr="007C0AB9" w:rsidRDefault="00775B2A" w:rsidP="004F65C9">
      <w:pPr>
        <w:spacing w:before="0"/>
      </w:pPr>
      <w:r w:rsidRPr="007C0AB9">
        <w:continuationSeparator/>
      </w:r>
    </w:p>
  </w:footnote>
  <w:footnote w:id="1">
    <w:p w14:paraId="01046BE7" w14:textId="1733C745" w:rsidR="00654550" w:rsidRPr="00654550" w:rsidRDefault="00654550">
      <w:pPr>
        <w:pStyle w:val="FootnoteText"/>
        <w:rPr>
          <w:lang w:val="en-US"/>
        </w:rPr>
      </w:pPr>
      <w:r>
        <w:rPr>
          <w:rStyle w:val="FootnoteReference"/>
        </w:rPr>
        <w:footnoteRef/>
      </w:r>
      <w:r>
        <w:t xml:space="preserve"> </w:t>
      </w:r>
      <w:r w:rsidRPr="00E8610C">
        <w:rPr>
          <w:sz w:val="18"/>
          <w:szCs w:val="18"/>
        </w:rPr>
        <w:t>https://huggingface.co/ProsusAI/finbert</w:t>
      </w:r>
    </w:p>
  </w:footnote>
  <w:footnote w:id="2">
    <w:p w14:paraId="4946AAA3" w14:textId="553BD16C" w:rsidR="008116D3" w:rsidRPr="008116D3" w:rsidRDefault="008116D3">
      <w:pPr>
        <w:pStyle w:val="FootnoteText"/>
        <w:rPr>
          <w:lang w:val="en-US"/>
        </w:rPr>
      </w:pPr>
      <w:r>
        <w:rPr>
          <w:rStyle w:val="FootnoteReference"/>
        </w:rPr>
        <w:footnoteRef/>
      </w:r>
      <w:r>
        <w:t xml:space="preserve"> </w:t>
      </w:r>
      <w:r w:rsidRPr="00F86A7F">
        <w:rPr>
          <w:sz w:val="18"/>
          <w:szCs w:val="18"/>
        </w:rPr>
        <w:t>https://www.kaggle.com/datasets/dyutidasmahaptra/s-and-p-500-with-financial-news-headlines-20082024</w:t>
      </w:r>
    </w:p>
  </w:footnote>
  <w:footnote w:id="3">
    <w:p w14:paraId="6FDA5EF5" w14:textId="65A6FBD6" w:rsidR="00E7340B" w:rsidRPr="00E7340B" w:rsidRDefault="00E7340B">
      <w:pPr>
        <w:pStyle w:val="FootnoteText"/>
        <w:rPr>
          <w:lang w:val="en-US"/>
        </w:rPr>
      </w:pPr>
      <w:r>
        <w:rPr>
          <w:rStyle w:val="FootnoteReference"/>
        </w:rPr>
        <w:footnoteRef/>
      </w:r>
      <w:r>
        <w:t xml:space="preserve"> </w:t>
      </w:r>
      <w:r w:rsidRPr="00782E05">
        <w:rPr>
          <w:sz w:val="18"/>
          <w:szCs w:val="18"/>
        </w:rPr>
        <w:t>https://imbalanced-learn.org/stable/references/generated/imblearn.over_sampling.SMOTE.html</w:t>
      </w:r>
    </w:p>
  </w:footnote>
  <w:footnote w:id="4">
    <w:p w14:paraId="4400456D" w14:textId="5033213A" w:rsidR="00E763FA" w:rsidRPr="00E763FA" w:rsidRDefault="00E763FA">
      <w:pPr>
        <w:pStyle w:val="FootnoteText"/>
        <w:rPr>
          <w:lang w:val="en-US"/>
        </w:rPr>
      </w:pPr>
      <w:r>
        <w:rPr>
          <w:rStyle w:val="FootnoteReference"/>
        </w:rPr>
        <w:footnoteRef/>
      </w:r>
      <w:r>
        <w:t xml:space="preserve"> </w:t>
      </w:r>
      <w:r w:rsidRPr="00782E05">
        <w:rPr>
          <w:sz w:val="18"/>
          <w:szCs w:val="18"/>
        </w:rPr>
        <w:t>https://scikit-learn.org/stable/modules/generated/sklearn.preprocessing.StandardScaler</w:t>
      </w:r>
      <w:r w:rsidR="00A32087" w:rsidRPr="00782E05">
        <w:rPr>
          <w:sz w:val="18"/>
          <w:szCs w:val="18"/>
        </w:rPr>
        <w:t>.html</w:t>
      </w:r>
    </w:p>
  </w:footnote>
  <w:footnote w:id="5">
    <w:p w14:paraId="4DEFAE83" w14:textId="799AEBA1" w:rsidR="004E0F61" w:rsidRPr="004E0F61" w:rsidRDefault="004E0F61">
      <w:pPr>
        <w:pStyle w:val="FootnoteText"/>
        <w:rPr>
          <w:lang w:val="en-US"/>
        </w:rPr>
      </w:pPr>
      <w:r>
        <w:rPr>
          <w:rStyle w:val="FootnoteReference"/>
        </w:rPr>
        <w:footnoteRef/>
      </w:r>
      <w:r>
        <w:t xml:space="preserve"> </w:t>
      </w:r>
      <w:r w:rsidRPr="00100496">
        <w:rPr>
          <w:sz w:val="18"/>
          <w:szCs w:val="18"/>
        </w:rPr>
        <w:t>https://scikit-learn.org/stable/modules/generated/sklearn.utils.class_weight.compute_class_weight.html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52DAEFC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6D70C838"/>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F2D450D8"/>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BBECF1FE"/>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EEAA800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C772060C"/>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313C2000"/>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9F8C5C5E"/>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E460D48C"/>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6DF8623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93DA988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2F7BB5"/>
    <w:multiLevelType w:val="multilevel"/>
    <w:tmpl w:val="ADECD54E"/>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098E469A"/>
    <w:multiLevelType w:val="hybridMultilevel"/>
    <w:tmpl w:val="A1AA6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D245892"/>
    <w:multiLevelType w:val="hybridMultilevel"/>
    <w:tmpl w:val="34C494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24C1F2B"/>
    <w:multiLevelType w:val="hybridMultilevel"/>
    <w:tmpl w:val="EE027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5255B3D"/>
    <w:multiLevelType w:val="hybridMultilevel"/>
    <w:tmpl w:val="133EA6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C830074"/>
    <w:multiLevelType w:val="hybridMultilevel"/>
    <w:tmpl w:val="9BBE48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E585BD4"/>
    <w:multiLevelType w:val="multilevel"/>
    <w:tmpl w:val="C720BEEA"/>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6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1F4F4CE2"/>
    <w:multiLevelType w:val="multilevel"/>
    <w:tmpl w:val="2EC0E37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27F06C3E"/>
    <w:multiLevelType w:val="hybridMultilevel"/>
    <w:tmpl w:val="672A0D0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28CA1510"/>
    <w:multiLevelType w:val="hybridMultilevel"/>
    <w:tmpl w:val="5A2845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B841E59"/>
    <w:multiLevelType w:val="hybridMultilevel"/>
    <w:tmpl w:val="09E62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BD83881"/>
    <w:multiLevelType w:val="multilevel"/>
    <w:tmpl w:val="E44E1B8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15:restartNumberingAfterBreak="0">
    <w:nsid w:val="30CB1771"/>
    <w:multiLevelType w:val="multilevel"/>
    <w:tmpl w:val="AE4AC678"/>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upperLetter"/>
      <w:lvlText w:val="Appendix %6  "/>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15:restartNumberingAfterBreak="0">
    <w:nsid w:val="33063555"/>
    <w:multiLevelType w:val="multilevel"/>
    <w:tmpl w:val="559484E6"/>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15:restartNumberingAfterBreak="0">
    <w:nsid w:val="3C154479"/>
    <w:multiLevelType w:val="hybridMultilevel"/>
    <w:tmpl w:val="1D9C50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EDE7B33"/>
    <w:multiLevelType w:val="hybridMultilevel"/>
    <w:tmpl w:val="D33A002E"/>
    <w:lvl w:ilvl="0" w:tplc="2F20342C">
      <w:numFmt w:val="bullet"/>
      <w:lvlText w:val="-"/>
      <w:lvlJc w:val="left"/>
      <w:pPr>
        <w:ind w:left="720" w:hanging="360"/>
      </w:pPr>
      <w:rPr>
        <w:rFonts w:ascii="Century Schoolbook" w:eastAsiaTheme="minorEastAsia" w:hAnsi="Century Schoolbook"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F1B290D"/>
    <w:multiLevelType w:val="hybridMultilevel"/>
    <w:tmpl w:val="195AFF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2F03548"/>
    <w:multiLevelType w:val="multilevel"/>
    <w:tmpl w:val="9C3C2D94"/>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6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9" w15:restartNumberingAfterBreak="0">
    <w:nsid w:val="4ADA5839"/>
    <w:multiLevelType w:val="multilevel"/>
    <w:tmpl w:val="C720BEEA"/>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6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15:restartNumberingAfterBreak="0">
    <w:nsid w:val="4FEE280D"/>
    <w:multiLevelType w:val="multilevel"/>
    <w:tmpl w:val="BA12EC2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15:restartNumberingAfterBreak="0">
    <w:nsid w:val="506338B6"/>
    <w:multiLevelType w:val="multilevel"/>
    <w:tmpl w:val="65247662"/>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upperLetter"/>
      <w:lvlText w:val="Appendix %6  "/>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2" w15:restartNumberingAfterBreak="0">
    <w:nsid w:val="51D50F1F"/>
    <w:multiLevelType w:val="multilevel"/>
    <w:tmpl w:val="BA12EC2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3" w15:restartNumberingAfterBreak="0">
    <w:nsid w:val="560536A0"/>
    <w:multiLevelType w:val="hybridMultilevel"/>
    <w:tmpl w:val="C8282C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84B6DA0"/>
    <w:multiLevelType w:val="multilevel"/>
    <w:tmpl w:val="BA12EC2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5" w15:restartNumberingAfterBreak="0">
    <w:nsid w:val="58E9206E"/>
    <w:multiLevelType w:val="multilevel"/>
    <w:tmpl w:val="F898695E"/>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6" w15:restartNumberingAfterBreak="0">
    <w:nsid w:val="5B1154D5"/>
    <w:multiLevelType w:val="multilevel"/>
    <w:tmpl w:val="223E05F4"/>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upperLetter"/>
      <w:lvlText w:val="Appendix %6  "/>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7" w15:restartNumberingAfterBreak="0">
    <w:nsid w:val="5B36754D"/>
    <w:multiLevelType w:val="multilevel"/>
    <w:tmpl w:val="4EBE31D2"/>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8" w15:restartNumberingAfterBreak="0">
    <w:nsid w:val="5C241432"/>
    <w:multiLevelType w:val="multilevel"/>
    <w:tmpl w:val="4CB2C3B8"/>
    <w:lvl w:ilvl="0">
      <w:start w:val="1"/>
      <w:numFmt w:val="none"/>
      <w:lvlText w:val=""/>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9" w15:restartNumberingAfterBreak="0">
    <w:nsid w:val="6344789F"/>
    <w:multiLevelType w:val="hybridMultilevel"/>
    <w:tmpl w:val="CA42F9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35630A4"/>
    <w:multiLevelType w:val="multilevel"/>
    <w:tmpl w:val="4EBE31D2"/>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1" w15:restartNumberingAfterBreak="0">
    <w:nsid w:val="635A37E3"/>
    <w:multiLevelType w:val="hybridMultilevel"/>
    <w:tmpl w:val="B4A80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46E296C"/>
    <w:multiLevelType w:val="hybridMultilevel"/>
    <w:tmpl w:val="D7986130"/>
    <w:lvl w:ilvl="0" w:tplc="DFE6281A">
      <w:start w:val="1"/>
      <w:numFmt w:val="bullet"/>
      <w:lvlText w:val="-"/>
      <w:lvlJc w:val="left"/>
      <w:pPr>
        <w:ind w:left="720" w:hanging="360"/>
      </w:pPr>
      <w:rPr>
        <w:rFonts w:ascii="Century Schoolbook" w:eastAsiaTheme="minorEastAsia" w:hAnsi="Century Schoolbook"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6BE4FDC"/>
    <w:multiLevelType w:val="multilevel"/>
    <w:tmpl w:val="4EBE31D2"/>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4" w15:restartNumberingAfterBreak="0">
    <w:nsid w:val="6911018F"/>
    <w:multiLevelType w:val="multilevel"/>
    <w:tmpl w:val="ADCCF89C"/>
    <w:lvl w:ilvl="0">
      <w:start w:val="1"/>
      <w:numFmt w:val="upperLetter"/>
      <w:pStyle w:val="Heading7"/>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Heading7"/>
      <w:lvlText w:val="%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5" w15:restartNumberingAfterBreak="0">
    <w:nsid w:val="6CF8410C"/>
    <w:multiLevelType w:val="multilevel"/>
    <w:tmpl w:val="5332FAE2"/>
    <w:lvl w:ilvl="0">
      <w:start w:val="1"/>
      <w:numFmt w:val="decimal"/>
      <w:pStyle w:val="Heading1"/>
      <w:lvlText w:val="Chapter %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upperLetter"/>
      <w:pStyle w:val="Heading6"/>
      <w:lvlText w:val="Appendix %6  "/>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6" w15:restartNumberingAfterBreak="0">
    <w:nsid w:val="6DD73340"/>
    <w:multiLevelType w:val="multilevel"/>
    <w:tmpl w:val="E44E1B8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7" w15:restartNumberingAfterBreak="0">
    <w:nsid w:val="742036F0"/>
    <w:multiLevelType w:val="hybridMultilevel"/>
    <w:tmpl w:val="1C1A59F0"/>
    <w:lvl w:ilvl="0" w:tplc="EAE4E072">
      <w:start w:val="1"/>
      <w:numFmt w:val="bullet"/>
      <w:lvlText w:val="-"/>
      <w:lvlJc w:val="left"/>
      <w:pPr>
        <w:ind w:left="720" w:hanging="360"/>
      </w:pPr>
      <w:rPr>
        <w:rFonts w:ascii="Century Schoolbook" w:eastAsiaTheme="minorEastAsia" w:hAnsi="Century Schoolbook"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874597E"/>
    <w:multiLevelType w:val="hybridMultilevel"/>
    <w:tmpl w:val="098A35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61398291">
    <w:abstractNumId w:val="23"/>
  </w:num>
  <w:num w:numId="2" w16cid:durableId="855117067">
    <w:abstractNumId w:val="10"/>
  </w:num>
  <w:num w:numId="3" w16cid:durableId="1934430939">
    <w:abstractNumId w:val="8"/>
  </w:num>
  <w:num w:numId="4" w16cid:durableId="1157919845">
    <w:abstractNumId w:val="7"/>
  </w:num>
  <w:num w:numId="5" w16cid:durableId="1082946266">
    <w:abstractNumId w:val="6"/>
  </w:num>
  <w:num w:numId="6" w16cid:durableId="1720207146">
    <w:abstractNumId w:val="5"/>
  </w:num>
  <w:num w:numId="7" w16cid:durableId="623737027">
    <w:abstractNumId w:val="9"/>
  </w:num>
  <w:num w:numId="8" w16cid:durableId="1679849019">
    <w:abstractNumId w:val="4"/>
  </w:num>
  <w:num w:numId="9" w16cid:durableId="83192748">
    <w:abstractNumId w:val="3"/>
  </w:num>
  <w:num w:numId="10" w16cid:durableId="238564394">
    <w:abstractNumId w:val="2"/>
  </w:num>
  <w:num w:numId="11" w16cid:durableId="1022247471">
    <w:abstractNumId w:val="1"/>
  </w:num>
  <w:num w:numId="12" w16cid:durableId="29498858">
    <w:abstractNumId w:val="0"/>
  </w:num>
  <w:num w:numId="13" w16cid:durableId="1384988534">
    <w:abstractNumId w:val="34"/>
  </w:num>
  <w:num w:numId="14" w16cid:durableId="2030836555">
    <w:abstractNumId w:val="32"/>
  </w:num>
  <w:num w:numId="15" w16cid:durableId="1957710706">
    <w:abstractNumId w:val="30"/>
  </w:num>
  <w:num w:numId="16" w16cid:durableId="6896519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291520679">
    <w:abstractNumId w:val="11"/>
  </w:num>
  <w:num w:numId="18" w16cid:durableId="164423779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429233910">
    <w:abstractNumId w:val="38"/>
  </w:num>
  <w:num w:numId="20" w16cid:durableId="1708530752">
    <w:abstractNumId w:val="46"/>
  </w:num>
  <w:num w:numId="21" w16cid:durableId="251165183">
    <w:abstractNumId w:val="22"/>
  </w:num>
  <w:num w:numId="22" w16cid:durableId="605506812">
    <w:abstractNumId w:val="23"/>
  </w:num>
  <w:num w:numId="23" w16cid:durableId="1780372109">
    <w:abstractNumId w:val="18"/>
  </w:num>
  <w:num w:numId="24" w16cid:durableId="1797067202">
    <w:abstractNumId w:val="24"/>
  </w:num>
  <w:num w:numId="25" w16cid:durableId="109321402">
    <w:abstractNumId w:val="35"/>
  </w:num>
  <w:num w:numId="26" w16cid:durableId="1818955189">
    <w:abstractNumId w:val="43"/>
  </w:num>
  <w:num w:numId="27" w16cid:durableId="809789436">
    <w:abstractNumId w:val="31"/>
  </w:num>
  <w:num w:numId="28" w16cid:durableId="1993869892">
    <w:abstractNumId w:val="45"/>
  </w:num>
  <w:num w:numId="29" w16cid:durableId="1645310968">
    <w:abstractNumId w:val="40"/>
  </w:num>
  <w:num w:numId="30" w16cid:durableId="2015453789">
    <w:abstractNumId w:val="37"/>
  </w:num>
  <w:num w:numId="31" w16cid:durableId="1601990100">
    <w:abstractNumId w:val="44"/>
  </w:num>
  <w:num w:numId="32" w16cid:durableId="1847087379">
    <w:abstractNumId w:val="17"/>
  </w:num>
  <w:num w:numId="33" w16cid:durableId="478769808">
    <w:abstractNumId w:val="29"/>
  </w:num>
  <w:num w:numId="34" w16cid:durableId="10880094">
    <w:abstractNumId w:val="36"/>
  </w:num>
  <w:num w:numId="35" w16cid:durableId="107510175">
    <w:abstractNumId w:val="28"/>
  </w:num>
  <w:num w:numId="36" w16cid:durableId="1651791497">
    <w:abstractNumId w:val="26"/>
  </w:num>
  <w:num w:numId="37" w16cid:durableId="1571307310">
    <w:abstractNumId w:val="21"/>
  </w:num>
  <w:num w:numId="38" w16cid:durableId="705761320">
    <w:abstractNumId w:val="42"/>
  </w:num>
  <w:num w:numId="39" w16cid:durableId="684677315">
    <w:abstractNumId w:val="15"/>
  </w:num>
  <w:num w:numId="40" w16cid:durableId="1061368697">
    <w:abstractNumId w:val="47"/>
  </w:num>
  <w:num w:numId="41" w16cid:durableId="332688740">
    <w:abstractNumId w:val="33"/>
  </w:num>
  <w:num w:numId="42" w16cid:durableId="1554610686">
    <w:abstractNumId w:val="39"/>
  </w:num>
  <w:num w:numId="43" w16cid:durableId="1101337721">
    <w:abstractNumId w:val="27"/>
  </w:num>
  <w:num w:numId="44" w16cid:durableId="1181554190">
    <w:abstractNumId w:val="16"/>
  </w:num>
  <w:num w:numId="45" w16cid:durableId="975379183">
    <w:abstractNumId w:val="48"/>
  </w:num>
  <w:num w:numId="46" w16cid:durableId="1051542707">
    <w:abstractNumId w:val="25"/>
  </w:num>
  <w:num w:numId="47" w16cid:durableId="771583026">
    <w:abstractNumId w:val="13"/>
  </w:num>
  <w:num w:numId="48" w16cid:durableId="999037690">
    <w:abstractNumId w:val="20"/>
  </w:num>
  <w:num w:numId="49" w16cid:durableId="1133598019">
    <w:abstractNumId w:val="19"/>
  </w:num>
  <w:num w:numId="50" w16cid:durableId="1846944468">
    <w:abstractNumId w:val="41"/>
  </w:num>
  <w:num w:numId="51" w16cid:durableId="1582523712">
    <w:abstractNumId w:val="14"/>
  </w:num>
  <w:num w:numId="52" w16cid:durableId="32382021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47A"/>
    <w:rsid w:val="00002B1C"/>
    <w:rsid w:val="000045B7"/>
    <w:rsid w:val="00004FF8"/>
    <w:rsid w:val="00005900"/>
    <w:rsid w:val="00015CD2"/>
    <w:rsid w:val="00020921"/>
    <w:rsid w:val="000230D8"/>
    <w:rsid w:val="00024328"/>
    <w:rsid w:val="0003114F"/>
    <w:rsid w:val="00040BD3"/>
    <w:rsid w:val="0004101B"/>
    <w:rsid w:val="0004699B"/>
    <w:rsid w:val="00046C7B"/>
    <w:rsid w:val="00064C5D"/>
    <w:rsid w:val="000656DA"/>
    <w:rsid w:val="00072976"/>
    <w:rsid w:val="000757B4"/>
    <w:rsid w:val="00080AEB"/>
    <w:rsid w:val="000A0994"/>
    <w:rsid w:val="000A1B37"/>
    <w:rsid w:val="000B0B7F"/>
    <w:rsid w:val="000B18A1"/>
    <w:rsid w:val="000B57F5"/>
    <w:rsid w:val="000C2909"/>
    <w:rsid w:val="000C7994"/>
    <w:rsid w:val="000D102C"/>
    <w:rsid w:val="000D2FB3"/>
    <w:rsid w:val="000E5A9F"/>
    <w:rsid w:val="000E69B1"/>
    <w:rsid w:val="000E784C"/>
    <w:rsid w:val="000F35CB"/>
    <w:rsid w:val="000F4FE1"/>
    <w:rsid w:val="00100496"/>
    <w:rsid w:val="00104F17"/>
    <w:rsid w:val="001057A2"/>
    <w:rsid w:val="00113955"/>
    <w:rsid w:val="001165BB"/>
    <w:rsid w:val="001240F6"/>
    <w:rsid w:val="0013082B"/>
    <w:rsid w:val="00132845"/>
    <w:rsid w:val="00133BF2"/>
    <w:rsid w:val="0013514F"/>
    <w:rsid w:val="001362B6"/>
    <w:rsid w:val="00136D61"/>
    <w:rsid w:val="0014360E"/>
    <w:rsid w:val="0014368C"/>
    <w:rsid w:val="001446F7"/>
    <w:rsid w:val="00147298"/>
    <w:rsid w:val="00147F45"/>
    <w:rsid w:val="001511E5"/>
    <w:rsid w:val="00153D8D"/>
    <w:rsid w:val="0015479F"/>
    <w:rsid w:val="00155D49"/>
    <w:rsid w:val="00171AEA"/>
    <w:rsid w:val="00175C20"/>
    <w:rsid w:val="00176A2B"/>
    <w:rsid w:val="001811B6"/>
    <w:rsid w:val="00182800"/>
    <w:rsid w:val="001857E4"/>
    <w:rsid w:val="00192A7A"/>
    <w:rsid w:val="001935C2"/>
    <w:rsid w:val="00194275"/>
    <w:rsid w:val="00195215"/>
    <w:rsid w:val="00195CCB"/>
    <w:rsid w:val="001A1870"/>
    <w:rsid w:val="001A2288"/>
    <w:rsid w:val="001A3EB0"/>
    <w:rsid w:val="001A4F72"/>
    <w:rsid w:val="001A55AD"/>
    <w:rsid w:val="001A7B75"/>
    <w:rsid w:val="001B0787"/>
    <w:rsid w:val="001B26CE"/>
    <w:rsid w:val="001C2F0B"/>
    <w:rsid w:val="001C33CB"/>
    <w:rsid w:val="001D162E"/>
    <w:rsid w:val="001D38C1"/>
    <w:rsid w:val="001D6245"/>
    <w:rsid w:val="001D6B70"/>
    <w:rsid w:val="001D7865"/>
    <w:rsid w:val="001D7FA5"/>
    <w:rsid w:val="001E0322"/>
    <w:rsid w:val="001E03E7"/>
    <w:rsid w:val="001E259E"/>
    <w:rsid w:val="001E45D3"/>
    <w:rsid w:val="001E56A3"/>
    <w:rsid w:val="001F138F"/>
    <w:rsid w:val="001F54A5"/>
    <w:rsid w:val="001F644D"/>
    <w:rsid w:val="00200F8B"/>
    <w:rsid w:val="00201E1E"/>
    <w:rsid w:val="00202C33"/>
    <w:rsid w:val="00204FBB"/>
    <w:rsid w:val="00215E6B"/>
    <w:rsid w:val="002210A0"/>
    <w:rsid w:val="002243D0"/>
    <w:rsid w:val="002245BD"/>
    <w:rsid w:val="002254E0"/>
    <w:rsid w:val="002260D9"/>
    <w:rsid w:val="00231F2C"/>
    <w:rsid w:val="00236D5A"/>
    <w:rsid w:val="0023789B"/>
    <w:rsid w:val="00237E0E"/>
    <w:rsid w:val="00237F7A"/>
    <w:rsid w:val="00243784"/>
    <w:rsid w:val="00252C9E"/>
    <w:rsid w:val="00254276"/>
    <w:rsid w:val="0025499C"/>
    <w:rsid w:val="00254C29"/>
    <w:rsid w:val="00257585"/>
    <w:rsid w:val="0026120D"/>
    <w:rsid w:val="002619A9"/>
    <w:rsid w:val="00262C26"/>
    <w:rsid w:val="002715D2"/>
    <w:rsid w:val="00274A4F"/>
    <w:rsid w:val="0027577A"/>
    <w:rsid w:val="0027773F"/>
    <w:rsid w:val="00281401"/>
    <w:rsid w:val="00290BB9"/>
    <w:rsid w:val="002951D2"/>
    <w:rsid w:val="00295647"/>
    <w:rsid w:val="00296B0C"/>
    <w:rsid w:val="002970BE"/>
    <w:rsid w:val="002A4CFA"/>
    <w:rsid w:val="002B35C0"/>
    <w:rsid w:val="002B404B"/>
    <w:rsid w:val="002D122D"/>
    <w:rsid w:val="002D5A91"/>
    <w:rsid w:val="002D633D"/>
    <w:rsid w:val="002D7735"/>
    <w:rsid w:val="002E0BD3"/>
    <w:rsid w:val="002E3287"/>
    <w:rsid w:val="002E3D60"/>
    <w:rsid w:val="002E4E6C"/>
    <w:rsid w:val="002F62B2"/>
    <w:rsid w:val="003012B6"/>
    <w:rsid w:val="00301377"/>
    <w:rsid w:val="00306F24"/>
    <w:rsid w:val="00307312"/>
    <w:rsid w:val="00322351"/>
    <w:rsid w:val="00325B49"/>
    <w:rsid w:val="00327871"/>
    <w:rsid w:val="00330E9F"/>
    <w:rsid w:val="003332C2"/>
    <w:rsid w:val="0033396C"/>
    <w:rsid w:val="00334A96"/>
    <w:rsid w:val="00335311"/>
    <w:rsid w:val="00335EDA"/>
    <w:rsid w:val="003360BA"/>
    <w:rsid w:val="00340FE6"/>
    <w:rsid w:val="0034201C"/>
    <w:rsid w:val="003424F5"/>
    <w:rsid w:val="003464E3"/>
    <w:rsid w:val="003476E3"/>
    <w:rsid w:val="00347B32"/>
    <w:rsid w:val="00350022"/>
    <w:rsid w:val="003518A1"/>
    <w:rsid w:val="00352241"/>
    <w:rsid w:val="00355BC4"/>
    <w:rsid w:val="00356EEE"/>
    <w:rsid w:val="00362964"/>
    <w:rsid w:val="00363B4B"/>
    <w:rsid w:val="00367313"/>
    <w:rsid w:val="00367471"/>
    <w:rsid w:val="00371A68"/>
    <w:rsid w:val="00372A57"/>
    <w:rsid w:val="00372FB7"/>
    <w:rsid w:val="003737A4"/>
    <w:rsid w:val="00383411"/>
    <w:rsid w:val="0038355A"/>
    <w:rsid w:val="00383EC6"/>
    <w:rsid w:val="003871C3"/>
    <w:rsid w:val="00396910"/>
    <w:rsid w:val="003977A1"/>
    <w:rsid w:val="003A0438"/>
    <w:rsid w:val="003A1BA1"/>
    <w:rsid w:val="003A4EAB"/>
    <w:rsid w:val="003A5391"/>
    <w:rsid w:val="003B127F"/>
    <w:rsid w:val="003B4123"/>
    <w:rsid w:val="003B551F"/>
    <w:rsid w:val="003B579E"/>
    <w:rsid w:val="003C1F5D"/>
    <w:rsid w:val="003C2630"/>
    <w:rsid w:val="003C43B6"/>
    <w:rsid w:val="003C5560"/>
    <w:rsid w:val="003C6245"/>
    <w:rsid w:val="003C7525"/>
    <w:rsid w:val="003D1EE3"/>
    <w:rsid w:val="003E2DDE"/>
    <w:rsid w:val="003E57A7"/>
    <w:rsid w:val="003F0F73"/>
    <w:rsid w:val="003F5784"/>
    <w:rsid w:val="003F7ED2"/>
    <w:rsid w:val="0040076E"/>
    <w:rsid w:val="0040187C"/>
    <w:rsid w:val="004019BE"/>
    <w:rsid w:val="00405463"/>
    <w:rsid w:val="00406FBB"/>
    <w:rsid w:val="004167FD"/>
    <w:rsid w:val="0042047A"/>
    <w:rsid w:val="00423551"/>
    <w:rsid w:val="0042585B"/>
    <w:rsid w:val="004327B2"/>
    <w:rsid w:val="00434C23"/>
    <w:rsid w:val="00437B80"/>
    <w:rsid w:val="00444560"/>
    <w:rsid w:val="004518F3"/>
    <w:rsid w:val="00456D0D"/>
    <w:rsid w:val="00463C2A"/>
    <w:rsid w:val="00465D46"/>
    <w:rsid w:val="0046617C"/>
    <w:rsid w:val="0046668C"/>
    <w:rsid w:val="00466C03"/>
    <w:rsid w:val="00467D72"/>
    <w:rsid w:val="0047713E"/>
    <w:rsid w:val="00477517"/>
    <w:rsid w:val="00477D3B"/>
    <w:rsid w:val="00477E87"/>
    <w:rsid w:val="004831D7"/>
    <w:rsid w:val="00490316"/>
    <w:rsid w:val="0049147A"/>
    <w:rsid w:val="0049438E"/>
    <w:rsid w:val="004967B2"/>
    <w:rsid w:val="004978DF"/>
    <w:rsid w:val="004A0788"/>
    <w:rsid w:val="004A66D3"/>
    <w:rsid w:val="004B29BA"/>
    <w:rsid w:val="004B2E5B"/>
    <w:rsid w:val="004B401B"/>
    <w:rsid w:val="004B405E"/>
    <w:rsid w:val="004B71D9"/>
    <w:rsid w:val="004C0EEF"/>
    <w:rsid w:val="004C2561"/>
    <w:rsid w:val="004C2C76"/>
    <w:rsid w:val="004C54BC"/>
    <w:rsid w:val="004C641C"/>
    <w:rsid w:val="004D241D"/>
    <w:rsid w:val="004D3746"/>
    <w:rsid w:val="004D3AEF"/>
    <w:rsid w:val="004D4E85"/>
    <w:rsid w:val="004D69B1"/>
    <w:rsid w:val="004E037E"/>
    <w:rsid w:val="004E0F61"/>
    <w:rsid w:val="004E1B03"/>
    <w:rsid w:val="004F3D6C"/>
    <w:rsid w:val="004F65C9"/>
    <w:rsid w:val="00500A0E"/>
    <w:rsid w:val="00502A76"/>
    <w:rsid w:val="005033E9"/>
    <w:rsid w:val="00503EA5"/>
    <w:rsid w:val="005041CB"/>
    <w:rsid w:val="00511068"/>
    <w:rsid w:val="00514BF9"/>
    <w:rsid w:val="00514C8B"/>
    <w:rsid w:val="00517B55"/>
    <w:rsid w:val="005209C4"/>
    <w:rsid w:val="00520FF5"/>
    <w:rsid w:val="0052480F"/>
    <w:rsid w:val="00526217"/>
    <w:rsid w:val="00530753"/>
    <w:rsid w:val="00535E35"/>
    <w:rsid w:val="00536C57"/>
    <w:rsid w:val="005403BC"/>
    <w:rsid w:val="005443F6"/>
    <w:rsid w:val="00544BD6"/>
    <w:rsid w:val="005454D2"/>
    <w:rsid w:val="0055243E"/>
    <w:rsid w:val="00553CBD"/>
    <w:rsid w:val="005571C5"/>
    <w:rsid w:val="005575F6"/>
    <w:rsid w:val="00560757"/>
    <w:rsid w:val="00561662"/>
    <w:rsid w:val="00562A45"/>
    <w:rsid w:val="00563E18"/>
    <w:rsid w:val="005650F0"/>
    <w:rsid w:val="00565DF4"/>
    <w:rsid w:val="005746FF"/>
    <w:rsid w:val="00574B03"/>
    <w:rsid w:val="00575AE3"/>
    <w:rsid w:val="0058238D"/>
    <w:rsid w:val="00582C46"/>
    <w:rsid w:val="005903FA"/>
    <w:rsid w:val="00590AB5"/>
    <w:rsid w:val="0059165D"/>
    <w:rsid w:val="00591E0B"/>
    <w:rsid w:val="00592122"/>
    <w:rsid w:val="00592515"/>
    <w:rsid w:val="00593CE9"/>
    <w:rsid w:val="005956EF"/>
    <w:rsid w:val="00597ED3"/>
    <w:rsid w:val="005A385C"/>
    <w:rsid w:val="005A70D7"/>
    <w:rsid w:val="005B1843"/>
    <w:rsid w:val="005B4F7E"/>
    <w:rsid w:val="005B52E1"/>
    <w:rsid w:val="005B5C3F"/>
    <w:rsid w:val="005B66F1"/>
    <w:rsid w:val="005B748B"/>
    <w:rsid w:val="005C4CFA"/>
    <w:rsid w:val="005D0C6A"/>
    <w:rsid w:val="005D735D"/>
    <w:rsid w:val="005E3085"/>
    <w:rsid w:val="005E7C3C"/>
    <w:rsid w:val="005F1A9F"/>
    <w:rsid w:val="005F1D22"/>
    <w:rsid w:val="005F43A9"/>
    <w:rsid w:val="005F6F43"/>
    <w:rsid w:val="005F7565"/>
    <w:rsid w:val="006003D6"/>
    <w:rsid w:val="00600C25"/>
    <w:rsid w:val="006023F9"/>
    <w:rsid w:val="006102CA"/>
    <w:rsid w:val="00611CC0"/>
    <w:rsid w:val="00613C00"/>
    <w:rsid w:val="00615729"/>
    <w:rsid w:val="00615B10"/>
    <w:rsid w:val="006161F3"/>
    <w:rsid w:val="006214F6"/>
    <w:rsid w:val="006233C0"/>
    <w:rsid w:val="00631EDF"/>
    <w:rsid w:val="00633235"/>
    <w:rsid w:val="00634184"/>
    <w:rsid w:val="006353C9"/>
    <w:rsid w:val="00640C89"/>
    <w:rsid w:val="00640E31"/>
    <w:rsid w:val="00644C20"/>
    <w:rsid w:val="00651CA8"/>
    <w:rsid w:val="00654550"/>
    <w:rsid w:val="00656EC6"/>
    <w:rsid w:val="006603D8"/>
    <w:rsid w:val="00661FFA"/>
    <w:rsid w:val="006626B5"/>
    <w:rsid w:val="00665694"/>
    <w:rsid w:val="00670134"/>
    <w:rsid w:val="00676817"/>
    <w:rsid w:val="006776D1"/>
    <w:rsid w:val="006800F2"/>
    <w:rsid w:val="00682CD5"/>
    <w:rsid w:val="0068455F"/>
    <w:rsid w:val="00686240"/>
    <w:rsid w:val="00686C74"/>
    <w:rsid w:val="00691346"/>
    <w:rsid w:val="0069174A"/>
    <w:rsid w:val="006968E2"/>
    <w:rsid w:val="00696F9D"/>
    <w:rsid w:val="006A65F7"/>
    <w:rsid w:val="006A699E"/>
    <w:rsid w:val="006A76EB"/>
    <w:rsid w:val="006B1105"/>
    <w:rsid w:val="006B43CC"/>
    <w:rsid w:val="006B5EFC"/>
    <w:rsid w:val="006C3EC2"/>
    <w:rsid w:val="006C7A10"/>
    <w:rsid w:val="006D0F17"/>
    <w:rsid w:val="006D3B45"/>
    <w:rsid w:val="006D5745"/>
    <w:rsid w:val="006E2D45"/>
    <w:rsid w:val="006F4182"/>
    <w:rsid w:val="006F4881"/>
    <w:rsid w:val="006F5166"/>
    <w:rsid w:val="00700E81"/>
    <w:rsid w:val="00702A17"/>
    <w:rsid w:val="007105ED"/>
    <w:rsid w:val="00710790"/>
    <w:rsid w:val="00713754"/>
    <w:rsid w:val="007149C2"/>
    <w:rsid w:val="00714C78"/>
    <w:rsid w:val="007179BB"/>
    <w:rsid w:val="0072501A"/>
    <w:rsid w:val="00726EAA"/>
    <w:rsid w:val="0072727E"/>
    <w:rsid w:val="007310F1"/>
    <w:rsid w:val="00731CAB"/>
    <w:rsid w:val="007440BA"/>
    <w:rsid w:val="00744C45"/>
    <w:rsid w:val="007510E0"/>
    <w:rsid w:val="00752A87"/>
    <w:rsid w:val="00760E81"/>
    <w:rsid w:val="00762240"/>
    <w:rsid w:val="007646BF"/>
    <w:rsid w:val="00775B2A"/>
    <w:rsid w:val="00781D15"/>
    <w:rsid w:val="0078285F"/>
    <w:rsid w:val="00782B14"/>
    <w:rsid w:val="00782E05"/>
    <w:rsid w:val="00785C40"/>
    <w:rsid w:val="007873D8"/>
    <w:rsid w:val="00791331"/>
    <w:rsid w:val="007919C2"/>
    <w:rsid w:val="0079223B"/>
    <w:rsid w:val="007949EF"/>
    <w:rsid w:val="007A2737"/>
    <w:rsid w:val="007A37C1"/>
    <w:rsid w:val="007A55F8"/>
    <w:rsid w:val="007B30E2"/>
    <w:rsid w:val="007B4417"/>
    <w:rsid w:val="007C0AB9"/>
    <w:rsid w:val="007C1484"/>
    <w:rsid w:val="007C2F94"/>
    <w:rsid w:val="007C790A"/>
    <w:rsid w:val="007D33C0"/>
    <w:rsid w:val="007D4C28"/>
    <w:rsid w:val="007D4E24"/>
    <w:rsid w:val="007D612D"/>
    <w:rsid w:val="007E11DE"/>
    <w:rsid w:val="007E1EDB"/>
    <w:rsid w:val="007E466B"/>
    <w:rsid w:val="007E55D1"/>
    <w:rsid w:val="007F1B80"/>
    <w:rsid w:val="007F6460"/>
    <w:rsid w:val="007F73B9"/>
    <w:rsid w:val="008043E1"/>
    <w:rsid w:val="00807074"/>
    <w:rsid w:val="008116D3"/>
    <w:rsid w:val="00811D96"/>
    <w:rsid w:val="00812AC9"/>
    <w:rsid w:val="008226A9"/>
    <w:rsid w:val="00824480"/>
    <w:rsid w:val="008252C3"/>
    <w:rsid w:val="00827D0F"/>
    <w:rsid w:val="00837537"/>
    <w:rsid w:val="00840FEA"/>
    <w:rsid w:val="0084119F"/>
    <w:rsid w:val="008423AE"/>
    <w:rsid w:val="00844861"/>
    <w:rsid w:val="00847DD6"/>
    <w:rsid w:val="00852BDD"/>
    <w:rsid w:val="00853E08"/>
    <w:rsid w:val="00854C9F"/>
    <w:rsid w:val="00857FA0"/>
    <w:rsid w:val="0086288E"/>
    <w:rsid w:val="008641FD"/>
    <w:rsid w:val="00865542"/>
    <w:rsid w:val="008714FC"/>
    <w:rsid w:val="00874663"/>
    <w:rsid w:val="008838FC"/>
    <w:rsid w:val="008951F6"/>
    <w:rsid w:val="00895D02"/>
    <w:rsid w:val="008A1262"/>
    <w:rsid w:val="008A1BF1"/>
    <w:rsid w:val="008A2E0D"/>
    <w:rsid w:val="008A3028"/>
    <w:rsid w:val="008B6CA7"/>
    <w:rsid w:val="008C1ED0"/>
    <w:rsid w:val="008C61C7"/>
    <w:rsid w:val="008D1521"/>
    <w:rsid w:val="008D34C8"/>
    <w:rsid w:val="008D3E3F"/>
    <w:rsid w:val="008E1F01"/>
    <w:rsid w:val="008E1F75"/>
    <w:rsid w:val="008E2D6A"/>
    <w:rsid w:val="008E698A"/>
    <w:rsid w:val="008F2B4E"/>
    <w:rsid w:val="008F55C3"/>
    <w:rsid w:val="008F78A3"/>
    <w:rsid w:val="009007BC"/>
    <w:rsid w:val="00903645"/>
    <w:rsid w:val="00907927"/>
    <w:rsid w:val="00914281"/>
    <w:rsid w:val="0091702F"/>
    <w:rsid w:val="00926548"/>
    <w:rsid w:val="00933CD9"/>
    <w:rsid w:val="00937130"/>
    <w:rsid w:val="009458D2"/>
    <w:rsid w:val="00946BC3"/>
    <w:rsid w:val="00951097"/>
    <w:rsid w:val="00951E49"/>
    <w:rsid w:val="00952266"/>
    <w:rsid w:val="00955A16"/>
    <w:rsid w:val="00955F98"/>
    <w:rsid w:val="0096110D"/>
    <w:rsid w:val="00962D50"/>
    <w:rsid w:val="0096384E"/>
    <w:rsid w:val="00963E95"/>
    <w:rsid w:val="00964BE1"/>
    <w:rsid w:val="00965A5E"/>
    <w:rsid w:val="009720B9"/>
    <w:rsid w:val="00973815"/>
    <w:rsid w:val="0098742B"/>
    <w:rsid w:val="00991ADD"/>
    <w:rsid w:val="009927CD"/>
    <w:rsid w:val="009936E9"/>
    <w:rsid w:val="009957B6"/>
    <w:rsid w:val="009A05AB"/>
    <w:rsid w:val="009A0EDD"/>
    <w:rsid w:val="009A291A"/>
    <w:rsid w:val="009A3A51"/>
    <w:rsid w:val="009A43DA"/>
    <w:rsid w:val="009A6C47"/>
    <w:rsid w:val="009A7306"/>
    <w:rsid w:val="009A782E"/>
    <w:rsid w:val="009B5455"/>
    <w:rsid w:val="009C092B"/>
    <w:rsid w:val="009C0A30"/>
    <w:rsid w:val="009C0D22"/>
    <w:rsid w:val="009C3892"/>
    <w:rsid w:val="009C4FDE"/>
    <w:rsid w:val="009D1B9F"/>
    <w:rsid w:val="009D3385"/>
    <w:rsid w:val="009D3525"/>
    <w:rsid w:val="009D7B17"/>
    <w:rsid w:val="009E0124"/>
    <w:rsid w:val="009E1693"/>
    <w:rsid w:val="009E3832"/>
    <w:rsid w:val="009E6193"/>
    <w:rsid w:val="00A03958"/>
    <w:rsid w:val="00A133E9"/>
    <w:rsid w:val="00A155DB"/>
    <w:rsid w:val="00A22F33"/>
    <w:rsid w:val="00A24ADC"/>
    <w:rsid w:val="00A32087"/>
    <w:rsid w:val="00A324F3"/>
    <w:rsid w:val="00A34784"/>
    <w:rsid w:val="00A3691E"/>
    <w:rsid w:val="00A413A8"/>
    <w:rsid w:val="00A42275"/>
    <w:rsid w:val="00A4256F"/>
    <w:rsid w:val="00A43D2D"/>
    <w:rsid w:val="00A4785A"/>
    <w:rsid w:val="00A57988"/>
    <w:rsid w:val="00A61F59"/>
    <w:rsid w:val="00A631F2"/>
    <w:rsid w:val="00A63276"/>
    <w:rsid w:val="00A677EE"/>
    <w:rsid w:val="00A71D00"/>
    <w:rsid w:val="00A7427B"/>
    <w:rsid w:val="00A82547"/>
    <w:rsid w:val="00A837B6"/>
    <w:rsid w:val="00A86447"/>
    <w:rsid w:val="00A91FA6"/>
    <w:rsid w:val="00A96F81"/>
    <w:rsid w:val="00A971EB"/>
    <w:rsid w:val="00AA31A2"/>
    <w:rsid w:val="00AA4BFE"/>
    <w:rsid w:val="00AA69A1"/>
    <w:rsid w:val="00AA7409"/>
    <w:rsid w:val="00AB1560"/>
    <w:rsid w:val="00AC3631"/>
    <w:rsid w:val="00AC70D1"/>
    <w:rsid w:val="00AD07AE"/>
    <w:rsid w:val="00AD5149"/>
    <w:rsid w:val="00AD5C18"/>
    <w:rsid w:val="00AE37DF"/>
    <w:rsid w:val="00AE775F"/>
    <w:rsid w:val="00AF1B59"/>
    <w:rsid w:val="00AF347B"/>
    <w:rsid w:val="00AF70CC"/>
    <w:rsid w:val="00AF7B30"/>
    <w:rsid w:val="00B111B3"/>
    <w:rsid w:val="00B2180A"/>
    <w:rsid w:val="00B22851"/>
    <w:rsid w:val="00B23F6C"/>
    <w:rsid w:val="00B31677"/>
    <w:rsid w:val="00B33D32"/>
    <w:rsid w:val="00B3624E"/>
    <w:rsid w:val="00B37685"/>
    <w:rsid w:val="00B4039A"/>
    <w:rsid w:val="00B42099"/>
    <w:rsid w:val="00B42270"/>
    <w:rsid w:val="00B47104"/>
    <w:rsid w:val="00B52965"/>
    <w:rsid w:val="00B52DBC"/>
    <w:rsid w:val="00B54A28"/>
    <w:rsid w:val="00B57362"/>
    <w:rsid w:val="00B62E0E"/>
    <w:rsid w:val="00B64D17"/>
    <w:rsid w:val="00B65963"/>
    <w:rsid w:val="00B703B8"/>
    <w:rsid w:val="00B747D6"/>
    <w:rsid w:val="00B7746A"/>
    <w:rsid w:val="00B82224"/>
    <w:rsid w:val="00B845E7"/>
    <w:rsid w:val="00B90669"/>
    <w:rsid w:val="00B918C2"/>
    <w:rsid w:val="00B9306F"/>
    <w:rsid w:val="00BA180E"/>
    <w:rsid w:val="00BA6232"/>
    <w:rsid w:val="00BB0FF2"/>
    <w:rsid w:val="00BB5179"/>
    <w:rsid w:val="00BB5BA0"/>
    <w:rsid w:val="00BB690F"/>
    <w:rsid w:val="00BC5360"/>
    <w:rsid w:val="00BC549E"/>
    <w:rsid w:val="00BC7ADD"/>
    <w:rsid w:val="00BC7E9F"/>
    <w:rsid w:val="00BD6832"/>
    <w:rsid w:val="00BE36E5"/>
    <w:rsid w:val="00BE4933"/>
    <w:rsid w:val="00BE5B0B"/>
    <w:rsid w:val="00BE5D10"/>
    <w:rsid w:val="00BE6AD9"/>
    <w:rsid w:val="00BE6F54"/>
    <w:rsid w:val="00BF167C"/>
    <w:rsid w:val="00BF3CC9"/>
    <w:rsid w:val="00BF450F"/>
    <w:rsid w:val="00BF5F35"/>
    <w:rsid w:val="00BF65DF"/>
    <w:rsid w:val="00C0088D"/>
    <w:rsid w:val="00C06015"/>
    <w:rsid w:val="00C063C1"/>
    <w:rsid w:val="00C07150"/>
    <w:rsid w:val="00C07B59"/>
    <w:rsid w:val="00C113FF"/>
    <w:rsid w:val="00C12B5B"/>
    <w:rsid w:val="00C15D15"/>
    <w:rsid w:val="00C16660"/>
    <w:rsid w:val="00C17089"/>
    <w:rsid w:val="00C23FE3"/>
    <w:rsid w:val="00C25398"/>
    <w:rsid w:val="00C258F7"/>
    <w:rsid w:val="00C27589"/>
    <w:rsid w:val="00C27F9E"/>
    <w:rsid w:val="00C302E3"/>
    <w:rsid w:val="00C32A20"/>
    <w:rsid w:val="00C32DAD"/>
    <w:rsid w:val="00C41707"/>
    <w:rsid w:val="00C453DC"/>
    <w:rsid w:val="00C50553"/>
    <w:rsid w:val="00C50DD9"/>
    <w:rsid w:val="00C52D35"/>
    <w:rsid w:val="00C61AA6"/>
    <w:rsid w:val="00C62CB0"/>
    <w:rsid w:val="00C657B7"/>
    <w:rsid w:val="00C6774B"/>
    <w:rsid w:val="00C74F68"/>
    <w:rsid w:val="00C75B61"/>
    <w:rsid w:val="00C879A7"/>
    <w:rsid w:val="00C911F5"/>
    <w:rsid w:val="00C913C3"/>
    <w:rsid w:val="00C92AB8"/>
    <w:rsid w:val="00C958C1"/>
    <w:rsid w:val="00CA4C4C"/>
    <w:rsid w:val="00CB2F87"/>
    <w:rsid w:val="00CB31E9"/>
    <w:rsid w:val="00CC4360"/>
    <w:rsid w:val="00CD0733"/>
    <w:rsid w:val="00CD4A3D"/>
    <w:rsid w:val="00CE7345"/>
    <w:rsid w:val="00CF166D"/>
    <w:rsid w:val="00CF2836"/>
    <w:rsid w:val="00CF3A49"/>
    <w:rsid w:val="00D004AF"/>
    <w:rsid w:val="00D01157"/>
    <w:rsid w:val="00D0270B"/>
    <w:rsid w:val="00D12675"/>
    <w:rsid w:val="00D1311F"/>
    <w:rsid w:val="00D14C92"/>
    <w:rsid w:val="00D16E69"/>
    <w:rsid w:val="00D17FF4"/>
    <w:rsid w:val="00D20635"/>
    <w:rsid w:val="00D21090"/>
    <w:rsid w:val="00D214F0"/>
    <w:rsid w:val="00D22E00"/>
    <w:rsid w:val="00D315DC"/>
    <w:rsid w:val="00D35882"/>
    <w:rsid w:val="00D40085"/>
    <w:rsid w:val="00D43A9B"/>
    <w:rsid w:val="00D519C4"/>
    <w:rsid w:val="00D53A51"/>
    <w:rsid w:val="00D60003"/>
    <w:rsid w:val="00D6043B"/>
    <w:rsid w:val="00D62F9C"/>
    <w:rsid w:val="00D751B8"/>
    <w:rsid w:val="00D75477"/>
    <w:rsid w:val="00D8089C"/>
    <w:rsid w:val="00D82FEA"/>
    <w:rsid w:val="00D87DB7"/>
    <w:rsid w:val="00D94529"/>
    <w:rsid w:val="00D947DA"/>
    <w:rsid w:val="00DA3F3C"/>
    <w:rsid w:val="00DA5015"/>
    <w:rsid w:val="00DA6820"/>
    <w:rsid w:val="00DA6EF4"/>
    <w:rsid w:val="00DA7F16"/>
    <w:rsid w:val="00DB3A2D"/>
    <w:rsid w:val="00DB70BA"/>
    <w:rsid w:val="00DC3193"/>
    <w:rsid w:val="00DC66E8"/>
    <w:rsid w:val="00DD5587"/>
    <w:rsid w:val="00DD6255"/>
    <w:rsid w:val="00DE05B1"/>
    <w:rsid w:val="00DE09DE"/>
    <w:rsid w:val="00DE1AD4"/>
    <w:rsid w:val="00DE471C"/>
    <w:rsid w:val="00DE5BAB"/>
    <w:rsid w:val="00DF2873"/>
    <w:rsid w:val="00DF2A88"/>
    <w:rsid w:val="00DF4674"/>
    <w:rsid w:val="00DF7EF8"/>
    <w:rsid w:val="00E02EF0"/>
    <w:rsid w:val="00E0335B"/>
    <w:rsid w:val="00E07A2B"/>
    <w:rsid w:val="00E11E2E"/>
    <w:rsid w:val="00E16E89"/>
    <w:rsid w:val="00E202BA"/>
    <w:rsid w:val="00E23431"/>
    <w:rsid w:val="00E2360B"/>
    <w:rsid w:val="00E23F61"/>
    <w:rsid w:val="00E24FAB"/>
    <w:rsid w:val="00E30434"/>
    <w:rsid w:val="00E3187F"/>
    <w:rsid w:val="00E324A3"/>
    <w:rsid w:val="00E33263"/>
    <w:rsid w:val="00E33371"/>
    <w:rsid w:val="00E36417"/>
    <w:rsid w:val="00E37976"/>
    <w:rsid w:val="00E40F9A"/>
    <w:rsid w:val="00E41188"/>
    <w:rsid w:val="00E411C3"/>
    <w:rsid w:val="00E414B6"/>
    <w:rsid w:val="00E41C6E"/>
    <w:rsid w:val="00E5162E"/>
    <w:rsid w:val="00E5188C"/>
    <w:rsid w:val="00E54DD1"/>
    <w:rsid w:val="00E54E14"/>
    <w:rsid w:val="00E641ED"/>
    <w:rsid w:val="00E669E3"/>
    <w:rsid w:val="00E7340B"/>
    <w:rsid w:val="00E763FA"/>
    <w:rsid w:val="00E8610C"/>
    <w:rsid w:val="00E87FD0"/>
    <w:rsid w:val="00E92ABC"/>
    <w:rsid w:val="00E962AA"/>
    <w:rsid w:val="00E96E4F"/>
    <w:rsid w:val="00E97D0F"/>
    <w:rsid w:val="00EA63BD"/>
    <w:rsid w:val="00EA72DC"/>
    <w:rsid w:val="00EA7FC6"/>
    <w:rsid w:val="00EB1574"/>
    <w:rsid w:val="00EB3392"/>
    <w:rsid w:val="00EB5245"/>
    <w:rsid w:val="00EB5312"/>
    <w:rsid w:val="00EC0804"/>
    <w:rsid w:val="00EC3C3C"/>
    <w:rsid w:val="00EC6EBE"/>
    <w:rsid w:val="00ED3504"/>
    <w:rsid w:val="00ED6C39"/>
    <w:rsid w:val="00ED70E6"/>
    <w:rsid w:val="00ED75C4"/>
    <w:rsid w:val="00ED79D3"/>
    <w:rsid w:val="00EE4E76"/>
    <w:rsid w:val="00EE50A6"/>
    <w:rsid w:val="00EE5614"/>
    <w:rsid w:val="00EF6300"/>
    <w:rsid w:val="00EF7129"/>
    <w:rsid w:val="00EF78D5"/>
    <w:rsid w:val="00F0148A"/>
    <w:rsid w:val="00F042CD"/>
    <w:rsid w:val="00F14D98"/>
    <w:rsid w:val="00F15D34"/>
    <w:rsid w:val="00F20100"/>
    <w:rsid w:val="00F2470F"/>
    <w:rsid w:val="00F33AA4"/>
    <w:rsid w:val="00F41DA2"/>
    <w:rsid w:val="00F42877"/>
    <w:rsid w:val="00F42E35"/>
    <w:rsid w:val="00F42E4E"/>
    <w:rsid w:val="00F51789"/>
    <w:rsid w:val="00F51EF4"/>
    <w:rsid w:val="00F60BC9"/>
    <w:rsid w:val="00F61314"/>
    <w:rsid w:val="00F7121C"/>
    <w:rsid w:val="00F71424"/>
    <w:rsid w:val="00F715A1"/>
    <w:rsid w:val="00F71AA7"/>
    <w:rsid w:val="00F72A94"/>
    <w:rsid w:val="00F72F7C"/>
    <w:rsid w:val="00F82B19"/>
    <w:rsid w:val="00F82B6C"/>
    <w:rsid w:val="00F85F65"/>
    <w:rsid w:val="00F86A7F"/>
    <w:rsid w:val="00F90D5D"/>
    <w:rsid w:val="00F92A86"/>
    <w:rsid w:val="00FA1276"/>
    <w:rsid w:val="00FA1D82"/>
    <w:rsid w:val="00FA5C40"/>
    <w:rsid w:val="00FB285B"/>
    <w:rsid w:val="00FB3BF8"/>
    <w:rsid w:val="00FB49EC"/>
    <w:rsid w:val="00FB7475"/>
    <w:rsid w:val="00FC1D01"/>
    <w:rsid w:val="00FD299B"/>
    <w:rsid w:val="00FD403F"/>
    <w:rsid w:val="00FD48F2"/>
    <w:rsid w:val="00FD51F0"/>
    <w:rsid w:val="00FD5FA2"/>
    <w:rsid w:val="00FE5C88"/>
    <w:rsid w:val="00FE7445"/>
    <w:rsid w:val="00FF218E"/>
    <w:rsid w:val="00FF4A47"/>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063F77"/>
  <w14:defaultImageDpi w14:val="300"/>
  <w15:docId w15:val="{C58F93EF-0CF6-4BD6-900E-734803C0B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6C7B"/>
    <w:pPr>
      <w:spacing w:before="240"/>
      <w:jc w:val="both"/>
    </w:pPr>
    <w:rPr>
      <w:rFonts w:ascii="Century Schoolbook" w:hAnsi="Century Schoolbook"/>
      <w:sz w:val="22"/>
      <w:szCs w:val="22"/>
      <w:lang w:val="en-GB"/>
    </w:rPr>
  </w:style>
  <w:style w:type="paragraph" w:styleId="Heading1">
    <w:name w:val="heading 1"/>
    <w:basedOn w:val="Normal"/>
    <w:next w:val="Normal"/>
    <w:link w:val="Heading1Char"/>
    <w:uiPriority w:val="9"/>
    <w:qFormat/>
    <w:rsid w:val="00BE5B0B"/>
    <w:pPr>
      <w:keepNext/>
      <w:keepLines/>
      <w:numPr>
        <w:numId w:val="28"/>
      </w:numPr>
      <w:tabs>
        <w:tab w:val="left" w:pos="1985"/>
      </w:tabs>
      <w:spacing w:before="480" w:after="720"/>
      <w:ind w:left="431" w:hanging="431"/>
      <w:outlineLvl w:val="0"/>
    </w:pPr>
    <w:rPr>
      <w:rFonts w:eastAsiaTheme="majorEastAsia" w:cstheme="majorBidi"/>
      <w:b/>
      <w:bCs/>
      <w:sz w:val="32"/>
      <w:szCs w:val="32"/>
    </w:rPr>
  </w:style>
  <w:style w:type="paragraph" w:styleId="Heading2">
    <w:name w:val="heading 2"/>
    <w:basedOn w:val="Normal"/>
    <w:next w:val="Normal"/>
    <w:link w:val="Heading2Char"/>
    <w:uiPriority w:val="9"/>
    <w:unhideWhenUsed/>
    <w:qFormat/>
    <w:rsid w:val="00530753"/>
    <w:pPr>
      <w:keepNext/>
      <w:keepLines/>
      <w:numPr>
        <w:ilvl w:val="1"/>
        <w:numId w:val="28"/>
      </w:numPr>
      <w:spacing w:before="360" w:after="24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13082B"/>
    <w:pPr>
      <w:keepNext/>
      <w:keepLines/>
      <w:numPr>
        <w:ilvl w:val="2"/>
        <w:numId w:val="28"/>
      </w:numPr>
      <w:spacing w:before="200"/>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530753"/>
    <w:pPr>
      <w:keepNext/>
      <w:keepLines/>
      <w:numPr>
        <w:ilvl w:val="3"/>
        <w:numId w:val="28"/>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30753"/>
    <w:pPr>
      <w:keepNext/>
      <w:keepLines/>
      <w:numPr>
        <w:ilvl w:val="4"/>
        <w:numId w:val="28"/>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DE5BAB"/>
    <w:pPr>
      <w:keepNext/>
      <w:keepLines/>
      <w:numPr>
        <w:ilvl w:val="5"/>
        <w:numId w:val="28"/>
      </w:numPr>
      <w:spacing w:before="320" w:after="240"/>
      <w:ind w:left="1151" w:hanging="1151"/>
      <w:outlineLvl w:val="5"/>
    </w:pPr>
    <w:rPr>
      <w:rFonts w:eastAsiaTheme="majorEastAsia" w:cstheme="majorBidi"/>
      <w:b/>
      <w:iCs/>
      <w:color w:val="243F60" w:themeColor="accent1" w:themeShade="7F"/>
      <w:sz w:val="32"/>
    </w:rPr>
  </w:style>
  <w:style w:type="paragraph" w:styleId="Heading7">
    <w:name w:val="heading 7"/>
    <w:basedOn w:val="ListParagraph"/>
    <w:next w:val="Normal"/>
    <w:link w:val="Heading7Char"/>
    <w:uiPriority w:val="9"/>
    <w:unhideWhenUsed/>
    <w:qFormat/>
    <w:rsid w:val="00530753"/>
    <w:pPr>
      <w:numPr>
        <w:ilvl w:val="6"/>
        <w:numId w:val="31"/>
      </w:numPr>
      <w:spacing w:before="360" w:after="240"/>
      <w:outlineLvl w:val="6"/>
    </w:pPr>
    <w:rPr>
      <w:sz w:val="26"/>
      <w:szCs w:val="26"/>
    </w:rPr>
  </w:style>
  <w:style w:type="paragraph" w:styleId="Heading8">
    <w:name w:val="heading 8"/>
    <w:basedOn w:val="Normal"/>
    <w:next w:val="Normal"/>
    <w:link w:val="Heading8Char"/>
    <w:uiPriority w:val="9"/>
    <w:semiHidden/>
    <w:unhideWhenUsed/>
    <w:qFormat/>
    <w:rsid w:val="00530753"/>
    <w:pPr>
      <w:keepNext/>
      <w:keepLines/>
      <w:numPr>
        <w:ilvl w:val="7"/>
        <w:numId w:val="28"/>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30753"/>
    <w:pPr>
      <w:keepNext/>
      <w:keepLines/>
      <w:numPr>
        <w:ilvl w:val="8"/>
        <w:numId w:val="28"/>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9147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9147A"/>
    <w:rPr>
      <w:rFonts w:ascii="Lucida Grande" w:hAnsi="Lucida Grande" w:cs="Lucida Grande"/>
      <w:sz w:val="18"/>
      <w:szCs w:val="18"/>
    </w:rPr>
  </w:style>
  <w:style w:type="character" w:customStyle="1" w:styleId="Heading1Char">
    <w:name w:val="Heading 1 Char"/>
    <w:basedOn w:val="DefaultParagraphFont"/>
    <w:link w:val="Heading1"/>
    <w:uiPriority w:val="9"/>
    <w:rsid w:val="00BE5B0B"/>
    <w:rPr>
      <w:rFonts w:ascii="Century Schoolbook" w:eastAsiaTheme="majorEastAsia" w:hAnsi="Century Schoolbook" w:cstheme="majorBidi"/>
      <w:b/>
      <w:bCs/>
      <w:sz w:val="32"/>
      <w:szCs w:val="32"/>
    </w:rPr>
  </w:style>
  <w:style w:type="character" w:customStyle="1" w:styleId="Heading2Char">
    <w:name w:val="Heading 2 Char"/>
    <w:basedOn w:val="DefaultParagraphFont"/>
    <w:link w:val="Heading2"/>
    <w:uiPriority w:val="9"/>
    <w:rsid w:val="00530753"/>
    <w:rPr>
      <w:rFonts w:ascii="Century Schoolbook" w:eastAsiaTheme="majorEastAsia" w:hAnsi="Century Schoolbook" w:cstheme="majorBidi"/>
      <w:b/>
      <w:bCs/>
      <w:sz w:val="26"/>
      <w:szCs w:val="26"/>
    </w:rPr>
  </w:style>
  <w:style w:type="paragraph" w:customStyle="1" w:styleId="Fronttitle">
    <w:name w:val="Front title"/>
    <w:basedOn w:val="Normal"/>
    <w:qFormat/>
    <w:rsid w:val="00973815"/>
    <w:pPr>
      <w:spacing w:before="2200"/>
      <w:jc w:val="center"/>
    </w:pPr>
    <w:rPr>
      <w:b/>
      <w:sz w:val="40"/>
      <w:szCs w:val="40"/>
    </w:rPr>
  </w:style>
  <w:style w:type="paragraph" w:customStyle="1" w:styleId="Frontauthor">
    <w:name w:val="Front author"/>
    <w:basedOn w:val="Normal"/>
    <w:qFormat/>
    <w:rsid w:val="00973815"/>
    <w:pPr>
      <w:spacing w:before="1000"/>
      <w:jc w:val="center"/>
    </w:pPr>
    <w:rPr>
      <w:sz w:val="40"/>
      <w:szCs w:val="40"/>
    </w:rPr>
  </w:style>
  <w:style w:type="character" w:customStyle="1" w:styleId="Heading3Char">
    <w:name w:val="Heading 3 Char"/>
    <w:basedOn w:val="DefaultParagraphFont"/>
    <w:link w:val="Heading3"/>
    <w:uiPriority w:val="9"/>
    <w:rsid w:val="0013082B"/>
    <w:rPr>
      <w:rFonts w:ascii="Century Schoolbook" w:eastAsiaTheme="majorEastAsia" w:hAnsi="Century Schoolbook" w:cstheme="majorBidi"/>
      <w:b/>
      <w:bCs/>
      <w:color w:val="000000" w:themeColor="text1"/>
      <w:sz w:val="22"/>
      <w:szCs w:val="22"/>
      <w:lang w:val="en-GB"/>
    </w:rPr>
  </w:style>
  <w:style w:type="paragraph" w:customStyle="1" w:styleId="frontaddress">
    <w:name w:val="front address"/>
    <w:basedOn w:val="Normal"/>
    <w:qFormat/>
    <w:rsid w:val="00973815"/>
    <w:pPr>
      <w:jc w:val="center"/>
    </w:pPr>
    <w:rPr>
      <w:sz w:val="28"/>
      <w:szCs w:val="28"/>
    </w:rPr>
  </w:style>
  <w:style w:type="paragraph" w:customStyle="1" w:styleId="Frontaddressfirstline">
    <w:name w:val="Front address first line"/>
    <w:basedOn w:val="Normal"/>
    <w:qFormat/>
    <w:rsid w:val="00973815"/>
    <w:pPr>
      <w:spacing w:before="1000"/>
      <w:jc w:val="center"/>
    </w:pPr>
    <w:rPr>
      <w:sz w:val="28"/>
      <w:szCs w:val="28"/>
    </w:rPr>
  </w:style>
  <w:style w:type="character" w:customStyle="1" w:styleId="Heading4Char">
    <w:name w:val="Heading 4 Char"/>
    <w:basedOn w:val="DefaultParagraphFont"/>
    <w:link w:val="Heading4"/>
    <w:uiPriority w:val="9"/>
    <w:rsid w:val="00530753"/>
    <w:rPr>
      <w:rFonts w:asciiTheme="majorHAnsi" w:eastAsiaTheme="majorEastAsia" w:hAnsiTheme="majorHAnsi" w:cstheme="majorBidi"/>
      <w:b/>
      <w:bCs/>
      <w:i/>
      <w:iCs/>
      <w:color w:val="4F81BD" w:themeColor="accent1"/>
      <w:sz w:val="22"/>
      <w:szCs w:val="22"/>
    </w:rPr>
  </w:style>
  <w:style w:type="character" w:customStyle="1" w:styleId="Heading5Char">
    <w:name w:val="Heading 5 Char"/>
    <w:basedOn w:val="DefaultParagraphFont"/>
    <w:link w:val="Heading5"/>
    <w:uiPriority w:val="9"/>
    <w:semiHidden/>
    <w:rsid w:val="00530753"/>
    <w:rPr>
      <w:rFonts w:asciiTheme="majorHAnsi" w:eastAsiaTheme="majorEastAsia" w:hAnsiTheme="majorHAnsi" w:cstheme="majorBidi"/>
      <w:color w:val="243F60" w:themeColor="accent1" w:themeShade="7F"/>
      <w:sz w:val="22"/>
      <w:szCs w:val="22"/>
    </w:rPr>
  </w:style>
  <w:style w:type="character" w:customStyle="1" w:styleId="Heading6Char">
    <w:name w:val="Heading 6 Char"/>
    <w:basedOn w:val="DefaultParagraphFont"/>
    <w:link w:val="Heading6"/>
    <w:uiPriority w:val="9"/>
    <w:rsid w:val="00DE5BAB"/>
    <w:rPr>
      <w:rFonts w:ascii="Century Schoolbook" w:eastAsiaTheme="majorEastAsia" w:hAnsi="Century Schoolbook" w:cstheme="majorBidi"/>
      <w:b/>
      <w:iCs/>
      <w:color w:val="243F60" w:themeColor="accent1" w:themeShade="7F"/>
      <w:sz w:val="32"/>
      <w:szCs w:val="22"/>
    </w:rPr>
  </w:style>
  <w:style w:type="character" w:customStyle="1" w:styleId="Heading7Char">
    <w:name w:val="Heading 7 Char"/>
    <w:basedOn w:val="DefaultParagraphFont"/>
    <w:link w:val="Heading7"/>
    <w:uiPriority w:val="9"/>
    <w:rsid w:val="00530753"/>
    <w:rPr>
      <w:rFonts w:ascii="Century Schoolbook" w:hAnsi="Century Schoolbook"/>
      <w:sz w:val="26"/>
      <w:szCs w:val="26"/>
    </w:rPr>
  </w:style>
  <w:style w:type="character" w:customStyle="1" w:styleId="Heading8Char">
    <w:name w:val="Heading 8 Char"/>
    <w:basedOn w:val="DefaultParagraphFont"/>
    <w:link w:val="Heading8"/>
    <w:uiPriority w:val="9"/>
    <w:semiHidden/>
    <w:rsid w:val="0053075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30753"/>
    <w:rPr>
      <w:rFonts w:asciiTheme="majorHAnsi" w:eastAsiaTheme="majorEastAsia" w:hAnsiTheme="majorHAnsi" w:cstheme="majorBidi"/>
      <w:i/>
      <w:iCs/>
      <w:color w:val="404040" w:themeColor="text1" w:themeTint="BF"/>
      <w:sz w:val="20"/>
      <w:szCs w:val="20"/>
    </w:rPr>
  </w:style>
  <w:style w:type="paragraph" w:styleId="TOC1">
    <w:name w:val="toc 1"/>
    <w:basedOn w:val="Normal"/>
    <w:next w:val="Normal"/>
    <w:autoRedefine/>
    <w:uiPriority w:val="39"/>
    <w:unhideWhenUsed/>
    <w:rsid w:val="004F65C9"/>
    <w:pPr>
      <w:tabs>
        <w:tab w:val="left" w:pos="382"/>
        <w:tab w:val="right" w:leader="dot" w:pos="8290"/>
      </w:tabs>
      <w:jc w:val="left"/>
    </w:pPr>
    <w:rPr>
      <w:b/>
      <w:noProof/>
      <w:sz w:val="24"/>
      <w:szCs w:val="24"/>
    </w:rPr>
  </w:style>
  <w:style w:type="paragraph" w:styleId="TOC2">
    <w:name w:val="toc 2"/>
    <w:basedOn w:val="Normal"/>
    <w:next w:val="Normal"/>
    <w:autoRedefine/>
    <w:uiPriority w:val="39"/>
    <w:unhideWhenUsed/>
    <w:rsid w:val="004F65C9"/>
    <w:pPr>
      <w:tabs>
        <w:tab w:val="left" w:pos="772"/>
        <w:tab w:val="right" w:leader="dot" w:pos="8290"/>
      </w:tabs>
      <w:spacing w:before="120"/>
      <w:ind w:left="221"/>
      <w:jc w:val="left"/>
    </w:pPr>
    <w:rPr>
      <w:rFonts w:asciiTheme="minorHAnsi" w:hAnsiTheme="minorHAnsi"/>
      <w:b/>
    </w:rPr>
  </w:style>
  <w:style w:type="paragraph" w:styleId="TOC3">
    <w:name w:val="toc 3"/>
    <w:basedOn w:val="Normal"/>
    <w:next w:val="Normal"/>
    <w:autoRedefine/>
    <w:uiPriority w:val="39"/>
    <w:unhideWhenUsed/>
    <w:rsid w:val="00F33AA4"/>
    <w:pPr>
      <w:spacing w:before="0"/>
      <w:ind w:left="440"/>
      <w:jc w:val="left"/>
    </w:pPr>
    <w:rPr>
      <w:rFonts w:asciiTheme="minorHAnsi" w:hAnsiTheme="minorHAnsi"/>
    </w:rPr>
  </w:style>
  <w:style w:type="paragraph" w:styleId="TOC4">
    <w:name w:val="toc 4"/>
    <w:basedOn w:val="Normal"/>
    <w:next w:val="Normal"/>
    <w:autoRedefine/>
    <w:uiPriority w:val="39"/>
    <w:unhideWhenUsed/>
    <w:rsid w:val="00F33AA4"/>
    <w:pPr>
      <w:spacing w:before="0"/>
      <w:ind w:left="660"/>
      <w:jc w:val="left"/>
    </w:pPr>
    <w:rPr>
      <w:rFonts w:asciiTheme="minorHAnsi" w:hAnsiTheme="minorHAnsi"/>
      <w:sz w:val="20"/>
      <w:szCs w:val="20"/>
    </w:rPr>
  </w:style>
  <w:style w:type="paragraph" w:styleId="TOC5">
    <w:name w:val="toc 5"/>
    <w:basedOn w:val="Normal"/>
    <w:next w:val="Normal"/>
    <w:autoRedefine/>
    <w:uiPriority w:val="39"/>
    <w:unhideWhenUsed/>
    <w:rsid w:val="00F33AA4"/>
    <w:pPr>
      <w:spacing w:before="0"/>
      <w:ind w:left="880"/>
      <w:jc w:val="left"/>
    </w:pPr>
    <w:rPr>
      <w:rFonts w:asciiTheme="minorHAnsi" w:hAnsiTheme="minorHAnsi"/>
      <w:sz w:val="20"/>
      <w:szCs w:val="20"/>
    </w:rPr>
  </w:style>
  <w:style w:type="paragraph" w:styleId="TOC6">
    <w:name w:val="toc 6"/>
    <w:basedOn w:val="TOC1"/>
    <w:next w:val="Normal"/>
    <w:autoRedefine/>
    <w:uiPriority w:val="39"/>
    <w:unhideWhenUsed/>
    <w:rsid w:val="005956EF"/>
    <w:pPr>
      <w:tabs>
        <w:tab w:val="left" w:pos="2328"/>
      </w:tabs>
    </w:pPr>
    <w:rPr>
      <w:szCs w:val="20"/>
    </w:rPr>
  </w:style>
  <w:style w:type="paragraph" w:styleId="TOC7">
    <w:name w:val="toc 7"/>
    <w:basedOn w:val="Normal"/>
    <w:next w:val="Normal"/>
    <w:autoRedefine/>
    <w:uiPriority w:val="39"/>
    <w:unhideWhenUsed/>
    <w:rsid w:val="00F33AA4"/>
    <w:pPr>
      <w:spacing w:before="0"/>
      <w:ind w:left="1320"/>
      <w:jc w:val="left"/>
    </w:pPr>
    <w:rPr>
      <w:rFonts w:asciiTheme="minorHAnsi" w:hAnsiTheme="minorHAnsi"/>
      <w:sz w:val="20"/>
      <w:szCs w:val="20"/>
    </w:rPr>
  </w:style>
  <w:style w:type="paragraph" w:styleId="TOC8">
    <w:name w:val="toc 8"/>
    <w:basedOn w:val="Normal"/>
    <w:next w:val="Normal"/>
    <w:autoRedefine/>
    <w:uiPriority w:val="39"/>
    <w:unhideWhenUsed/>
    <w:rsid w:val="00F33AA4"/>
    <w:pPr>
      <w:spacing w:before="0"/>
      <w:ind w:left="1540"/>
      <w:jc w:val="left"/>
    </w:pPr>
    <w:rPr>
      <w:rFonts w:asciiTheme="minorHAnsi" w:hAnsiTheme="minorHAnsi"/>
      <w:sz w:val="20"/>
      <w:szCs w:val="20"/>
    </w:rPr>
  </w:style>
  <w:style w:type="paragraph" w:styleId="TOC9">
    <w:name w:val="toc 9"/>
    <w:basedOn w:val="Normal"/>
    <w:next w:val="Normal"/>
    <w:autoRedefine/>
    <w:uiPriority w:val="39"/>
    <w:unhideWhenUsed/>
    <w:rsid w:val="00F33AA4"/>
    <w:pPr>
      <w:spacing w:before="0"/>
      <w:ind w:left="1760"/>
      <w:jc w:val="left"/>
    </w:pPr>
    <w:rPr>
      <w:rFonts w:asciiTheme="minorHAnsi" w:hAnsiTheme="minorHAnsi"/>
      <w:sz w:val="20"/>
      <w:szCs w:val="20"/>
    </w:rPr>
  </w:style>
  <w:style w:type="paragraph" w:styleId="Header">
    <w:name w:val="header"/>
    <w:basedOn w:val="Normal"/>
    <w:link w:val="HeaderChar"/>
    <w:uiPriority w:val="99"/>
    <w:unhideWhenUsed/>
    <w:rsid w:val="004F65C9"/>
    <w:pPr>
      <w:tabs>
        <w:tab w:val="center" w:pos="4320"/>
        <w:tab w:val="right" w:pos="8640"/>
      </w:tabs>
      <w:spacing w:before="0"/>
    </w:pPr>
  </w:style>
  <w:style w:type="character" w:customStyle="1" w:styleId="HeaderChar">
    <w:name w:val="Header Char"/>
    <w:basedOn w:val="DefaultParagraphFont"/>
    <w:link w:val="Header"/>
    <w:uiPriority w:val="99"/>
    <w:rsid w:val="004F65C9"/>
    <w:rPr>
      <w:rFonts w:ascii="Century Schoolbook" w:hAnsi="Century Schoolbook"/>
      <w:sz w:val="22"/>
      <w:szCs w:val="22"/>
    </w:rPr>
  </w:style>
  <w:style w:type="paragraph" w:styleId="Footer">
    <w:name w:val="footer"/>
    <w:basedOn w:val="Normal"/>
    <w:link w:val="FooterChar"/>
    <w:uiPriority w:val="99"/>
    <w:unhideWhenUsed/>
    <w:rsid w:val="004F65C9"/>
    <w:pPr>
      <w:tabs>
        <w:tab w:val="center" w:pos="4320"/>
        <w:tab w:val="right" w:pos="8640"/>
      </w:tabs>
      <w:spacing w:before="0"/>
    </w:pPr>
  </w:style>
  <w:style w:type="character" w:customStyle="1" w:styleId="FooterChar">
    <w:name w:val="Footer Char"/>
    <w:basedOn w:val="DefaultParagraphFont"/>
    <w:link w:val="Footer"/>
    <w:uiPriority w:val="99"/>
    <w:rsid w:val="004F65C9"/>
    <w:rPr>
      <w:rFonts w:ascii="Century Schoolbook" w:hAnsi="Century Schoolbook"/>
      <w:sz w:val="22"/>
      <w:szCs w:val="22"/>
    </w:rPr>
  </w:style>
  <w:style w:type="character" w:styleId="PageNumber">
    <w:name w:val="page number"/>
    <w:basedOn w:val="DefaultParagraphFont"/>
    <w:uiPriority w:val="99"/>
    <w:semiHidden/>
    <w:unhideWhenUsed/>
    <w:rsid w:val="004F65C9"/>
  </w:style>
  <w:style w:type="paragraph" w:customStyle="1" w:styleId="figurecaption">
    <w:name w:val="figure caption"/>
    <w:basedOn w:val="Normal"/>
    <w:next w:val="Normal"/>
    <w:qFormat/>
    <w:rsid w:val="00611CC0"/>
    <w:pPr>
      <w:spacing w:before="120"/>
      <w:jc w:val="center"/>
    </w:pPr>
    <w:rPr>
      <w:b/>
    </w:rPr>
  </w:style>
  <w:style w:type="paragraph" w:customStyle="1" w:styleId="figure">
    <w:name w:val="figure"/>
    <w:basedOn w:val="Normal"/>
    <w:next w:val="figurecaption"/>
    <w:qFormat/>
    <w:rsid w:val="00676817"/>
    <w:pPr>
      <w:jc w:val="center"/>
    </w:pPr>
  </w:style>
  <w:style w:type="paragraph" w:styleId="TableofFigures">
    <w:name w:val="table of figures"/>
    <w:basedOn w:val="Normal"/>
    <w:next w:val="Normal"/>
    <w:uiPriority w:val="99"/>
    <w:unhideWhenUsed/>
    <w:rsid w:val="00676817"/>
    <w:pPr>
      <w:ind w:left="440" w:hanging="440"/>
    </w:pPr>
  </w:style>
  <w:style w:type="paragraph" w:customStyle="1" w:styleId="code">
    <w:name w:val="code"/>
    <w:basedOn w:val="Normal"/>
    <w:qFormat/>
    <w:rsid w:val="00EE5614"/>
    <w:pPr>
      <w:tabs>
        <w:tab w:val="left" w:pos="567"/>
        <w:tab w:val="left" w:pos="851"/>
        <w:tab w:val="left" w:pos="1134"/>
        <w:tab w:val="left" w:pos="1418"/>
        <w:tab w:val="left" w:pos="1701"/>
        <w:tab w:val="left" w:pos="1985"/>
        <w:tab w:val="left" w:pos="2268"/>
        <w:tab w:val="left" w:pos="2552"/>
        <w:tab w:val="left" w:pos="2835"/>
      </w:tabs>
      <w:ind w:left="284"/>
      <w:contextualSpacing/>
    </w:pPr>
    <w:rPr>
      <w:rFonts w:ascii="Courier" w:hAnsi="Courier"/>
      <w:sz w:val="20"/>
      <w:szCs w:val="20"/>
    </w:rPr>
  </w:style>
  <w:style w:type="paragraph" w:styleId="Caption">
    <w:name w:val="caption"/>
    <w:basedOn w:val="Normal"/>
    <w:next w:val="Normal"/>
    <w:uiPriority w:val="35"/>
    <w:semiHidden/>
    <w:unhideWhenUsed/>
    <w:qFormat/>
    <w:rsid w:val="00147F45"/>
    <w:pPr>
      <w:spacing w:before="120" w:after="200"/>
      <w:jc w:val="center"/>
    </w:pPr>
    <w:rPr>
      <w:b/>
      <w:bCs/>
      <w:szCs w:val="18"/>
    </w:rPr>
  </w:style>
  <w:style w:type="paragraph" w:customStyle="1" w:styleId="EarlyHeading">
    <w:name w:val="Early Heading"/>
    <w:basedOn w:val="Normal"/>
    <w:next w:val="Normal"/>
    <w:qFormat/>
    <w:rsid w:val="00D75477"/>
    <w:rPr>
      <w:b/>
      <w:sz w:val="32"/>
      <w:szCs w:val="32"/>
    </w:rPr>
  </w:style>
  <w:style w:type="paragraph" w:customStyle="1" w:styleId="Appendixheading1">
    <w:name w:val="Appendix heading 1"/>
    <w:basedOn w:val="Heading1"/>
    <w:qFormat/>
    <w:rsid w:val="00DD5587"/>
  </w:style>
  <w:style w:type="paragraph" w:styleId="ListParagraph">
    <w:name w:val="List Paragraph"/>
    <w:basedOn w:val="Normal"/>
    <w:uiPriority w:val="34"/>
    <w:qFormat/>
    <w:rsid w:val="00FA5C40"/>
    <w:pPr>
      <w:ind w:left="720"/>
      <w:contextualSpacing/>
    </w:pPr>
  </w:style>
  <w:style w:type="character" w:styleId="Hyperlink">
    <w:name w:val="Hyperlink"/>
    <w:basedOn w:val="DefaultParagraphFont"/>
    <w:uiPriority w:val="99"/>
    <w:unhideWhenUsed/>
    <w:rsid w:val="00574B03"/>
    <w:rPr>
      <w:color w:val="0000FF" w:themeColor="hyperlink"/>
      <w:u w:val="single"/>
    </w:rPr>
  </w:style>
  <w:style w:type="character" w:styleId="UnresolvedMention">
    <w:name w:val="Unresolved Mention"/>
    <w:basedOn w:val="DefaultParagraphFont"/>
    <w:uiPriority w:val="99"/>
    <w:semiHidden/>
    <w:unhideWhenUsed/>
    <w:rsid w:val="00574B03"/>
    <w:rPr>
      <w:color w:val="605E5C"/>
      <w:shd w:val="clear" w:color="auto" w:fill="E1DFDD"/>
    </w:rPr>
  </w:style>
  <w:style w:type="character" w:styleId="PlaceholderText">
    <w:name w:val="Placeholder Text"/>
    <w:basedOn w:val="DefaultParagraphFont"/>
    <w:uiPriority w:val="99"/>
    <w:semiHidden/>
    <w:rsid w:val="005403BC"/>
    <w:rPr>
      <w:color w:val="666666"/>
    </w:rPr>
  </w:style>
  <w:style w:type="character" w:styleId="FollowedHyperlink">
    <w:name w:val="FollowedHyperlink"/>
    <w:basedOn w:val="DefaultParagraphFont"/>
    <w:uiPriority w:val="99"/>
    <w:semiHidden/>
    <w:unhideWhenUsed/>
    <w:rsid w:val="003B551F"/>
    <w:rPr>
      <w:color w:val="800080" w:themeColor="followedHyperlink"/>
      <w:u w:val="single"/>
    </w:rPr>
  </w:style>
  <w:style w:type="paragraph" w:styleId="FootnoteText">
    <w:name w:val="footnote text"/>
    <w:basedOn w:val="Normal"/>
    <w:link w:val="FootnoteTextChar"/>
    <w:uiPriority w:val="99"/>
    <w:semiHidden/>
    <w:unhideWhenUsed/>
    <w:rsid w:val="002254E0"/>
    <w:pPr>
      <w:spacing w:before="0"/>
    </w:pPr>
    <w:rPr>
      <w:sz w:val="20"/>
      <w:szCs w:val="20"/>
    </w:rPr>
  </w:style>
  <w:style w:type="character" w:customStyle="1" w:styleId="FootnoteTextChar">
    <w:name w:val="Footnote Text Char"/>
    <w:basedOn w:val="DefaultParagraphFont"/>
    <w:link w:val="FootnoteText"/>
    <w:uiPriority w:val="99"/>
    <w:semiHidden/>
    <w:rsid w:val="002254E0"/>
    <w:rPr>
      <w:rFonts w:ascii="Century Schoolbook" w:hAnsi="Century Schoolbook"/>
      <w:sz w:val="20"/>
      <w:szCs w:val="20"/>
      <w:lang w:val="en-GB"/>
    </w:rPr>
  </w:style>
  <w:style w:type="character" w:styleId="FootnoteReference">
    <w:name w:val="footnote reference"/>
    <w:basedOn w:val="DefaultParagraphFont"/>
    <w:uiPriority w:val="99"/>
    <w:semiHidden/>
    <w:unhideWhenUsed/>
    <w:rsid w:val="002254E0"/>
    <w:rPr>
      <w:vertAlign w:val="superscript"/>
    </w:rPr>
  </w:style>
  <w:style w:type="paragraph" w:styleId="EndnoteText">
    <w:name w:val="endnote text"/>
    <w:basedOn w:val="Normal"/>
    <w:link w:val="EndnoteTextChar"/>
    <w:uiPriority w:val="99"/>
    <w:semiHidden/>
    <w:unhideWhenUsed/>
    <w:rsid w:val="00951E49"/>
    <w:pPr>
      <w:spacing w:before="0"/>
    </w:pPr>
    <w:rPr>
      <w:sz w:val="20"/>
      <w:szCs w:val="20"/>
    </w:rPr>
  </w:style>
  <w:style w:type="character" w:customStyle="1" w:styleId="EndnoteTextChar">
    <w:name w:val="Endnote Text Char"/>
    <w:basedOn w:val="DefaultParagraphFont"/>
    <w:link w:val="EndnoteText"/>
    <w:uiPriority w:val="99"/>
    <w:semiHidden/>
    <w:rsid w:val="00951E49"/>
    <w:rPr>
      <w:rFonts w:ascii="Century Schoolbook" w:hAnsi="Century Schoolbook"/>
      <w:sz w:val="20"/>
      <w:szCs w:val="20"/>
      <w:lang w:val="en-GB"/>
    </w:rPr>
  </w:style>
  <w:style w:type="character" w:styleId="EndnoteReference">
    <w:name w:val="endnote reference"/>
    <w:basedOn w:val="DefaultParagraphFont"/>
    <w:uiPriority w:val="99"/>
    <w:semiHidden/>
    <w:unhideWhenUsed/>
    <w:rsid w:val="00951E49"/>
    <w:rPr>
      <w:vertAlign w:val="superscript"/>
    </w:rPr>
  </w:style>
  <w:style w:type="table" w:styleId="TableGrid">
    <w:name w:val="Table Grid"/>
    <w:basedOn w:val="TableNormal"/>
    <w:uiPriority w:val="59"/>
    <w:rsid w:val="003673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1">
    <w:name w:val="Style1"/>
    <w:basedOn w:val="TableList5"/>
    <w:uiPriority w:val="99"/>
    <w:rsid w:val="00444560"/>
    <w:rPr>
      <w:rFonts w:ascii="Century Schoolbook" w:hAnsi="Century Schoolbook"/>
      <w:sz w:val="16"/>
    </w:rPr>
    <w:tbl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5">
    <w:name w:val="Table List 5"/>
    <w:basedOn w:val="TableNormal"/>
    <w:uiPriority w:val="99"/>
    <w:semiHidden/>
    <w:unhideWhenUsed/>
    <w:rsid w:val="00367313"/>
    <w:pPr>
      <w:spacing w:before="24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customStyle="1" w:styleId="Style2">
    <w:name w:val="Style2"/>
    <w:basedOn w:val="TableSimple3"/>
    <w:uiPriority w:val="99"/>
    <w:rsid w:val="00367313"/>
    <w:tblPr/>
    <w:tblStylePr w:type="firstRow">
      <w:rPr>
        <w:b/>
        <w:bCs/>
        <w:color w:val="FFFFFF"/>
      </w:rPr>
      <w:tblPr/>
      <w:tcPr>
        <w:tcBorders>
          <w:tl2br w:val="none" w:sz="0" w:space="0" w:color="auto"/>
          <w:tr2bl w:val="none" w:sz="0" w:space="0" w:color="auto"/>
        </w:tcBorders>
        <w:shd w:val="solid" w:color="000000" w:fill="FFFFFF"/>
      </w:tcPr>
    </w:tblStylePr>
  </w:style>
  <w:style w:type="table" w:styleId="TableSimple3">
    <w:name w:val="Table Simple 3"/>
    <w:basedOn w:val="TableNormal"/>
    <w:uiPriority w:val="99"/>
    <w:semiHidden/>
    <w:unhideWhenUsed/>
    <w:rsid w:val="00367313"/>
    <w:pPr>
      <w:spacing w:before="24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GridTable1Light">
    <w:name w:val="Grid Table 1 Light"/>
    <w:basedOn w:val="TableNormal"/>
    <w:uiPriority w:val="99"/>
    <w:rsid w:val="00EF78D5"/>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Style3">
    <w:name w:val="Style3"/>
    <w:basedOn w:val="TableNormal"/>
    <w:uiPriority w:val="99"/>
    <w:rsid w:val="00113955"/>
    <w:rPr>
      <w:rFonts w:ascii="Century Schoolbook" w:hAnsi="Century Schoolbook"/>
      <w:sz w:val="16"/>
    </w:rPr>
    <w:tblPr/>
  </w:style>
  <w:style w:type="table" w:styleId="PlainTable5">
    <w:name w:val="Plain Table 5"/>
    <w:basedOn w:val="TableNormal"/>
    <w:uiPriority w:val="99"/>
    <w:rsid w:val="0040546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99"/>
    <w:rsid w:val="0040546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Style4">
    <w:name w:val="Style4"/>
    <w:basedOn w:val="TableProfessional"/>
    <w:uiPriority w:val="99"/>
    <w:rsid w:val="00963E95"/>
    <w:rPr>
      <w:rFonts w:ascii="Century Schoolbook" w:hAnsi="Century Schoolbook"/>
      <w:sz w:val="16"/>
    </w:rPr>
    <w:tblPr/>
    <w:tblStylePr w:type="firstRow">
      <w:rPr>
        <w:b/>
        <w:bCs/>
        <w:color w:val="auto"/>
      </w:rPr>
      <w:tblPr/>
      <w:tcPr>
        <w:tcBorders>
          <w:tl2br w:val="none" w:sz="0" w:space="0" w:color="auto"/>
          <w:tr2bl w:val="none" w:sz="0" w:space="0" w:color="auto"/>
        </w:tcBorders>
        <w:shd w:val="solid" w:color="000000" w:fill="FFFFFF"/>
      </w:tcPr>
    </w:tblStylePr>
  </w:style>
  <w:style w:type="table" w:styleId="TableProfessional">
    <w:name w:val="Table Professional"/>
    <w:basedOn w:val="TableNormal"/>
    <w:uiPriority w:val="99"/>
    <w:semiHidden/>
    <w:unhideWhenUsed/>
    <w:rsid w:val="00963E95"/>
    <w:pPr>
      <w:spacing w:before="24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3061027">
      <w:bodyDiv w:val="1"/>
      <w:marLeft w:val="0"/>
      <w:marRight w:val="0"/>
      <w:marTop w:val="0"/>
      <w:marBottom w:val="0"/>
      <w:divBdr>
        <w:top w:val="none" w:sz="0" w:space="0" w:color="auto"/>
        <w:left w:val="none" w:sz="0" w:space="0" w:color="auto"/>
        <w:bottom w:val="none" w:sz="0" w:space="0" w:color="auto"/>
        <w:right w:val="none" w:sz="0" w:space="0" w:color="auto"/>
      </w:divBdr>
    </w:div>
    <w:div w:id="469251353">
      <w:bodyDiv w:val="1"/>
      <w:marLeft w:val="0"/>
      <w:marRight w:val="0"/>
      <w:marTop w:val="0"/>
      <w:marBottom w:val="0"/>
      <w:divBdr>
        <w:top w:val="none" w:sz="0" w:space="0" w:color="auto"/>
        <w:left w:val="none" w:sz="0" w:space="0" w:color="auto"/>
        <w:bottom w:val="none" w:sz="0" w:space="0" w:color="auto"/>
        <w:right w:val="none" w:sz="0" w:space="0" w:color="auto"/>
      </w:divBdr>
    </w:div>
    <w:div w:id="493111545">
      <w:bodyDiv w:val="1"/>
      <w:marLeft w:val="0"/>
      <w:marRight w:val="0"/>
      <w:marTop w:val="0"/>
      <w:marBottom w:val="0"/>
      <w:divBdr>
        <w:top w:val="none" w:sz="0" w:space="0" w:color="auto"/>
        <w:left w:val="none" w:sz="0" w:space="0" w:color="auto"/>
        <w:bottom w:val="none" w:sz="0" w:space="0" w:color="auto"/>
        <w:right w:val="none" w:sz="0" w:space="0" w:color="auto"/>
      </w:divBdr>
    </w:div>
    <w:div w:id="673073737">
      <w:bodyDiv w:val="1"/>
      <w:marLeft w:val="0"/>
      <w:marRight w:val="0"/>
      <w:marTop w:val="0"/>
      <w:marBottom w:val="0"/>
      <w:divBdr>
        <w:top w:val="none" w:sz="0" w:space="0" w:color="auto"/>
        <w:left w:val="none" w:sz="0" w:space="0" w:color="auto"/>
        <w:bottom w:val="none" w:sz="0" w:space="0" w:color="auto"/>
        <w:right w:val="none" w:sz="0" w:space="0" w:color="auto"/>
      </w:divBdr>
    </w:div>
    <w:div w:id="713886764">
      <w:bodyDiv w:val="1"/>
      <w:marLeft w:val="0"/>
      <w:marRight w:val="0"/>
      <w:marTop w:val="0"/>
      <w:marBottom w:val="0"/>
      <w:divBdr>
        <w:top w:val="none" w:sz="0" w:space="0" w:color="auto"/>
        <w:left w:val="none" w:sz="0" w:space="0" w:color="auto"/>
        <w:bottom w:val="none" w:sz="0" w:space="0" w:color="auto"/>
        <w:right w:val="none" w:sz="0" w:space="0" w:color="auto"/>
      </w:divBdr>
    </w:div>
    <w:div w:id="872352557">
      <w:bodyDiv w:val="1"/>
      <w:marLeft w:val="0"/>
      <w:marRight w:val="0"/>
      <w:marTop w:val="0"/>
      <w:marBottom w:val="0"/>
      <w:divBdr>
        <w:top w:val="none" w:sz="0" w:space="0" w:color="auto"/>
        <w:left w:val="none" w:sz="0" w:space="0" w:color="auto"/>
        <w:bottom w:val="none" w:sz="0" w:space="0" w:color="auto"/>
        <w:right w:val="none" w:sz="0" w:space="0" w:color="auto"/>
      </w:divBdr>
    </w:div>
    <w:div w:id="972439766">
      <w:bodyDiv w:val="1"/>
      <w:marLeft w:val="0"/>
      <w:marRight w:val="0"/>
      <w:marTop w:val="0"/>
      <w:marBottom w:val="0"/>
      <w:divBdr>
        <w:top w:val="none" w:sz="0" w:space="0" w:color="auto"/>
        <w:left w:val="none" w:sz="0" w:space="0" w:color="auto"/>
        <w:bottom w:val="none" w:sz="0" w:space="0" w:color="auto"/>
        <w:right w:val="none" w:sz="0" w:space="0" w:color="auto"/>
      </w:divBdr>
    </w:div>
    <w:div w:id="1051811388">
      <w:bodyDiv w:val="1"/>
      <w:marLeft w:val="0"/>
      <w:marRight w:val="0"/>
      <w:marTop w:val="0"/>
      <w:marBottom w:val="0"/>
      <w:divBdr>
        <w:top w:val="none" w:sz="0" w:space="0" w:color="auto"/>
        <w:left w:val="none" w:sz="0" w:space="0" w:color="auto"/>
        <w:bottom w:val="none" w:sz="0" w:space="0" w:color="auto"/>
        <w:right w:val="none" w:sz="0" w:space="0" w:color="auto"/>
      </w:divBdr>
      <w:divsChild>
        <w:div w:id="1685666179">
          <w:marLeft w:val="0"/>
          <w:marRight w:val="0"/>
          <w:marTop w:val="0"/>
          <w:marBottom w:val="0"/>
          <w:divBdr>
            <w:top w:val="none" w:sz="0" w:space="0" w:color="auto"/>
            <w:left w:val="none" w:sz="0" w:space="0" w:color="auto"/>
            <w:bottom w:val="none" w:sz="0" w:space="0" w:color="auto"/>
            <w:right w:val="none" w:sz="0" w:space="0" w:color="auto"/>
          </w:divBdr>
        </w:div>
      </w:divsChild>
    </w:div>
    <w:div w:id="1296446306">
      <w:bodyDiv w:val="1"/>
      <w:marLeft w:val="0"/>
      <w:marRight w:val="0"/>
      <w:marTop w:val="0"/>
      <w:marBottom w:val="0"/>
      <w:divBdr>
        <w:top w:val="none" w:sz="0" w:space="0" w:color="auto"/>
        <w:left w:val="none" w:sz="0" w:space="0" w:color="auto"/>
        <w:bottom w:val="none" w:sz="0" w:space="0" w:color="auto"/>
        <w:right w:val="none" w:sz="0" w:space="0" w:color="auto"/>
      </w:divBdr>
    </w:div>
    <w:div w:id="1315178328">
      <w:bodyDiv w:val="1"/>
      <w:marLeft w:val="0"/>
      <w:marRight w:val="0"/>
      <w:marTop w:val="0"/>
      <w:marBottom w:val="0"/>
      <w:divBdr>
        <w:top w:val="none" w:sz="0" w:space="0" w:color="auto"/>
        <w:left w:val="none" w:sz="0" w:space="0" w:color="auto"/>
        <w:bottom w:val="none" w:sz="0" w:space="0" w:color="auto"/>
        <w:right w:val="none" w:sz="0" w:space="0" w:color="auto"/>
      </w:divBdr>
    </w:div>
    <w:div w:id="1583946768">
      <w:bodyDiv w:val="1"/>
      <w:marLeft w:val="0"/>
      <w:marRight w:val="0"/>
      <w:marTop w:val="0"/>
      <w:marBottom w:val="0"/>
      <w:divBdr>
        <w:top w:val="none" w:sz="0" w:space="0" w:color="auto"/>
        <w:left w:val="none" w:sz="0" w:space="0" w:color="auto"/>
        <w:bottom w:val="none" w:sz="0" w:space="0" w:color="auto"/>
        <w:right w:val="none" w:sz="0" w:space="0" w:color="auto"/>
      </w:divBdr>
      <w:divsChild>
        <w:div w:id="8956303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2915959">
      <w:bodyDiv w:val="1"/>
      <w:marLeft w:val="0"/>
      <w:marRight w:val="0"/>
      <w:marTop w:val="0"/>
      <w:marBottom w:val="0"/>
      <w:divBdr>
        <w:top w:val="none" w:sz="0" w:space="0" w:color="auto"/>
        <w:left w:val="none" w:sz="0" w:space="0" w:color="auto"/>
        <w:bottom w:val="none" w:sz="0" w:space="0" w:color="auto"/>
        <w:right w:val="none" w:sz="0" w:space="0" w:color="auto"/>
      </w:divBdr>
    </w:div>
    <w:div w:id="19888249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doi.org/10.1016/j.ijforecast.2022.08.004" TargetMode="External"/><Relationship Id="rId26" Type="http://schemas.openxmlformats.org/officeDocument/2006/relationships/hyperlink" Target="https://doi.org/10.1016/j.neucom.2013.08.023" TargetMode="External"/><Relationship Id="rId39" Type="http://schemas.openxmlformats.org/officeDocument/2006/relationships/hyperlink" Target="https://doi.org/10.1108/BIJ-06-2016-0096" TargetMode="External"/><Relationship Id="rId21" Type="http://schemas.openxmlformats.org/officeDocument/2006/relationships/hyperlink" Target="http://dx.doi.org/10.2139/ssrn.3910214" TargetMode="External"/><Relationship Id="rId34" Type="http://schemas.openxmlformats.org/officeDocument/2006/relationships/hyperlink" Target="https://doi.org/10.2139/ssrn.3450075"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i.org/10.1140/epjds/s13688-024-00457-2" TargetMode="External"/><Relationship Id="rId20" Type="http://schemas.openxmlformats.org/officeDocument/2006/relationships/hyperlink" Target="https://doi.org/10.1108/JRF-06-2023-0137" TargetMode="External"/><Relationship Id="rId29" Type="http://schemas.openxmlformats.org/officeDocument/2006/relationships/hyperlink" Target="https://doi.org/10.1002/9781118619193"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yperlink" Target="https://doi.org/10.1002/ijfe.1779" TargetMode="External"/><Relationship Id="rId32" Type="http://schemas.openxmlformats.org/officeDocument/2006/relationships/hyperlink" Target="https://doi.org/10.1016/0304-4076(86)90063-1" TargetMode="External"/><Relationship Id="rId37" Type="http://schemas.openxmlformats.org/officeDocument/2006/relationships/hyperlink" Target="https://doi.org/10.48550/arXiv.1407.0202" TargetMode="External"/><Relationship Id="rId40" Type="http://schemas.openxmlformats.org/officeDocument/2006/relationships/hyperlink" Target="https://doi.org/10.1016/j.jebo.2022.10.013" TargetMode="External"/><Relationship Id="rId5" Type="http://schemas.openxmlformats.org/officeDocument/2006/relationships/webSettings" Target="webSettings.xml"/><Relationship Id="rId15" Type="http://schemas.openxmlformats.org/officeDocument/2006/relationships/hyperlink" Target="https://doi.org/10.21511/imfi.20(3).2023.10" TargetMode="External"/><Relationship Id="rId23" Type="http://schemas.openxmlformats.org/officeDocument/2006/relationships/hyperlink" Target="https://doi.org/10.1257/aer.89.3.473" TargetMode="External"/><Relationship Id="rId28" Type="http://schemas.openxmlformats.org/officeDocument/2006/relationships/hyperlink" Target="https://doi.org/10.1613/jair.953" TargetMode="External"/><Relationship Id="rId36" Type="http://schemas.openxmlformats.org/officeDocument/2006/relationships/hyperlink" Target="http://urn.kb.se/resolve?urn=urn:nbn:se:kth:diva-205595" TargetMode="External"/><Relationship Id="rId10" Type="http://schemas.openxmlformats.org/officeDocument/2006/relationships/footer" Target="footer2.xml"/><Relationship Id="rId19" Type="http://schemas.openxmlformats.org/officeDocument/2006/relationships/hyperlink" Target="http://dx.doi.org/10.2139/ssrn.4695279" TargetMode="External"/><Relationship Id="rId31" Type="http://schemas.openxmlformats.org/officeDocument/2006/relationships/hyperlink" Target="https://api.semanticscholar.org/CorpusID:252608319"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hyperlink" Target="https://EconPapers.repec.org/RePEc:pal:imfstp:v:45:y:1998:i:1:p:1-48" TargetMode="External"/><Relationship Id="rId27" Type="http://schemas.openxmlformats.org/officeDocument/2006/relationships/hyperlink" Target="https://doi.org/10.22495/cbsrv4i4art8" TargetMode="External"/><Relationship Id="rId30" Type="http://schemas.openxmlformats.org/officeDocument/2006/relationships/hyperlink" Target="https://doi.org/10.48550/arXiv.1906.09024" TargetMode="External"/><Relationship Id="rId35" Type="http://schemas.openxmlformats.org/officeDocument/2006/relationships/hyperlink" Target="https://doi.org/10.1108/joic.2002.3.1.44"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yperlink" Target="https://doi.org/10.7717/peerj-cs.1403" TargetMode="External"/><Relationship Id="rId25" Type="http://schemas.openxmlformats.org/officeDocument/2006/relationships/hyperlink" Target="https://doi.org/10.1016/j.jimonfin.2006.07.007" TargetMode="External"/><Relationship Id="rId33" Type="http://schemas.openxmlformats.org/officeDocument/2006/relationships/hyperlink" Target="https://doi.org/10.1198/073500104000000370" TargetMode="External"/><Relationship Id="rId38" Type="http://schemas.openxmlformats.org/officeDocument/2006/relationships/hyperlink" Target="https://doi.org/10.1287/opre.7.2.14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14AFA9-B4AA-4BB1-AAA3-60755192F1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3449</TotalTime>
  <Pages>26</Pages>
  <Words>6974</Words>
  <Characters>39755</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Computing science</Company>
  <LinksUpToDate>false</LinksUpToDate>
  <CharactersWithSpaces>46636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Quintin Cutts</dc:creator>
  <cp:keywords/>
  <dc:description/>
  <cp:lastModifiedBy>Mokha Lerthsuwanroj (student)</cp:lastModifiedBy>
  <cp:revision>455</cp:revision>
  <dcterms:created xsi:type="dcterms:W3CDTF">2025-06-30T12:28:00Z</dcterms:created>
  <dcterms:modified xsi:type="dcterms:W3CDTF">2025-08-01T15:46:00Z</dcterms:modified>
</cp:coreProperties>
</file>