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Hlk204173981"/>
      <w:bookmarkStart w:id="4" w:name="_Toc204515559"/>
      <w:r w:rsidRPr="007C0AB9">
        <w:lastRenderedPageBreak/>
        <w:t>Survey</w:t>
      </w:r>
      <w:bookmarkEnd w:id="4"/>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w:t>
      </w:r>
      <w:proofErr w:type="spellStart"/>
      <w:r w:rsidR="00DF7EF8">
        <w:t>FinBERT</w:t>
      </w:r>
      <w:proofErr w:type="spellEnd"/>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w:t>
      </w:r>
      <w:proofErr w:type="spellStart"/>
      <w:r w:rsidRPr="00295647">
        <w:t>FinBERT</w:t>
      </w:r>
      <w:proofErr w:type="spellEnd"/>
      <w:r w:rsidRPr="00295647">
        <w:t xml:space="preserve">,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E83555B"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6214F6">
        <w:rPr>
          <w:sz w:val="20"/>
          <w:szCs w:val="20"/>
        </w:rPr>
        <w:t>Bollerslev</w:t>
      </w:r>
      <w:r w:rsidR="00356EEE">
        <w:rPr>
          <w:sz w:val="20"/>
          <w:szCs w:val="20"/>
        </w:rPr>
        <w:t>, 1986)</w:t>
      </w:r>
      <w:r>
        <w:t xml:space="preserve">, </w:t>
      </w:r>
      <w:r w:rsidR="001E03E7">
        <w:t xml:space="preserve">and </w:t>
      </w:r>
      <w:proofErr w:type="spellStart"/>
      <w:r>
        <w:t>CAViaR</w:t>
      </w:r>
      <w:proofErr w:type="spellEnd"/>
      <w:r w:rsidR="00964BE1">
        <w:t xml:space="preserve"> (</w:t>
      </w:r>
      <w:r w:rsidR="00964BE1" w:rsidRPr="00CF2836">
        <w:rPr>
          <w:sz w:val="20"/>
          <w:szCs w:val="20"/>
        </w:rPr>
        <w:t>Engle</w:t>
      </w:r>
      <w:r w:rsidR="00964BE1">
        <w:rPr>
          <w:sz w:val="20"/>
          <w:szCs w:val="20"/>
        </w:rPr>
        <w:t xml:space="preserve"> et al., </w:t>
      </w:r>
      <w:r w:rsidR="00964BE1" w:rsidRPr="00CF2836">
        <w:rPr>
          <w:sz w:val="20"/>
          <w:szCs w:val="20"/>
        </w:rPr>
        <w:t>2004</w:t>
      </w:r>
      <w:r w:rsidR="00964BE1">
        <w:rPr>
          <w:sz w:val="20"/>
          <w:szCs w:val="20"/>
        </w:rPr>
        <w:t>)</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3"/>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lastRenderedPageBreak/>
        <w:t xml:space="preserve">Data Splitting and </w:t>
      </w:r>
      <w:r w:rsidR="007A55F8" w:rsidRPr="007A55F8">
        <w:t>Class Imbalance</w:t>
      </w:r>
      <w:r w:rsidR="00C41707">
        <w:t xml:space="preserve"> Handling</w:t>
      </w:r>
      <w:bookmarkEnd w:id="18"/>
    </w:p>
    <w:p w14:paraId="3741BEF7" w14:textId="118E2E09" w:rsidR="004B71D9" w:rsidRDefault="00155D49" w:rsidP="0033396C">
      <w:r w:rsidRPr="00155D49">
        <w:t xml:space="preserve">The dataset was divided into training and testing portions using a time-based approach to maintain proper temporal sequence and prevent information leakage. Data collected from </w:t>
      </w:r>
      <w:r w:rsidR="005650F0">
        <w:t>02/01/2008</w:t>
      </w:r>
      <w:r w:rsidRPr="00155D49">
        <w:t xml:space="preserve"> to</w:t>
      </w:r>
      <w:r w:rsidR="005650F0">
        <w:t xml:space="preserve"> 31/12/2021</w:t>
      </w:r>
      <w:r w:rsidRPr="00155D49">
        <w:t xml:space="preserve"> formed the training dataset, while </w:t>
      </w:r>
      <w:r w:rsidR="00147298">
        <w:t>data</w:t>
      </w:r>
      <w:r w:rsidRPr="00155D49">
        <w:t xml:space="preserve"> from </w:t>
      </w:r>
      <w:r w:rsidR="005650F0">
        <w:t xml:space="preserve">01/01/2022 to 04/03/2024 </w:t>
      </w:r>
      <w:r w:rsidRPr="00155D49">
        <w:t xml:space="preserve">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w:t>
      </w:r>
      <w:r w:rsidR="00FB7475">
        <w:t>Area Under the Curve (</w:t>
      </w:r>
      <w:r w:rsidRPr="00155D49">
        <w:t>AUC</w:t>
      </w:r>
      <w:r w:rsidR="00FB7475">
        <w:t>)</w:t>
      </w:r>
      <w:r w:rsidRPr="00155D49">
        <w:t>) and biased assessments of model performance. To address this issue and ensure valid evaluation, the train-test split was carefully adjusted to guarantee that the test set contains adequate instances of the minority class.</w:t>
      </w:r>
    </w:p>
    <w:p w14:paraId="5C0B5B56" w14:textId="031E0775" w:rsidR="00BB5179" w:rsidRDefault="00BB5179" w:rsidP="0033396C">
      <w:r>
        <w:t xml:space="preserve">In addition, </w:t>
      </w:r>
      <w:r w:rsidR="00A837B6">
        <w:t>t</w:t>
      </w:r>
      <w:r w:rsidRPr="0033396C">
        <w:t xml:space="preserve">o mitigate </w:t>
      </w:r>
      <w:r w:rsidR="00A837B6">
        <w:t>the highly imbalanced</w:t>
      </w:r>
      <w:r w:rsidRPr="0033396C">
        <w:t xml:space="preserve"> issue</w:t>
      </w:r>
      <w:r w:rsidR="00A837B6">
        <w:t xml:space="preserve"> with only 4.22% of crash instances</w:t>
      </w:r>
      <w:r w:rsidRPr="0033396C">
        <w:t>, we apply the Synthetic Minority Over-sampling Technique (SMOTE)</w:t>
      </w:r>
      <w:r w:rsidR="00C32A20">
        <w:t xml:space="preserve"> from imbalanced learn package</w:t>
      </w:r>
      <w:r w:rsidR="00E7340B">
        <w:rPr>
          <w:rStyle w:val="FootnoteReference"/>
        </w:rPr>
        <w:footnoteReference w:id="3"/>
      </w:r>
      <w:r w:rsidRPr="0033396C">
        <w:t>, a widely used resampling method that generates synthetic examples of the minority class based on feature space similarities between existing minority instances</w:t>
      </w:r>
      <w:r>
        <w:t xml:space="preserve"> (</w:t>
      </w:r>
      <w:r w:rsidRPr="00824480">
        <w:t>Chawla et al.</w:t>
      </w:r>
      <w:r>
        <w:t>,</w:t>
      </w:r>
      <w:r w:rsidRPr="00824480">
        <w:t xml:space="preserve"> 2002</w:t>
      </w:r>
      <w:r>
        <w:t>)</w:t>
      </w:r>
      <w:r w:rsidRPr="0033396C">
        <w:t>. By interpolating new samples rather than simply duplicating existing ones, SMOTE improves the generalizability of the model and helps it learn decision boundaries that are more representative of both classes</w:t>
      </w:r>
      <w:r>
        <w:t xml:space="preserve"> </w:t>
      </w:r>
      <w:r w:rsidRPr="00824480">
        <w:t>(Budhidharma et al., 2023)</w:t>
      </w:r>
      <w:r w:rsidRPr="0033396C">
        <w:t>.</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B57362"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6FA043A6"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4B2E5B" w:rsidRPr="004B2E5B">
        <w:rPr>
          <w:highlight w:val="yellow"/>
          <w:lang w:val="en-US"/>
        </w:rPr>
        <w:t>(REF)</w:t>
      </w:r>
      <w:r w:rsidRPr="00D20635">
        <w:rPr>
          <w:lang w:val="en-US"/>
        </w:rPr>
        <w:t xml:space="preserve"> process where daily returns are assumed to be independent and identically distributed (</w:t>
      </w:r>
      <w:proofErr w:type="spellStart"/>
      <w:r w:rsidRPr="00D20635">
        <w:rPr>
          <w:lang w:val="en-US"/>
        </w:rPr>
        <w:t>i</w:t>
      </w:r>
      <w:proofErr w:type="gramStart"/>
      <w:r w:rsidRPr="00D20635">
        <w:rPr>
          <w:lang w:val="en-US"/>
        </w:rPr>
        <w:t>.i</w:t>
      </w:r>
      <w:proofErr w:type="gramEnd"/>
      <w:r w:rsidRPr="00D20635">
        <w:rPr>
          <w:lang w:val="en-US"/>
        </w:rPr>
        <w:t>.d.</w:t>
      </w:r>
      <w:proofErr w:type="spellEnd"/>
      <w:r w:rsidRPr="00D20635">
        <w:rPr>
          <w:lang w:val="en-US"/>
        </w:rPr>
        <w:t>)</w:t>
      </w:r>
      <w:r>
        <w:rPr>
          <w:lang w:val="en-US"/>
        </w:rPr>
        <w:t xml:space="preserve"> </w:t>
      </w:r>
      <w:r w:rsidRPr="00355BC4">
        <w:rPr>
          <w:highlight w:val="yellow"/>
          <w:lang w:val="en-US"/>
        </w:rPr>
        <w:t>(REF)</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B57362"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lastRenderedPageBreak/>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B57362"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Pr="00B57362" w:rsidRDefault="00B57362" w:rsidP="00B57362">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t xml:space="preserve">Sentiment </w:t>
      </w:r>
      <w:bookmarkEnd w:id="19"/>
      <w:r w:rsidR="00171AEA">
        <w:t>Volatility</w:t>
      </w:r>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3997C26A"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lastRenderedPageBreak/>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market mood or perception and may</w:t>
      </w:r>
      <w:r w:rsidR="00AA31A2">
        <w:rPr>
          <w:lang w:val="en-US"/>
        </w:rPr>
        <w:t xml:space="preserve"> h</w:t>
      </w:r>
      <w:r w:rsidRPr="00565DF4">
        <w:rPr>
          <w:lang w:val="en-US"/>
        </w:rPr>
        <w:t xml:space="preserve">ave different statistical properties than returns (e.g., not </w:t>
      </w:r>
      <w:proofErr w:type="spellStart"/>
      <w:r w:rsidRPr="00565DF4">
        <w:rPr>
          <w:lang w:val="en-US"/>
        </w:rPr>
        <w:t>i.i.d.</w:t>
      </w:r>
      <w:proofErr w:type="spellEnd"/>
      <w:r w:rsidRPr="00565DF4">
        <w:rPr>
          <w:lang w:val="en-US"/>
        </w:rPr>
        <w:t>, possibly autocorrelated).</w:t>
      </w:r>
    </w:p>
    <w:p w14:paraId="28A67685" w14:textId="536C724D" w:rsidR="00372A57"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i</w:t>
      </w:r>
      <w:r w:rsidRPr="00AA31A2">
        <w:rPr>
          <w:lang w:val="en-US"/>
        </w:rPr>
        <w:t>s treated more as a descriptive statistic rather than a time-scaled measure like market volatility.</w:t>
      </w:r>
    </w:p>
    <w:p w14:paraId="7338BC2E" w14:textId="45A0B745" w:rsidR="00F14D98" w:rsidRDefault="00F14D98" w:rsidP="00F14D98">
      <w:pPr>
        <w:pStyle w:val="Heading3"/>
        <w:rPr>
          <w:lang w:val="en-US"/>
        </w:rPr>
      </w:pPr>
      <w:bookmarkStart w:id="20" w:name="_Toc204515575"/>
      <w:proofErr w:type="spellStart"/>
      <w:r>
        <w:rPr>
          <w:lang w:val="en-US"/>
        </w:rPr>
        <w:t>VaR</w:t>
      </w:r>
      <w:proofErr w:type="spellEnd"/>
      <w:r>
        <w:rPr>
          <w:lang w:val="en-US"/>
        </w:rPr>
        <w:t xml:space="preserve"> and ES Features</w:t>
      </w:r>
      <w:bookmarkEnd w:id="20"/>
    </w:p>
    <w:p w14:paraId="4062854E" w14:textId="4D88279A"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427146DC"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 Expected Shortfall (ES),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5079920C" w:rsidR="00A677EE" w:rsidRDefault="00A677EE" w:rsidP="00A677EE">
      <w:pPr>
        <w:rPr>
          <w:lang w:val="en-US"/>
        </w:rPr>
      </w:pPr>
      <w:r w:rsidRPr="00A677EE">
        <w:rPr>
          <w:lang w:val="en-US"/>
        </w:rPr>
        <w:t>When</w:t>
      </w:r>
      <w:r w:rsidRPr="00A677EE">
        <w:rPr>
          <w:lang w:val="en-US"/>
        </w:rPr>
        <w:t xml:space="preserve"> estimating Value at Risk (</w:t>
      </w:r>
      <w:proofErr w:type="spellStart"/>
      <w:r w:rsidRPr="00A677EE">
        <w:rPr>
          <w:lang w:val="en-US"/>
        </w:rPr>
        <w:t>VaR</w:t>
      </w:r>
      <w:proofErr w:type="spellEnd"/>
      <w:r w:rsidRPr="00A677EE">
        <w:rPr>
          <w:lang w:val="en-US"/>
        </w:rPr>
        <w:t xml:space="preserve">) and Expected Shortfall (ES),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proofErr w:type="spellStart"/>
      <w:r w:rsidR="00C063C1" w:rsidRPr="00BC7ADD">
        <w:rPr>
          <w:sz w:val="20"/>
          <w:szCs w:val="20"/>
        </w:rPr>
        <w:t>Hällman</w:t>
      </w:r>
      <w:proofErr w:type="spellEnd"/>
      <w:r w:rsidR="00C063C1">
        <w:rPr>
          <w:sz w:val="20"/>
          <w:szCs w:val="20"/>
        </w:rPr>
        <w:t>, 201</w:t>
      </w:r>
      <w:r w:rsidR="001165BB">
        <w:rPr>
          <w:sz w:val="20"/>
          <w:szCs w:val="20"/>
        </w:rPr>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 xml:space="preserve">The feature columns with missing data were imputed using mean values calculated from the training dataset, followed by feature scaling using the </w:t>
      </w:r>
      <w:proofErr w:type="spellStart"/>
      <w:r w:rsidRPr="00E763FA">
        <w:t>StandardScaler</w:t>
      </w:r>
      <w:proofErr w:type="spellEnd"/>
      <w:r w:rsidR="00FE5C88">
        <w:t xml:space="preserve"> </w:t>
      </w:r>
      <w:r w:rsidR="00FE5C88">
        <w:t xml:space="preserve">from </w:t>
      </w:r>
      <w:proofErr w:type="spellStart"/>
      <w:r w:rsidR="00FE5C88">
        <w:t>sklearn</w:t>
      </w:r>
      <w:proofErr w:type="spellEnd"/>
      <w:r w:rsidR="00FE5C88">
        <w:t xml:space="preserve"> packag</w:t>
      </w:r>
      <w:r w:rsidR="00C07150">
        <w:t>e</w:t>
      </w:r>
      <w:r>
        <w:rPr>
          <w:rStyle w:val="FootnoteReference"/>
        </w:rPr>
        <w:footnoteReference w:id="4"/>
      </w:r>
      <w:r w:rsidRPr="00E763FA">
        <w:t xml:space="preserve">. This scaler standardizes features by removing the mean and scaling to unit variance, ensuring that each feature contributes equally to the model training process and preventing features with </w:t>
      </w:r>
      <w:r w:rsidRPr="00E763FA">
        <w:lastRenderedPageBreak/>
        <w:t xml:space="preserve">larger scales from dominating. Additionally, </w:t>
      </w:r>
      <w:r w:rsidR="005575F6">
        <w:t xml:space="preserve">SMOTE </w:t>
      </w:r>
      <w:r w:rsidRPr="00E763FA">
        <w:t>was implemented solely on the training set to address class imbalance issues.</w:t>
      </w:r>
    </w:p>
    <w:p w14:paraId="405FEA7D" w14:textId="722F0501" w:rsidR="00760E81" w:rsidRPr="00760E81" w:rsidRDefault="00686C74" w:rsidP="00760E81">
      <w:pPr>
        <w:pStyle w:val="Heading2"/>
      </w:pPr>
      <w:bookmarkStart w:id="21" w:name="_Toc204515576"/>
      <w:r>
        <w:t>Architecture Design</w:t>
      </w:r>
      <w:bookmarkEnd w:id="21"/>
    </w:p>
    <w:p w14:paraId="613378A9" w14:textId="0A8DE0B2" w:rsidR="006023F9" w:rsidRDefault="004A66D3" w:rsidP="006023F9">
      <w:pPr>
        <w:pStyle w:val="Heading3"/>
      </w:pPr>
      <w:r>
        <w:t xml:space="preserve">Static </w:t>
      </w:r>
      <w:r w:rsidR="006023F9" w:rsidRPr="006023F9">
        <w:t>Logistic Regression Model</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w:t>
      </w:r>
      <w:r w:rsidR="006023F9">
        <w:t xml:space="preserve">at time </w:t>
      </w:r>
      <m:oMath>
        <m:r>
          <w:rPr>
            <w:rFonts w:ascii="Cambria Math" w:hAnsi="Cambria Math"/>
          </w:rPr>
          <m:t>t</m:t>
        </m:r>
      </m:oMath>
      <w:r w:rsidR="006023F9">
        <w:t xml:space="preserve">, given the features, by </w:t>
      </w:r>
      <w:r w:rsidR="00726EAA">
        <w:t>modelling</w:t>
      </w:r>
      <w:r w:rsidR="00726EAA" w:rsidRPr="00726EAA">
        <w:t xml:space="preserve"> </w:t>
      </w:r>
      <w:r w:rsidR="00726EAA" w:rsidRPr="00726EAA">
        <w:t>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w:t>
      </w:r>
      <w:r w:rsidRPr="00726EAA">
        <w:t>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807074"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m:t>
              </m:r>
              <m:r>
                <w:rPr>
                  <w:rFonts w:ascii="Cambria Math" w:hAnsi="Cambria Math"/>
                </w:rPr>
                <m:t>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72501A"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138B72B2" w14:textId="3ACD571A" w:rsidR="000C2909" w:rsidRPr="006023F9"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proofErr w:type="spellStart"/>
      <w:r w:rsidR="007C2F94" w:rsidRPr="00633235">
        <w:rPr>
          <w:sz w:val="20"/>
          <w:szCs w:val="20"/>
        </w:rPr>
        <w:t>Defazio</w:t>
      </w:r>
      <w:proofErr w:type="spellEnd"/>
      <w:r w:rsidR="00237F7A">
        <w:rPr>
          <w:sz w:val="20"/>
          <w:szCs w:val="20"/>
        </w:rPr>
        <w:t xml:space="preserve"> et al., </w:t>
      </w:r>
      <w:r w:rsidR="007C2F94" w:rsidRPr="00633235">
        <w:rPr>
          <w:sz w:val="20"/>
          <w:szCs w:val="20"/>
        </w:rPr>
        <w:t>2014</w:t>
      </w:r>
      <w:r w:rsidR="007C2F94">
        <w:t>)</w:t>
      </w:r>
      <w:r>
        <w:t xml:space="preserve"> with a maximum of 1000 iterations, allowing effective handling of regularization and class imbalance.</w:t>
      </w:r>
      <w:r w:rsidR="00DE05B1">
        <w:t xml:space="preserve"> </w:t>
      </w:r>
      <w:r w:rsidR="008951F6">
        <w:t>As f</w:t>
      </w:r>
      <w:r w:rsidR="00DE05B1">
        <w:t>or t</w:t>
      </w:r>
      <w:r w:rsidR="008951F6">
        <w:t>his model</w:t>
      </w:r>
      <w:r w:rsidR="00DE05B1">
        <w:t xml:space="preserve">, </w:t>
      </w:r>
      <w:r w:rsidR="008951F6">
        <w:t>a</w:t>
      </w:r>
      <w:r w:rsidR="00DE05B1" w:rsidRPr="00DE05B1">
        <w:t xml:space="preserve"> static threshold of 0.5 was initially used to convert predicted probabilities into class labels, where probabilities above or equal to 0.5 were classified as positive cases.</w:t>
      </w:r>
    </w:p>
    <w:p w14:paraId="13FB0A4C" w14:textId="6A4323A2" w:rsidR="00DE471C" w:rsidRDefault="00DE471C" w:rsidP="00DE471C">
      <w:pPr>
        <w:pStyle w:val="Heading3"/>
      </w:pPr>
      <w:r>
        <w:t>Dynamic Logi</w:t>
      </w:r>
      <w:r w:rsidR="00DF4674">
        <w:t>stic Regression</w:t>
      </w:r>
      <w:r>
        <w:t xml:space="preserve"> </w:t>
      </w:r>
      <w:r w:rsidR="00DF4674">
        <w:t xml:space="preserve">Model </w:t>
      </w:r>
      <w:r>
        <w:t>+ Dynamic Threshold</w:t>
      </w:r>
    </w:p>
    <w:p w14:paraId="4EDB3BC7" w14:textId="1E41FB70" w:rsidR="00F42E35" w:rsidRDefault="00195CCB" w:rsidP="00195CCB">
      <w:r>
        <w:t>To capture the temporal dependencies and improve the predictive performance of the crash classification model, we extend the baseline logistic regression by incorporating lagged features of the original market and sentiment volatility indicators, Value-at-Risk (</w:t>
      </w:r>
      <w:proofErr w:type="spellStart"/>
      <w:r>
        <w:t>VaR</w:t>
      </w:r>
      <w:proofErr w:type="spellEnd"/>
      <w:r>
        <w:t xml:space="preserve">), and Expected Shortfall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F42E35"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r>
            <w:rPr>
              <w:rFonts w:ascii="Cambria Math" w:hAnsi="Cambria Math"/>
            </w:rPr>
            <m:t>]</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xml:space="preserve">. The optimal threshold is chosen by </w:t>
      </w:r>
      <w:r w:rsidR="000E69B1" w:rsidRPr="000E69B1">
        <w:lastRenderedPageBreak/>
        <w:t>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m:t>
              </m:r>
              <m:r>
                <w:rPr>
                  <w:rFonts w:ascii="Cambria Math" w:hAnsi="Cambria Math"/>
                </w:rPr>
                <m:t>(θ)</m:t>
              </m:r>
              <m:r>
                <w:rPr>
                  <w:rFonts w:ascii="Cambria Math" w:hAnsi="Cambria Math"/>
                </w:rPr>
                <m:t>∙Recall</m:t>
              </m:r>
              <m:r>
                <w:rPr>
                  <w:rFonts w:ascii="Cambria Math" w:hAnsi="Cambria Math"/>
                </w:rPr>
                <m:t>(</m:t>
              </m:r>
              <m:r>
                <w:rPr>
                  <w:rFonts w:ascii="Cambria Math" w:hAnsi="Cambria Math"/>
                </w:rPr>
                <m:t>θ</m:t>
              </m:r>
              <m:r>
                <w:rPr>
                  <w:rFonts w:ascii="Cambria Math" w:hAnsi="Cambria Math"/>
                </w:rPr>
                <m:t>)</m:t>
              </m:r>
            </m:num>
            <m:den>
              <m:r>
                <w:rPr>
                  <w:rFonts w:ascii="Cambria Math" w:hAnsi="Cambria Math"/>
                </w:rPr>
                <m:t>Precision</m:t>
              </m:r>
              <m:r>
                <w:rPr>
                  <w:rFonts w:ascii="Cambria Math" w:hAnsi="Cambria Math"/>
                </w:rPr>
                <m:t>(</m:t>
              </m:r>
              <m:r>
                <w:rPr>
                  <w:rFonts w:ascii="Cambria Math" w:hAnsi="Cambria Math"/>
                </w:rPr>
                <m:t>θ</m:t>
              </m:r>
              <m:r>
                <w:rPr>
                  <w:rFonts w:ascii="Cambria Math" w:hAnsi="Cambria Math"/>
                </w:rPr>
                <m:t>)+</m:t>
              </m:r>
              <m:r>
                <w:rPr>
                  <w:rFonts w:ascii="Cambria Math" w:hAnsi="Cambria Math"/>
                </w:rPr>
                <m:t>Recall</m:t>
              </m:r>
              <m:r>
                <w:rPr>
                  <w:rFonts w:ascii="Cambria Math" w:hAnsi="Cambria Math"/>
                </w:rPr>
                <m:t>(</m:t>
              </m:r>
              <m:r>
                <w:rPr>
                  <w:rFonts w:ascii="Cambria Math" w:hAnsi="Cambria Math"/>
                </w:rPr>
                <m:t>θ</m:t>
              </m:r>
              <m:r>
                <w:rPr>
                  <w:rFonts w:ascii="Cambria Math" w:hAnsi="Cambria Math"/>
                </w:rPr>
                <m:t>)</m:t>
              </m:r>
            </m:den>
          </m:f>
          <m:r>
            <w:rPr>
              <w:rFonts w:ascii="Cambria Math" w:hAnsi="Cambria Math"/>
            </w:rPr>
            <m:t>)</m:t>
          </m:r>
        </m:oMath>
      </m:oMathPara>
    </w:p>
    <w:p w14:paraId="5F9CE0E3" w14:textId="0268F76B" w:rsidR="00C25398" w:rsidRPr="00195CCB" w:rsidRDefault="00C25398" w:rsidP="00195CCB">
      <w:r w:rsidRPr="00C25398">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6E493DDE" w14:textId="31A516BC" w:rsidR="00DE471C" w:rsidRPr="00DE471C" w:rsidRDefault="00DE471C" w:rsidP="00DE471C">
      <w:pPr>
        <w:pStyle w:val="Heading3"/>
      </w:pPr>
      <w:r>
        <w:t>LSTM</w:t>
      </w:r>
    </w:p>
    <w:p w14:paraId="682F532A" w14:textId="1E385FCD" w:rsidR="00686C74" w:rsidRDefault="00686C74" w:rsidP="00686C74">
      <w:pPr>
        <w:pStyle w:val="Heading2"/>
      </w:pPr>
      <w:bookmarkStart w:id="22" w:name="_Toc204515577"/>
      <w:r>
        <w:t>Model</w:t>
      </w:r>
      <w:r w:rsidR="00104F17">
        <w:t xml:space="preserve"> Training</w:t>
      </w:r>
      <w:bookmarkEnd w:id="22"/>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4C7E924F" w14:textId="69422700" w:rsidR="003B579E" w:rsidRPr="003B579E" w:rsidRDefault="00104F17" w:rsidP="003B579E">
      <w:pPr>
        <w:pStyle w:val="Heading2"/>
      </w:pPr>
      <w:bookmarkStart w:id="23" w:name="_Toc204515578"/>
      <w:r>
        <w:t>Evaluation</w:t>
      </w:r>
      <w:r w:rsidR="00857FA0">
        <w:t xml:space="preserve"> Metrics</w:t>
      </w:r>
      <w:bookmarkEnd w:id="23"/>
    </w:p>
    <w:p w14:paraId="74235BE8" w14:textId="277FD4E1" w:rsidR="00857FA0" w:rsidRDefault="00857FA0" w:rsidP="00857FA0">
      <w:pPr>
        <w:pStyle w:val="Heading3"/>
      </w:pPr>
      <w:bookmarkStart w:id="24" w:name="_Toc204515579"/>
      <w:r>
        <w:t>AUC</w:t>
      </w:r>
      <w:bookmarkEnd w:id="24"/>
    </w:p>
    <w:p w14:paraId="72F6A620" w14:textId="3C7686DE" w:rsidR="00857FA0" w:rsidRDefault="00857FA0" w:rsidP="00857FA0">
      <w:pPr>
        <w:pStyle w:val="Heading3"/>
      </w:pPr>
      <w:bookmarkStart w:id="25" w:name="_Toc204515580"/>
      <w:r>
        <w:t>Confusion Matrix</w:t>
      </w:r>
      <w:bookmarkEnd w:id="25"/>
    </w:p>
    <w:p w14:paraId="59266CEA" w14:textId="52A72B3E" w:rsidR="003B579E" w:rsidRDefault="003B579E" w:rsidP="003B579E">
      <w:pPr>
        <w:pStyle w:val="Heading3"/>
      </w:pPr>
      <w:bookmarkStart w:id="26" w:name="_Toc204515581"/>
      <w:r>
        <w:t>Sensitivity</w:t>
      </w:r>
      <w:bookmarkEnd w:id="26"/>
    </w:p>
    <w:p w14:paraId="236616F7" w14:textId="7B193D8C" w:rsidR="003B579E" w:rsidRPr="003B579E" w:rsidRDefault="003B579E" w:rsidP="003B579E">
      <w:r w:rsidRPr="00F82B6C">
        <w:t>Sensitivity, also known as the true positive rate or recall, is a critical metric in evaluating the performance of early warning systems</w:t>
      </w:r>
      <w:r>
        <w:t>.</w:t>
      </w:r>
      <w:r w:rsidRPr="00F82B6C">
        <w:t xml:space="preserve"> </w:t>
      </w:r>
      <w:r>
        <w:t>H</w:t>
      </w:r>
      <w:r w:rsidRPr="00F82B6C">
        <w:t>igh sensitivity is prioritized because it reflects the model’s ability to correctly identify actual crisis events</w:t>
      </w:r>
      <w:r>
        <w:t xml:space="preserve">, </w:t>
      </w:r>
      <w:r w:rsidRPr="00F82B6C">
        <w:t>often the rare but most consequential outcomes. According to Budhidharma et al. (2023), models with higher sensitivity are better suited for early warning purposes, as failing to detect a true crash (false negative) could result in significant financial or systemic losses. Since financial crises are typically low-frequency, high-impact events, sensitivity becomes a more meaningful indicator of predictive usefulness than overall accuracy, which can be misleading in imbalanced datasets. Therefore, in many empirical studies, sensitivity is used as a key ranking criterion when comparing the predictive performance of models for risk and crisis forecasting.</w:t>
      </w:r>
    </w:p>
    <w:p w14:paraId="7B6D490A" w14:textId="32C162FA" w:rsidR="009927CD" w:rsidRDefault="009927CD" w:rsidP="009927CD">
      <w:pPr>
        <w:pStyle w:val="Heading2"/>
      </w:pPr>
      <w:bookmarkStart w:id="27" w:name="_Toc204515582"/>
      <w:r>
        <w:t>Out of Sample Analysis</w:t>
      </w:r>
      <w:bookmarkEnd w:id="27"/>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8" w:name="_Toc204515583"/>
      <w:r w:rsidRPr="007C0AB9">
        <w:lastRenderedPageBreak/>
        <w:t>Conclusion</w:t>
      </w:r>
      <w:bookmarkEnd w:id="28"/>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9" w:name="_Toc204515584"/>
      <w:r w:rsidRPr="007C0AB9">
        <w:lastRenderedPageBreak/>
        <w:t>&lt;Name of appendix&gt;</w:t>
      </w:r>
      <w:bookmarkEnd w:id="29"/>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30" w:name="_Toc204515585"/>
      <w:r w:rsidRPr="007C0AB9">
        <w:lastRenderedPageBreak/>
        <w:t>&lt;Another appendix&gt;</w:t>
      </w:r>
      <w:bookmarkEnd w:id="30"/>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31" w:name="_Toc204515586"/>
      <w:r w:rsidRPr="007C0AB9">
        <w:lastRenderedPageBreak/>
        <w:t>Bibliography</w:t>
      </w:r>
      <w:bookmarkEnd w:id="31"/>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28"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w:t>
      </w:r>
      <w:proofErr w:type="gramStart"/>
      <w:r w:rsidRPr="00201E1E">
        <w:rPr>
          <w:i/>
          <w:iCs/>
          <w:sz w:val="20"/>
          <w:szCs w:val="20"/>
        </w:rPr>
        <w:t>Of</w:t>
      </w:r>
      <w:proofErr w:type="gramEnd"/>
      <w:r w:rsidRPr="00201E1E">
        <w:rPr>
          <w:i/>
          <w:iCs/>
          <w:sz w:val="20"/>
          <w:szCs w:val="20"/>
        </w:rPr>
        <w:t xml:space="preserve"> Georgia Athens,</w:t>
      </w:r>
      <w:r>
        <w:rPr>
          <w:i/>
          <w:iCs/>
          <w:sz w:val="20"/>
          <w:szCs w:val="20"/>
        </w:rPr>
        <w:t xml:space="preserve"> </w:t>
      </w:r>
      <w:r w:rsidRPr="00201E1E">
        <w:rPr>
          <w:i/>
          <w:iCs/>
          <w:sz w:val="20"/>
          <w:szCs w:val="20"/>
        </w:rPr>
        <w:t>GA-30601</w:t>
      </w:r>
      <w:r>
        <w:rPr>
          <w:sz w:val="20"/>
          <w:szCs w:val="20"/>
        </w:rPr>
        <w:t xml:space="preserve">, </w:t>
      </w:r>
      <w:hyperlink r:id="rId29"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0"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w:t>
      </w:r>
      <w:proofErr w:type="spellStart"/>
      <w:r w:rsidRPr="00CF2836">
        <w:rPr>
          <w:sz w:val="20"/>
          <w:szCs w:val="20"/>
        </w:rPr>
        <w:t>CAViaR</w:t>
      </w:r>
      <w:proofErr w:type="spellEnd"/>
      <w:r w:rsidRPr="00CF2836">
        <w:rPr>
          <w:sz w:val="20"/>
          <w:szCs w:val="20"/>
        </w:rPr>
        <w:t xml:space="preserve">: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1"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xml:space="preserve">, </w:t>
      </w:r>
      <w:proofErr w:type="spellStart"/>
      <w:r w:rsidRPr="00560757">
        <w:rPr>
          <w:sz w:val="20"/>
          <w:szCs w:val="20"/>
        </w:rPr>
        <w:t>Lambertides</w:t>
      </w:r>
      <w:proofErr w:type="spellEnd"/>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2"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3"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proofErr w:type="spellStart"/>
      <w:r w:rsidRPr="00BC7ADD">
        <w:rPr>
          <w:sz w:val="20"/>
          <w:szCs w:val="20"/>
        </w:rPr>
        <w:t>Hällman</w:t>
      </w:r>
      <w:proofErr w:type="spellEnd"/>
      <w:r w:rsidRPr="00BC7ADD">
        <w:rPr>
          <w:sz w:val="20"/>
          <w:szCs w:val="20"/>
        </w:rPr>
        <w:t>, L. (2017). The Rolling Window Method: Precisions of Financial Forecasting</w:t>
      </w:r>
      <w:r w:rsidR="0069174A">
        <w:rPr>
          <w:sz w:val="20"/>
          <w:szCs w:val="20"/>
        </w:rPr>
        <w:t xml:space="preserve">. </w:t>
      </w:r>
      <w:proofErr w:type="spellStart"/>
      <w:r w:rsidRPr="00BC7ADD">
        <w:rPr>
          <w:i/>
          <w:iCs/>
          <w:sz w:val="20"/>
          <w:szCs w:val="20"/>
        </w:rPr>
        <w:t>Matematisk</w:t>
      </w:r>
      <w:proofErr w:type="spellEnd"/>
      <w:r w:rsidRPr="00BC7ADD">
        <w:rPr>
          <w:i/>
          <w:iCs/>
          <w:sz w:val="20"/>
          <w:szCs w:val="20"/>
        </w:rPr>
        <w:t xml:space="preserve"> </w:t>
      </w:r>
      <w:r w:rsidR="0069174A">
        <w:rPr>
          <w:i/>
          <w:iCs/>
          <w:sz w:val="20"/>
          <w:szCs w:val="20"/>
        </w:rPr>
        <w:t>statistic, KTH</w:t>
      </w:r>
      <w:r w:rsidRPr="00BC7ADD">
        <w:rPr>
          <w:sz w:val="20"/>
          <w:szCs w:val="20"/>
        </w:rPr>
        <w:t xml:space="preserve">. </w:t>
      </w:r>
      <w:hyperlink r:id="rId34"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proofErr w:type="spellStart"/>
      <w:r w:rsidRPr="00633235">
        <w:rPr>
          <w:sz w:val="20"/>
          <w:szCs w:val="20"/>
        </w:rPr>
        <w:t>Defazio</w:t>
      </w:r>
      <w:proofErr w:type="spellEnd"/>
      <w:r w:rsidRPr="00633235">
        <w:rPr>
          <w:sz w:val="20"/>
          <w:szCs w:val="20"/>
        </w:rPr>
        <w:t xml:space="preserve">, A., Bach, F.R., &amp; Lacoste-Julien, S. (2014). SAGA: A Fast Incremental Gradient Method With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5" w:history="1">
        <w:r w:rsidR="007C2F94" w:rsidRPr="005264DB">
          <w:rPr>
            <w:rStyle w:val="Hyperlink"/>
            <w:sz w:val="20"/>
            <w:szCs w:val="20"/>
          </w:rPr>
          <w:t>https://doi.org/10.48550/arXiv.1407.0202</w:t>
        </w:r>
      </w:hyperlink>
    </w:p>
    <w:p w14:paraId="65E55C1B" w14:textId="77777777" w:rsidR="007C2F94" w:rsidRDefault="007C2F94" w:rsidP="00560757">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50CFC" w14:textId="77777777" w:rsidR="00032DC8" w:rsidRPr="007C0AB9" w:rsidRDefault="00032DC8" w:rsidP="004F65C9">
      <w:pPr>
        <w:spacing w:before="0"/>
      </w:pPr>
      <w:r w:rsidRPr="007C0AB9">
        <w:separator/>
      </w:r>
    </w:p>
  </w:endnote>
  <w:endnote w:type="continuationSeparator" w:id="0">
    <w:p w14:paraId="124BFC74" w14:textId="77777777" w:rsidR="00032DC8" w:rsidRPr="007C0AB9" w:rsidRDefault="00032DC8"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59FCD" w14:textId="77777777" w:rsidR="00032DC8" w:rsidRPr="007C0AB9" w:rsidRDefault="00032DC8" w:rsidP="004F65C9">
      <w:pPr>
        <w:spacing w:before="0"/>
      </w:pPr>
      <w:r w:rsidRPr="007C0AB9">
        <w:separator/>
      </w:r>
    </w:p>
  </w:footnote>
  <w:footnote w:type="continuationSeparator" w:id="0">
    <w:p w14:paraId="3AEB1434" w14:textId="77777777" w:rsidR="00032DC8" w:rsidRPr="007C0AB9" w:rsidRDefault="00032DC8"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654550">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2254E0">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E7340B">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E763FA">
        <w:t>https://scikit-learn.org/stable/modules/generated/sklearn.preprocessing.StandardScaler</w:t>
      </w:r>
      <w:r w:rsidR="00A32087">
        <w: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3114F"/>
    <w:rsid w:val="00032DC8"/>
    <w:rsid w:val="00046C7B"/>
    <w:rsid w:val="00064C5D"/>
    <w:rsid w:val="000656DA"/>
    <w:rsid w:val="00072976"/>
    <w:rsid w:val="00080AEB"/>
    <w:rsid w:val="000A1B37"/>
    <w:rsid w:val="000B0B7F"/>
    <w:rsid w:val="000C2909"/>
    <w:rsid w:val="000C7994"/>
    <w:rsid w:val="000E5A9F"/>
    <w:rsid w:val="000E69B1"/>
    <w:rsid w:val="000E784C"/>
    <w:rsid w:val="000F35CB"/>
    <w:rsid w:val="000F4FE1"/>
    <w:rsid w:val="00104F17"/>
    <w:rsid w:val="001057A2"/>
    <w:rsid w:val="001165BB"/>
    <w:rsid w:val="001240F6"/>
    <w:rsid w:val="0013082B"/>
    <w:rsid w:val="00132845"/>
    <w:rsid w:val="00133BF2"/>
    <w:rsid w:val="001362B6"/>
    <w:rsid w:val="00147298"/>
    <w:rsid w:val="00147F45"/>
    <w:rsid w:val="001511E5"/>
    <w:rsid w:val="00153D8D"/>
    <w:rsid w:val="00155D49"/>
    <w:rsid w:val="00171AEA"/>
    <w:rsid w:val="00176A2B"/>
    <w:rsid w:val="001811B6"/>
    <w:rsid w:val="00182800"/>
    <w:rsid w:val="001857E4"/>
    <w:rsid w:val="00192A7A"/>
    <w:rsid w:val="00195CCB"/>
    <w:rsid w:val="001A1870"/>
    <w:rsid w:val="001A3EB0"/>
    <w:rsid w:val="001C33CB"/>
    <w:rsid w:val="001D162E"/>
    <w:rsid w:val="001D38C1"/>
    <w:rsid w:val="001D6245"/>
    <w:rsid w:val="001D7865"/>
    <w:rsid w:val="001D7FA5"/>
    <w:rsid w:val="001E03E7"/>
    <w:rsid w:val="001F138F"/>
    <w:rsid w:val="001F644D"/>
    <w:rsid w:val="00201E1E"/>
    <w:rsid w:val="00202C33"/>
    <w:rsid w:val="00204FBB"/>
    <w:rsid w:val="00215E6B"/>
    <w:rsid w:val="002243D0"/>
    <w:rsid w:val="002254E0"/>
    <w:rsid w:val="00231F2C"/>
    <w:rsid w:val="0023789B"/>
    <w:rsid w:val="00237F7A"/>
    <w:rsid w:val="00252C9E"/>
    <w:rsid w:val="0025499C"/>
    <w:rsid w:val="00254C29"/>
    <w:rsid w:val="00274A4F"/>
    <w:rsid w:val="00290BB9"/>
    <w:rsid w:val="00295647"/>
    <w:rsid w:val="00296B0C"/>
    <w:rsid w:val="002D122D"/>
    <w:rsid w:val="002D5A91"/>
    <w:rsid w:val="002D7735"/>
    <w:rsid w:val="002E0BD3"/>
    <w:rsid w:val="003012B6"/>
    <w:rsid w:val="00306F24"/>
    <w:rsid w:val="00307312"/>
    <w:rsid w:val="00322351"/>
    <w:rsid w:val="00327871"/>
    <w:rsid w:val="0033396C"/>
    <w:rsid w:val="00334A96"/>
    <w:rsid w:val="00335311"/>
    <w:rsid w:val="00335EDA"/>
    <w:rsid w:val="003360BA"/>
    <w:rsid w:val="0034201C"/>
    <w:rsid w:val="003424F5"/>
    <w:rsid w:val="003464E3"/>
    <w:rsid w:val="00350022"/>
    <w:rsid w:val="00352241"/>
    <w:rsid w:val="00355BC4"/>
    <w:rsid w:val="00356EEE"/>
    <w:rsid w:val="00362964"/>
    <w:rsid w:val="00363B4B"/>
    <w:rsid w:val="00372A57"/>
    <w:rsid w:val="00372FB7"/>
    <w:rsid w:val="003737A4"/>
    <w:rsid w:val="0038355A"/>
    <w:rsid w:val="00383EC6"/>
    <w:rsid w:val="003871C3"/>
    <w:rsid w:val="00396910"/>
    <w:rsid w:val="003A1BA1"/>
    <w:rsid w:val="003A4EAB"/>
    <w:rsid w:val="003B127F"/>
    <w:rsid w:val="003B4123"/>
    <w:rsid w:val="003B551F"/>
    <w:rsid w:val="003B579E"/>
    <w:rsid w:val="003C1F5D"/>
    <w:rsid w:val="003C5560"/>
    <w:rsid w:val="003C6245"/>
    <w:rsid w:val="003C7525"/>
    <w:rsid w:val="003E57A7"/>
    <w:rsid w:val="0040187C"/>
    <w:rsid w:val="004167FD"/>
    <w:rsid w:val="0042047A"/>
    <w:rsid w:val="00423551"/>
    <w:rsid w:val="004327B2"/>
    <w:rsid w:val="004518F3"/>
    <w:rsid w:val="00463C2A"/>
    <w:rsid w:val="00465D46"/>
    <w:rsid w:val="0046668C"/>
    <w:rsid w:val="00466C03"/>
    <w:rsid w:val="00477517"/>
    <w:rsid w:val="00477E87"/>
    <w:rsid w:val="00490316"/>
    <w:rsid w:val="0049147A"/>
    <w:rsid w:val="004967B2"/>
    <w:rsid w:val="004978DF"/>
    <w:rsid w:val="004A0788"/>
    <w:rsid w:val="004A66D3"/>
    <w:rsid w:val="004B29BA"/>
    <w:rsid w:val="004B2E5B"/>
    <w:rsid w:val="004B405E"/>
    <w:rsid w:val="004B71D9"/>
    <w:rsid w:val="004C2C76"/>
    <w:rsid w:val="004C54BC"/>
    <w:rsid w:val="004C641C"/>
    <w:rsid w:val="004D241D"/>
    <w:rsid w:val="004D3AEF"/>
    <w:rsid w:val="004D4E85"/>
    <w:rsid w:val="004D69B1"/>
    <w:rsid w:val="004F3D6C"/>
    <w:rsid w:val="004F65C9"/>
    <w:rsid w:val="00500A0E"/>
    <w:rsid w:val="00502A76"/>
    <w:rsid w:val="00503EA5"/>
    <w:rsid w:val="005041CB"/>
    <w:rsid w:val="00514BF9"/>
    <w:rsid w:val="00517B55"/>
    <w:rsid w:val="0052480F"/>
    <w:rsid w:val="00526217"/>
    <w:rsid w:val="00530753"/>
    <w:rsid w:val="00536C57"/>
    <w:rsid w:val="005403BC"/>
    <w:rsid w:val="005454D2"/>
    <w:rsid w:val="00553CBD"/>
    <w:rsid w:val="005571C5"/>
    <w:rsid w:val="005575F6"/>
    <w:rsid w:val="00560757"/>
    <w:rsid w:val="00561662"/>
    <w:rsid w:val="00563E18"/>
    <w:rsid w:val="005650F0"/>
    <w:rsid w:val="00565DF4"/>
    <w:rsid w:val="005746FF"/>
    <w:rsid w:val="00574B03"/>
    <w:rsid w:val="00575AE3"/>
    <w:rsid w:val="00582C46"/>
    <w:rsid w:val="005903FA"/>
    <w:rsid w:val="00590AB5"/>
    <w:rsid w:val="00592122"/>
    <w:rsid w:val="005956EF"/>
    <w:rsid w:val="00597ED3"/>
    <w:rsid w:val="005A385C"/>
    <w:rsid w:val="005A70D7"/>
    <w:rsid w:val="005B4F7E"/>
    <w:rsid w:val="005B5C3F"/>
    <w:rsid w:val="005D735D"/>
    <w:rsid w:val="005E3085"/>
    <w:rsid w:val="005E7C3C"/>
    <w:rsid w:val="005F1A9F"/>
    <w:rsid w:val="006003D6"/>
    <w:rsid w:val="00600C25"/>
    <w:rsid w:val="006023F9"/>
    <w:rsid w:val="00611CC0"/>
    <w:rsid w:val="00615729"/>
    <w:rsid w:val="006214F6"/>
    <w:rsid w:val="00633235"/>
    <w:rsid w:val="006353C9"/>
    <w:rsid w:val="00640C89"/>
    <w:rsid w:val="00640E31"/>
    <w:rsid w:val="00644C20"/>
    <w:rsid w:val="00654550"/>
    <w:rsid w:val="006603D8"/>
    <w:rsid w:val="00661FFA"/>
    <w:rsid w:val="006626B5"/>
    <w:rsid w:val="00670134"/>
    <w:rsid w:val="00676817"/>
    <w:rsid w:val="006800F2"/>
    <w:rsid w:val="00682CD5"/>
    <w:rsid w:val="00686240"/>
    <w:rsid w:val="00686C74"/>
    <w:rsid w:val="00691346"/>
    <w:rsid w:val="0069174A"/>
    <w:rsid w:val="006968E2"/>
    <w:rsid w:val="00696F9D"/>
    <w:rsid w:val="006A699E"/>
    <w:rsid w:val="006A76EB"/>
    <w:rsid w:val="006B1105"/>
    <w:rsid w:val="006C3EC2"/>
    <w:rsid w:val="006C7A10"/>
    <w:rsid w:val="006D0F17"/>
    <w:rsid w:val="006F4881"/>
    <w:rsid w:val="006F5166"/>
    <w:rsid w:val="00702A17"/>
    <w:rsid w:val="007105ED"/>
    <w:rsid w:val="00713754"/>
    <w:rsid w:val="007149C2"/>
    <w:rsid w:val="00714C78"/>
    <w:rsid w:val="007179BB"/>
    <w:rsid w:val="0072501A"/>
    <w:rsid w:val="00726EAA"/>
    <w:rsid w:val="007440BA"/>
    <w:rsid w:val="00744C45"/>
    <w:rsid w:val="007510E0"/>
    <w:rsid w:val="00760E81"/>
    <w:rsid w:val="00762240"/>
    <w:rsid w:val="007646BF"/>
    <w:rsid w:val="0078285F"/>
    <w:rsid w:val="00782B14"/>
    <w:rsid w:val="007873D8"/>
    <w:rsid w:val="00791331"/>
    <w:rsid w:val="007919C2"/>
    <w:rsid w:val="0079223B"/>
    <w:rsid w:val="007A37C1"/>
    <w:rsid w:val="007A55F8"/>
    <w:rsid w:val="007B30E2"/>
    <w:rsid w:val="007B4417"/>
    <w:rsid w:val="007C0AB9"/>
    <w:rsid w:val="007C2F94"/>
    <w:rsid w:val="007D33C0"/>
    <w:rsid w:val="007D4E24"/>
    <w:rsid w:val="007D612D"/>
    <w:rsid w:val="007E11DE"/>
    <w:rsid w:val="007E1EDB"/>
    <w:rsid w:val="007E466B"/>
    <w:rsid w:val="007F6460"/>
    <w:rsid w:val="007F73B9"/>
    <w:rsid w:val="00807074"/>
    <w:rsid w:val="008116D3"/>
    <w:rsid w:val="00811D96"/>
    <w:rsid w:val="00812AC9"/>
    <w:rsid w:val="00824480"/>
    <w:rsid w:val="008252C3"/>
    <w:rsid w:val="00827D0F"/>
    <w:rsid w:val="00840FEA"/>
    <w:rsid w:val="008423AE"/>
    <w:rsid w:val="00854C9F"/>
    <w:rsid w:val="00857FA0"/>
    <w:rsid w:val="0086288E"/>
    <w:rsid w:val="008641FD"/>
    <w:rsid w:val="00865542"/>
    <w:rsid w:val="008838FC"/>
    <w:rsid w:val="008951F6"/>
    <w:rsid w:val="00895D02"/>
    <w:rsid w:val="008A1BF1"/>
    <w:rsid w:val="008B6CA7"/>
    <w:rsid w:val="008C1ED0"/>
    <w:rsid w:val="008D3E3F"/>
    <w:rsid w:val="008E1F01"/>
    <w:rsid w:val="008E2D6A"/>
    <w:rsid w:val="008E698A"/>
    <w:rsid w:val="009007BC"/>
    <w:rsid w:val="00903645"/>
    <w:rsid w:val="00907927"/>
    <w:rsid w:val="0091702F"/>
    <w:rsid w:val="00933CD9"/>
    <w:rsid w:val="00937130"/>
    <w:rsid w:val="009458D2"/>
    <w:rsid w:val="00946BC3"/>
    <w:rsid w:val="00951097"/>
    <w:rsid w:val="00951E49"/>
    <w:rsid w:val="00952266"/>
    <w:rsid w:val="00955A16"/>
    <w:rsid w:val="00955F98"/>
    <w:rsid w:val="00964BE1"/>
    <w:rsid w:val="00965A5E"/>
    <w:rsid w:val="00973815"/>
    <w:rsid w:val="0098742B"/>
    <w:rsid w:val="00991ADD"/>
    <w:rsid w:val="009927CD"/>
    <w:rsid w:val="009936E9"/>
    <w:rsid w:val="009A05AB"/>
    <w:rsid w:val="009A291A"/>
    <w:rsid w:val="009A3A51"/>
    <w:rsid w:val="009A43DA"/>
    <w:rsid w:val="009A6C47"/>
    <w:rsid w:val="009A782E"/>
    <w:rsid w:val="009C092B"/>
    <w:rsid w:val="009C0A30"/>
    <w:rsid w:val="009C3892"/>
    <w:rsid w:val="009C4FDE"/>
    <w:rsid w:val="009D1B9F"/>
    <w:rsid w:val="009D3385"/>
    <w:rsid w:val="009D3525"/>
    <w:rsid w:val="009E0124"/>
    <w:rsid w:val="009E1693"/>
    <w:rsid w:val="009E3832"/>
    <w:rsid w:val="009E6193"/>
    <w:rsid w:val="00A03958"/>
    <w:rsid w:val="00A133E9"/>
    <w:rsid w:val="00A22F33"/>
    <w:rsid w:val="00A24ADC"/>
    <w:rsid w:val="00A32087"/>
    <w:rsid w:val="00A34784"/>
    <w:rsid w:val="00A413A8"/>
    <w:rsid w:val="00A4256F"/>
    <w:rsid w:val="00A43D2D"/>
    <w:rsid w:val="00A57988"/>
    <w:rsid w:val="00A61F59"/>
    <w:rsid w:val="00A677EE"/>
    <w:rsid w:val="00A71D00"/>
    <w:rsid w:val="00A7427B"/>
    <w:rsid w:val="00A82547"/>
    <w:rsid w:val="00A837B6"/>
    <w:rsid w:val="00A86447"/>
    <w:rsid w:val="00A91FA6"/>
    <w:rsid w:val="00A96F81"/>
    <w:rsid w:val="00AA31A2"/>
    <w:rsid w:val="00AA4BFE"/>
    <w:rsid w:val="00AD5149"/>
    <w:rsid w:val="00AD5C18"/>
    <w:rsid w:val="00AE37DF"/>
    <w:rsid w:val="00AF347B"/>
    <w:rsid w:val="00AF70CC"/>
    <w:rsid w:val="00B22851"/>
    <w:rsid w:val="00B23F6C"/>
    <w:rsid w:val="00B33D32"/>
    <w:rsid w:val="00B37685"/>
    <w:rsid w:val="00B42099"/>
    <w:rsid w:val="00B42270"/>
    <w:rsid w:val="00B47104"/>
    <w:rsid w:val="00B54A28"/>
    <w:rsid w:val="00B57362"/>
    <w:rsid w:val="00B62E0E"/>
    <w:rsid w:val="00B64D17"/>
    <w:rsid w:val="00B65963"/>
    <w:rsid w:val="00B747D6"/>
    <w:rsid w:val="00B7746A"/>
    <w:rsid w:val="00B90669"/>
    <w:rsid w:val="00B9306F"/>
    <w:rsid w:val="00BB5179"/>
    <w:rsid w:val="00BB690F"/>
    <w:rsid w:val="00BC5360"/>
    <w:rsid w:val="00BC549E"/>
    <w:rsid w:val="00BC7ADD"/>
    <w:rsid w:val="00BC7E9F"/>
    <w:rsid w:val="00BE4933"/>
    <w:rsid w:val="00BE5B0B"/>
    <w:rsid w:val="00BE5D10"/>
    <w:rsid w:val="00BE6AD9"/>
    <w:rsid w:val="00BE6F54"/>
    <w:rsid w:val="00BF450F"/>
    <w:rsid w:val="00C0088D"/>
    <w:rsid w:val="00C063C1"/>
    <w:rsid w:val="00C07150"/>
    <w:rsid w:val="00C07B59"/>
    <w:rsid w:val="00C15D15"/>
    <w:rsid w:val="00C16660"/>
    <w:rsid w:val="00C23FE3"/>
    <w:rsid w:val="00C25398"/>
    <w:rsid w:val="00C32A20"/>
    <w:rsid w:val="00C41707"/>
    <w:rsid w:val="00C50DD9"/>
    <w:rsid w:val="00C52D35"/>
    <w:rsid w:val="00C62CB0"/>
    <w:rsid w:val="00C657B7"/>
    <w:rsid w:val="00C74F68"/>
    <w:rsid w:val="00C75B61"/>
    <w:rsid w:val="00CB2F87"/>
    <w:rsid w:val="00CB31E9"/>
    <w:rsid w:val="00CC4360"/>
    <w:rsid w:val="00CD0733"/>
    <w:rsid w:val="00CD4A3D"/>
    <w:rsid w:val="00CE7345"/>
    <w:rsid w:val="00CF166D"/>
    <w:rsid w:val="00CF2836"/>
    <w:rsid w:val="00D01157"/>
    <w:rsid w:val="00D12675"/>
    <w:rsid w:val="00D17FF4"/>
    <w:rsid w:val="00D20635"/>
    <w:rsid w:val="00D21090"/>
    <w:rsid w:val="00D214F0"/>
    <w:rsid w:val="00D22E00"/>
    <w:rsid w:val="00D35882"/>
    <w:rsid w:val="00D40085"/>
    <w:rsid w:val="00D519C4"/>
    <w:rsid w:val="00D60003"/>
    <w:rsid w:val="00D6043B"/>
    <w:rsid w:val="00D62F9C"/>
    <w:rsid w:val="00D75477"/>
    <w:rsid w:val="00D8089C"/>
    <w:rsid w:val="00D82FEA"/>
    <w:rsid w:val="00D94529"/>
    <w:rsid w:val="00D947DA"/>
    <w:rsid w:val="00DA3F3C"/>
    <w:rsid w:val="00DA5015"/>
    <w:rsid w:val="00DA6EF4"/>
    <w:rsid w:val="00DC3193"/>
    <w:rsid w:val="00DD5587"/>
    <w:rsid w:val="00DD6255"/>
    <w:rsid w:val="00DE05B1"/>
    <w:rsid w:val="00DE471C"/>
    <w:rsid w:val="00DE5BAB"/>
    <w:rsid w:val="00DF2A88"/>
    <w:rsid w:val="00DF4674"/>
    <w:rsid w:val="00DF7EF8"/>
    <w:rsid w:val="00E0335B"/>
    <w:rsid w:val="00E07A2B"/>
    <w:rsid w:val="00E11E2E"/>
    <w:rsid w:val="00E23431"/>
    <w:rsid w:val="00E2360B"/>
    <w:rsid w:val="00E30434"/>
    <w:rsid w:val="00E3187F"/>
    <w:rsid w:val="00E324A3"/>
    <w:rsid w:val="00E33263"/>
    <w:rsid w:val="00E36417"/>
    <w:rsid w:val="00E37976"/>
    <w:rsid w:val="00E41188"/>
    <w:rsid w:val="00E414B6"/>
    <w:rsid w:val="00E41C6E"/>
    <w:rsid w:val="00E5162E"/>
    <w:rsid w:val="00E5188C"/>
    <w:rsid w:val="00E54E14"/>
    <w:rsid w:val="00E641ED"/>
    <w:rsid w:val="00E669E3"/>
    <w:rsid w:val="00E7340B"/>
    <w:rsid w:val="00E763FA"/>
    <w:rsid w:val="00E87FD0"/>
    <w:rsid w:val="00E92ABC"/>
    <w:rsid w:val="00E962AA"/>
    <w:rsid w:val="00E96E4F"/>
    <w:rsid w:val="00EA63BD"/>
    <w:rsid w:val="00EA72DC"/>
    <w:rsid w:val="00EA7FC6"/>
    <w:rsid w:val="00EB1574"/>
    <w:rsid w:val="00EB3392"/>
    <w:rsid w:val="00EB5245"/>
    <w:rsid w:val="00EB5312"/>
    <w:rsid w:val="00EC0804"/>
    <w:rsid w:val="00EC6EBE"/>
    <w:rsid w:val="00ED3504"/>
    <w:rsid w:val="00ED70E6"/>
    <w:rsid w:val="00ED79D3"/>
    <w:rsid w:val="00EE50A6"/>
    <w:rsid w:val="00EE5614"/>
    <w:rsid w:val="00EF7129"/>
    <w:rsid w:val="00F042CD"/>
    <w:rsid w:val="00F14D98"/>
    <w:rsid w:val="00F15D34"/>
    <w:rsid w:val="00F20100"/>
    <w:rsid w:val="00F33AA4"/>
    <w:rsid w:val="00F41DA2"/>
    <w:rsid w:val="00F42877"/>
    <w:rsid w:val="00F42E35"/>
    <w:rsid w:val="00F51EF4"/>
    <w:rsid w:val="00F61314"/>
    <w:rsid w:val="00F715A1"/>
    <w:rsid w:val="00F71AA7"/>
    <w:rsid w:val="00F72A94"/>
    <w:rsid w:val="00F72F7C"/>
    <w:rsid w:val="00F82B19"/>
    <w:rsid w:val="00F82B6C"/>
    <w:rsid w:val="00F85F65"/>
    <w:rsid w:val="00F90D5D"/>
    <w:rsid w:val="00F92A86"/>
    <w:rsid w:val="00FA1276"/>
    <w:rsid w:val="00FA1D82"/>
    <w:rsid w:val="00FA5C40"/>
    <w:rsid w:val="00FB49EC"/>
    <w:rsid w:val="00FB7475"/>
    <w:rsid w:val="00FC1D01"/>
    <w:rsid w:val="00FD299B"/>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21" Type="http://schemas.openxmlformats.org/officeDocument/2006/relationships/hyperlink" Target="https://doi.org/10.1257/aer.89.3.473" TargetMode="External"/><Relationship Id="rId34" Type="http://schemas.openxmlformats.org/officeDocument/2006/relationships/hyperlink" Target="http://urn.kb.se/resolve?urn=urn:nbn:se:kth:diva-205595"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33" Type="http://schemas.openxmlformats.org/officeDocument/2006/relationships/hyperlink" Target="https://doi.org/10.1108/joic.2002.3.1.44"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hyperlink" Target="https://api.semanticscholar.org/CorpusID:2526083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32" Type="http://schemas.openxmlformats.org/officeDocument/2006/relationships/hyperlink" Target="https://doi.org/10.2139/ssrn.345007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dx.doi.org/10.2139/ssrn.3910214" TargetMode="External"/><Relationship Id="rId31" Type="http://schemas.openxmlformats.org/officeDocument/2006/relationships/hyperlink" Target="https://doi.org/10.1198/0735001040000003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hyperlink" Target="https://doi.org/10.1016/0304-4076(86)90063-1" TargetMode="External"/><Relationship Id="rId35" Type="http://schemas.openxmlformats.org/officeDocument/2006/relationships/hyperlink" Target="https://doi.org/10.48550/arXiv.1407.020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22</Pages>
  <Words>5665</Words>
  <Characters>32294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161</cp:revision>
  <dcterms:created xsi:type="dcterms:W3CDTF">2025-06-30T12:28:00Z</dcterms:created>
  <dcterms:modified xsi:type="dcterms:W3CDTF">2025-07-27T17:06:00Z</dcterms:modified>
</cp:coreProperties>
</file>