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Toc204515559"/>
      <w:bookmarkStart w:id="4" w:name="_Hlk204173981"/>
      <w:r w:rsidRPr="007C0AB9">
        <w:lastRenderedPageBreak/>
        <w:t>Survey</w:t>
      </w:r>
      <w:bookmarkEnd w:id="3"/>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Liu, Leu, and Holst (2023) proposed a method using FinBERT</w:t>
      </w:r>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22CDBD9"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BA6232">
        <w:t>Bollerslev, 1986</w:t>
      </w:r>
      <w:r w:rsidR="00356EEE">
        <w:rPr>
          <w:sz w:val="20"/>
          <w:szCs w:val="20"/>
        </w:rPr>
        <w:t>)</w:t>
      </w:r>
      <w:r>
        <w:t xml:space="preserve">, </w:t>
      </w:r>
      <w:r w:rsidR="001E03E7">
        <w:t xml:space="preserve">and </w:t>
      </w:r>
      <w:r>
        <w:t>CAViaR</w:t>
      </w:r>
      <w:r w:rsidR="00964BE1">
        <w:t xml:space="preserve"> (</w:t>
      </w:r>
      <w:r w:rsidR="00964BE1" w:rsidRPr="00BA6232">
        <w:t>Engle et al., 2004</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4"/>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331B3388" w14:textId="3594C34C" w:rsidR="002260D9" w:rsidRDefault="002260D9" w:rsidP="002260D9">
      <w:pPr>
        <w:pStyle w:val="ListParagraph"/>
        <w:numPr>
          <w:ilvl w:val="0"/>
          <w:numId w:val="44"/>
        </w:numPr>
      </w:pPr>
      <w:r>
        <w:t>Title: This column includes the financial news headline(s) published on the respective trading date. These headlines reflect the key news events, market sentiments, or significant announcements that could potentially influence investor behaviour and market movements.</w:t>
      </w:r>
    </w:p>
    <w:p w14:paraId="575C2249" w14:textId="05E16638" w:rsidR="00463C2A" w:rsidRDefault="00463C2A" w:rsidP="002260D9">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7DE00C80" w14:textId="40F783A0" w:rsidR="00463C2A" w:rsidRDefault="00463C2A" w:rsidP="00463C2A">
      <w:pPr>
        <w:pStyle w:val="ListParagraph"/>
        <w:numPr>
          <w:ilvl w:val="0"/>
          <w:numId w:val="44"/>
        </w:numPr>
      </w:pPr>
      <w:r>
        <w:t>C</w:t>
      </w:r>
      <w:r w:rsidR="00B3624E">
        <w:t>P</w:t>
      </w:r>
      <w:r>
        <w:t>: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69BA3404" w:rsidR="001D6245" w:rsidRDefault="001D6245" w:rsidP="001D6245">
      <w:pPr>
        <w:pStyle w:val="ListParagraph"/>
        <w:numPr>
          <w:ilvl w:val="0"/>
          <w:numId w:val="45"/>
        </w:numPr>
      </w:pPr>
      <w:r>
        <w:t xml:space="preserve">Look-ahead period: The number of trading days into the future over which we examine the price drop. Given approximately </w:t>
      </w:r>
      <w:r w:rsidR="007D4C28">
        <w:t>132</w:t>
      </w:r>
      <w:r>
        <w:t xml:space="preserve"> trading days in a year, this value is set to </w:t>
      </w:r>
      <w:r w:rsidR="007D4C28">
        <w:t>13</w:t>
      </w:r>
      <w:r>
        <w:t xml:space="preserve">2 to </w:t>
      </w:r>
      <w:r w:rsidR="00133BF2">
        <w:t>analyse</w:t>
      </w:r>
      <w:r>
        <w:t xml:space="preserve"> a </w:t>
      </w:r>
      <w:r w:rsidR="007D4C28">
        <w:t>half</w:t>
      </w:r>
      <w:r>
        <w:t>-year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t xml:space="preserve">Data Splitting and </w:t>
      </w:r>
      <w:r w:rsidR="007A55F8" w:rsidRPr="007A55F8">
        <w:t>Class Imbalance</w:t>
      </w:r>
      <w:r w:rsidR="00C41707">
        <w:t xml:space="preserve"> Handling</w:t>
      </w:r>
      <w:bookmarkEnd w:id="18"/>
    </w:p>
    <w:p w14:paraId="3741BEF7" w14:textId="20CAC189" w:rsidR="004B71D9" w:rsidRDefault="00155D49" w:rsidP="0033396C">
      <w:r w:rsidRPr="00155D49">
        <w:t xml:space="preserve">The dataset was divided into training and testing portions using a time-based approach to maintain proper temporal sequence and prevent information leakage. </w:t>
      </w:r>
      <w:r w:rsidRPr="000D2FB3">
        <w:rPr>
          <w:highlight w:val="yellow"/>
        </w:rPr>
        <w:lastRenderedPageBreak/>
        <w:t xml:space="preserve">Data collected from </w:t>
      </w:r>
      <w:r w:rsidR="005650F0" w:rsidRPr="000D2FB3">
        <w:rPr>
          <w:highlight w:val="yellow"/>
        </w:rPr>
        <w:t>02/01/2008</w:t>
      </w:r>
      <w:r w:rsidRPr="000D2FB3">
        <w:rPr>
          <w:highlight w:val="yellow"/>
        </w:rPr>
        <w:t xml:space="preserve"> to</w:t>
      </w:r>
      <w:r w:rsidR="005650F0" w:rsidRPr="000D2FB3">
        <w:rPr>
          <w:highlight w:val="yellow"/>
        </w:rPr>
        <w:t xml:space="preserve"> 31/12/2021</w:t>
      </w:r>
      <w:r w:rsidRPr="000D2FB3">
        <w:rPr>
          <w:highlight w:val="yellow"/>
        </w:rPr>
        <w:t xml:space="preserve"> formed the training dataset, while </w:t>
      </w:r>
      <w:r w:rsidR="00147298" w:rsidRPr="000D2FB3">
        <w:rPr>
          <w:highlight w:val="yellow"/>
        </w:rPr>
        <w:t>data</w:t>
      </w:r>
      <w:r w:rsidRPr="000D2FB3">
        <w:rPr>
          <w:highlight w:val="yellow"/>
        </w:rPr>
        <w:t xml:space="preserve"> from </w:t>
      </w:r>
      <w:r w:rsidR="005650F0" w:rsidRPr="000D2FB3">
        <w:rPr>
          <w:highlight w:val="yellow"/>
        </w:rPr>
        <w:t xml:space="preserve">01/01/2022 to 04/03/2024 </w:t>
      </w:r>
      <w:r w:rsidRPr="000D2FB3">
        <w:rPr>
          <w:highlight w:val="yellow"/>
        </w:rPr>
        <w:t xml:space="preserve">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w:t>
      </w:r>
      <w:r w:rsidR="00FB7475" w:rsidRPr="000D2FB3">
        <w:rPr>
          <w:highlight w:val="yellow"/>
        </w:rPr>
        <w:t xml:space="preserve">Area Under the </w:t>
      </w:r>
      <w:r w:rsidR="008F2B4E" w:rsidRPr="000D2FB3">
        <w:rPr>
          <w:highlight w:val="yellow"/>
        </w:rPr>
        <w:t xml:space="preserve">ROC </w:t>
      </w:r>
      <w:r w:rsidR="00FB7475" w:rsidRPr="000D2FB3">
        <w:rPr>
          <w:highlight w:val="yellow"/>
        </w:rPr>
        <w:t>Curve (</w:t>
      </w:r>
      <w:r w:rsidRPr="000D2FB3">
        <w:rPr>
          <w:highlight w:val="yellow"/>
        </w:rPr>
        <w:t>AUC</w:t>
      </w:r>
      <w:r w:rsidR="00FB7475" w:rsidRPr="000D2FB3">
        <w:rPr>
          <w:highlight w:val="yellow"/>
        </w:rPr>
        <w:t>)</w:t>
      </w:r>
      <w:r w:rsidRPr="000D2FB3">
        <w:rPr>
          <w:highlight w:val="yellow"/>
        </w:rPr>
        <w:t>) and biased assessments of model performance. To address this issue and ensure valid evaluation, the train-test split was carefully adjusted to guarantee that the test set contains adequate instances of the minority class.</w:t>
      </w:r>
    </w:p>
    <w:p w14:paraId="5C0B5B56" w14:textId="031E0775" w:rsidR="00BB5179" w:rsidRDefault="00BB5179" w:rsidP="0033396C">
      <w:r w:rsidRPr="002A4CFA">
        <w:rPr>
          <w:highlight w:val="yellow"/>
        </w:rPr>
        <w:t xml:space="preserve">In addition, </w:t>
      </w:r>
      <w:r w:rsidR="00A837B6" w:rsidRPr="002A4CFA">
        <w:rPr>
          <w:highlight w:val="yellow"/>
        </w:rPr>
        <w:t>t</w:t>
      </w:r>
      <w:r w:rsidRPr="002A4CFA">
        <w:rPr>
          <w:highlight w:val="yellow"/>
        </w:rPr>
        <w:t xml:space="preserve">o mitigate </w:t>
      </w:r>
      <w:r w:rsidR="00A837B6" w:rsidRPr="002A4CFA">
        <w:rPr>
          <w:highlight w:val="yellow"/>
        </w:rPr>
        <w:t>the highly imbalanced</w:t>
      </w:r>
      <w:r w:rsidRPr="002A4CFA">
        <w:rPr>
          <w:highlight w:val="yellow"/>
        </w:rPr>
        <w:t xml:space="preserve"> issue</w:t>
      </w:r>
      <w:r w:rsidR="00A837B6" w:rsidRPr="002A4CFA">
        <w:rPr>
          <w:highlight w:val="yellow"/>
        </w:rPr>
        <w:t xml:space="preserve"> with only 4.22% of crash instances</w:t>
      </w:r>
      <w:r w:rsidRPr="002A4CFA">
        <w:rPr>
          <w:highlight w:val="yellow"/>
        </w:rPr>
        <w:t>, we apply the Synthetic Minority Over-sampling Technique (SMOTE)</w:t>
      </w:r>
      <w:r w:rsidR="00C32A20" w:rsidRPr="002A4CFA">
        <w:rPr>
          <w:highlight w:val="yellow"/>
        </w:rPr>
        <w:t xml:space="preserve"> from imbalanced learn package</w:t>
      </w:r>
      <w:r w:rsidR="00E7340B" w:rsidRPr="002A4CFA">
        <w:rPr>
          <w:rStyle w:val="FootnoteReference"/>
          <w:highlight w:val="yellow"/>
        </w:rPr>
        <w:footnoteReference w:id="3"/>
      </w:r>
      <w:r w:rsidRPr="002A4CFA">
        <w:rPr>
          <w:highlight w:val="yellow"/>
        </w:rPr>
        <w:t>, a widely used resampling method that generates synthetic examples of the minority class based on feature space similarities between existing minority instances (Chawla et al., 2002). By interpolating new samples rather than simply duplicating existing ones, SMOTE improves the generalizability of the model and helps it learn decision boundaries that are more representative of both classes (Budhidharma et al., 2023).</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000000"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174FC324"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6161F3">
        <w:rPr>
          <w:lang w:val="en-US"/>
        </w:rPr>
        <w:t>(</w:t>
      </w:r>
      <w:r w:rsidR="006161F3" w:rsidRPr="002B35C0">
        <w:t>Osborne, 1959</w:t>
      </w:r>
      <w:r w:rsidR="006161F3">
        <w:rPr>
          <w:lang w:val="en-US"/>
        </w:rPr>
        <w:t>)</w:t>
      </w:r>
      <w:r w:rsidRPr="00D20635">
        <w:rPr>
          <w:lang w:val="en-US"/>
        </w:rPr>
        <w:t xml:space="preserve"> process where daily returns are assumed to be independent and identically distributed (i.i.d.)</w:t>
      </w:r>
      <w:r>
        <w:rPr>
          <w:lang w:val="en-US"/>
        </w:rPr>
        <w:t xml:space="preserve"> </w:t>
      </w:r>
      <w:r w:rsidR="001F54A5">
        <w:rPr>
          <w:lang w:val="en-US"/>
        </w:rPr>
        <w:t>(</w:t>
      </w:r>
      <w:r w:rsidR="001F54A5" w:rsidRPr="002B35C0">
        <w:t>Ren et al., 2017</w:t>
      </w:r>
      <w:r w:rsidR="001F54A5">
        <w:rPr>
          <w:lang w:val="en-US"/>
        </w:rPr>
        <w:t>)</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000000"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000000"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Default="00B57362" w:rsidP="00B57362">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t xml:space="preserve">Sentiment </w:t>
      </w:r>
      <w:bookmarkEnd w:id="19"/>
      <w:r w:rsidR="00171AEA">
        <w:t>Volatility</w:t>
      </w:r>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727EE459"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w:t>
      </w:r>
      <w:r w:rsidR="008F55C3">
        <w:rPr>
          <w:lang w:val="en-US"/>
        </w:rPr>
        <w:t>32</w:t>
      </w:r>
      <w:r w:rsidR="00A7427B" w:rsidRPr="00A7427B">
        <w:rPr>
          <w:lang w:val="en-US"/>
        </w:rPr>
        <w:t xml:space="preserve">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w:t>
      </w:r>
      <w:r w:rsidRPr="00565DF4">
        <w:rPr>
          <w:lang w:val="en-US"/>
        </w:rPr>
        <w:lastRenderedPageBreak/>
        <w:t>market mood or perception and may</w:t>
      </w:r>
      <w:r w:rsidR="00AA31A2">
        <w:rPr>
          <w:lang w:val="en-US"/>
        </w:rPr>
        <w:t xml:space="preserve"> h</w:t>
      </w:r>
      <w:r w:rsidRPr="00565DF4">
        <w:rPr>
          <w:lang w:val="en-US"/>
        </w:rPr>
        <w:t>ave different statistical properties than returns (e.g., not i.i.d., possibly autocorrelated).</w:t>
      </w:r>
    </w:p>
    <w:p w14:paraId="28A67685" w14:textId="536C724D" w:rsidR="00372A57"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i</w:t>
      </w:r>
      <w:r w:rsidRPr="00AA31A2">
        <w:rPr>
          <w:lang w:val="en-US"/>
        </w:rPr>
        <w:t>s treated more as a descriptive statistic rather than a time-scaled measure like market volatility.</w:t>
      </w:r>
    </w:p>
    <w:p w14:paraId="04ABA9BB" w14:textId="350641D7" w:rsidR="002245BD" w:rsidRDefault="002245BD" w:rsidP="0079223B">
      <w:pPr>
        <w:rPr>
          <w:lang w:val="en-US"/>
        </w:rPr>
      </w:pPr>
      <w:r>
        <w:rPr>
          <w:lang w:val="en-US"/>
        </w:rPr>
        <w:t>--- Upside/Downside Volatility ---</w:t>
      </w:r>
    </w:p>
    <w:p w14:paraId="7F0100DF" w14:textId="5A392B5F" w:rsidR="00ED6C39" w:rsidRDefault="00ED6C39" w:rsidP="0079223B">
      <w:pPr>
        <w:rPr>
          <w:lang w:val="en-US"/>
        </w:rPr>
      </w:pPr>
      <w:r w:rsidRPr="00ED6C39">
        <w:rPr>
          <w:highlight w:val="yellow"/>
          <w:lang w:val="en-US"/>
        </w:rPr>
        <w:t>Traditional volatility measures, such as variance or standard deviation, capture the magnitude of return fluctuations but ignore their direction. However, in the context of financial crises, negative returns typically carry more relevance for early warning signals than symmetric volatility. While this study incorporates VaR and Expected Shortfall to partially address this issue, future work could enhance directional sensitivity through the inclusion of downside volatility, skewness, or conditional measures that emphasize negative price movements.</w:t>
      </w:r>
    </w:p>
    <w:p w14:paraId="7338BC2E" w14:textId="45A0B745" w:rsidR="00F14D98" w:rsidRDefault="00F14D98" w:rsidP="00F14D98">
      <w:pPr>
        <w:pStyle w:val="Heading3"/>
        <w:rPr>
          <w:lang w:val="en-US"/>
        </w:rPr>
      </w:pPr>
      <w:bookmarkStart w:id="20" w:name="_Toc204515575"/>
      <w:r>
        <w:rPr>
          <w:lang w:val="en-US"/>
        </w:rPr>
        <w:t>VaR and ES Features</w:t>
      </w:r>
      <w:bookmarkEnd w:id="20"/>
    </w:p>
    <w:p w14:paraId="4062854E" w14:textId="4D88279A"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31328255"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w:t>
      </w:r>
      <w:r w:rsidR="009A0EDD">
        <w:rPr>
          <w:lang w:val="en-US"/>
        </w:rPr>
        <w:t xml:space="preserve"> ES</w:t>
      </w:r>
      <w:r w:rsidRPr="00C74F68">
        <w:rPr>
          <w:lang w:val="en-US"/>
        </w:rPr>
        <w:t>,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6ACD7CD0" w:rsidR="00A677EE" w:rsidRDefault="00A677EE" w:rsidP="00A677EE">
      <w:pPr>
        <w:rPr>
          <w:lang w:val="en-US"/>
        </w:rPr>
      </w:pPr>
      <w:r w:rsidRPr="00A677EE">
        <w:rPr>
          <w:lang w:val="en-US"/>
        </w:rPr>
        <w:t>When estimating VaR and</w:t>
      </w:r>
      <w:r w:rsidR="003E2DDE">
        <w:rPr>
          <w:lang w:val="en-US"/>
        </w:rPr>
        <w:t xml:space="preserve"> </w:t>
      </w:r>
      <w:r w:rsidRPr="00A677EE">
        <w:rPr>
          <w:lang w:val="en-US"/>
        </w:rPr>
        <w:t xml:space="preserve">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r w:rsidR="00C063C1" w:rsidRPr="00656EC6">
        <w:t>Hällman, 201</w:t>
      </w:r>
      <w:r w:rsidR="001165BB" w:rsidRPr="00656EC6">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The feature columns with missing data were imputed using mean values calculated from the training dataset, followed by feature scaling using the StandardScaler</w:t>
      </w:r>
      <w:r w:rsidR="00FE5C88">
        <w:t xml:space="preserve"> from sklearn packag</w:t>
      </w:r>
      <w:r w:rsidR="00C07150">
        <w:t>e</w:t>
      </w:r>
      <w:r>
        <w:rPr>
          <w:rStyle w:val="FootnoteReference"/>
        </w:rPr>
        <w:footnoteReference w:id="4"/>
      </w:r>
      <w:r w:rsidRPr="00E763FA">
        <w:t xml:space="preserve">. This scaler standardizes features by </w:t>
      </w:r>
      <w:r w:rsidRPr="00E763FA">
        <w:lastRenderedPageBreak/>
        <w:t xml:space="preserve">removing the mean and scaling to unit variance, ensuring that each feature contributes equally to the model training process and preventing features with larger scales from dominating. Additionally, </w:t>
      </w:r>
      <w:r w:rsidR="005575F6">
        <w:t xml:space="preserve">SMOTE </w:t>
      </w:r>
      <w:r w:rsidRPr="00E763FA">
        <w:t>was implemented solely on the training set to address class imbalance issues.</w:t>
      </w:r>
    </w:p>
    <w:p w14:paraId="405FEA7D" w14:textId="596F4E81" w:rsidR="00760E81" w:rsidRPr="00760E81" w:rsidRDefault="00C92AB8" w:rsidP="00760E81">
      <w:pPr>
        <w:pStyle w:val="Heading2"/>
      </w:pPr>
      <w:r>
        <w:t>Model Implementation</w:t>
      </w:r>
    </w:p>
    <w:p w14:paraId="613378A9" w14:textId="69B2C8A6" w:rsidR="006023F9" w:rsidRDefault="004A66D3" w:rsidP="006023F9">
      <w:pPr>
        <w:pStyle w:val="Heading3"/>
      </w:pPr>
      <w:r>
        <w:t xml:space="preserve">Static </w:t>
      </w:r>
      <w:r w:rsidR="006023F9" w:rsidRPr="006023F9">
        <w:t>Logistic Regression</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at time </w:t>
      </w:r>
      <m:oMath>
        <m:r>
          <w:rPr>
            <w:rFonts w:ascii="Cambria Math" w:hAnsi="Cambria Math"/>
          </w:rPr>
          <m:t>t</m:t>
        </m:r>
      </m:oMath>
      <w:r w:rsidR="006023F9">
        <w:t xml:space="preserve">, given the features, by </w:t>
      </w:r>
      <w:r w:rsidR="00726EAA">
        <w:t>modelling</w:t>
      </w:r>
      <w:r w:rsidR="00726EAA" w:rsidRPr="00726EAA">
        <w:t xml:space="preserve"> 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000000"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000000"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5E45B01C" w14:textId="32821051" w:rsidR="005B748B"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r w:rsidR="007C2F94" w:rsidRPr="00347B32">
        <w:t>Defazio</w:t>
      </w:r>
      <w:r w:rsidR="00237F7A" w:rsidRPr="00347B32">
        <w:t xml:space="preserve"> et al., </w:t>
      </w:r>
      <w:r w:rsidR="007C2F94" w:rsidRPr="00347B32">
        <w:t>2014</w:t>
      </w:r>
      <w:r w:rsidR="007C2F94">
        <w:t>)</w:t>
      </w:r>
      <w:r>
        <w:t xml:space="preserve"> with a maximum of 1000 iterations, allowing effective handling of regularization and class imbalance.</w:t>
      </w:r>
    </w:p>
    <w:p w14:paraId="46B8BA99" w14:textId="291F9F4C" w:rsidR="005B748B" w:rsidRDefault="005B748B" w:rsidP="000C2909">
      <m:oMathPara>
        <m:oMath>
          <m:r>
            <w:rPr>
              <w:rFonts w:ascii="Cambria Math" w:hAnsi="Cambria Math"/>
            </w:rPr>
            <m:t>[INSERT ELASTIC NET EQUATION]</m:t>
          </m:r>
        </m:oMath>
      </m:oMathPara>
    </w:p>
    <w:p w14:paraId="138B72B2" w14:textId="4A4543C5" w:rsidR="000C2909" w:rsidRPr="006023F9" w:rsidRDefault="008951F6" w:rsidP="000C2909">
      <w:r>
        <w:t>As f</w:t>
      </w:r>
      <w:r w:rsidR="00DE05B1">
        <w:t>or t</w:t>
      </w:r>
      <w:r>
        <w:t>his model</w:t>
      </w:r>
      <w:r w:rsidR="00DE05B1">
        <w:t xml:space="preserve">, </w:t>
      </w:r>
      <w:r>
        <w:t>a</w:t>
      </w:r>
      <w:r w:rsidR="00DE05B1" w:rsidRPr="00DE05B1">
        <w:t xml:space="preserve"> static threshold of 0.5 was initially used to convert predicted probabilities into class labels, where probabilities above or equal to 0.5 were classified as positive cases.</w:t>
      </w:r>
    </w:p>
    <w:p w14:paraId="13FB0A4C" w14:textId="75040339" w:rsidR="00DE471C" w:rsidRDefault="00DE471C" w:rsidP="00DE471C">
      <w:pPr>
        <w:pStyle w:val="Heading3"/>
      </w:pPr>
      <w:r>
        <w:t>Dynamic Logi</w:t>
      </w:r>
      <w:r w:rsidR="00DF4674">
        <w:t xml:space="preserve">stic Regression </w:t>
      </w:r>
      <w:r>
        <w:t>+ Dynamic Threshold</w:t>
      </w:r>
    </w:p>
    <w:p w14:paraId="4EDB3BC7" w14:textId="7AF5BDDC" w:rsidR="00F42E35" w:rsidRDefault="00195CCB" w:rsidP="00195CCB">
      <w:r>
        <w:t xml:space="preserve">To capture the temporal dependencies and improve the predictive performance of the crash classification model, we extend the baseline logistic regression by incorporating lagged features of the original market and sentiment volatility indicators, VaR, and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000000"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lastRenderedPageBreak/>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The optimal threshold is chosen by 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2∙Precision(θ)∙Recall(θ)</m:t>
              </m:r>
            </m:num>
            <m:den>
              <m:r>
                <w:rPr>
                  <w:rFonts w:ascii="Cambria Math" w:hAnsi="Cambria Math"/>
                </w:rPr>
                <m:t>Precision(θ)+Recall(θ)</m:t>
              </m:r>
            </m:den>
          </m:f>
          <m:r>
            <w:rPr>
              <w:rFonts w:ascii="Cambria Math" w:hAnsi="Cambria Math"/>
            </w:rPr>
            <m:t>)</m:t>
          </m:r>
        </m:oMath>
      </m:oMathPara>
    </w:p>
    <w:p w14:paraId="5F9CE0E3" w14:textId="0268F76B" w:rsidR="00C25398" w:rsidRPr="00195CCB" w:rsidRDefault="00C25398" w:rsidP="00195CCB">
      <w:r w:rsidRPr="00C25398">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3CFDA4A6" w14:textId="16E3C83A" w:rsidR="00E202BA" w:rsidRDefault="00E202BA" w:rsidP="00E202BA">
      <w:r>
        <w:t xml:space="preserve">For each volatility horizon </w:t>
      </w:r>
      <m:oMath>
        <m:r>
          <w:rPr>
            <w:rFonts w:ascii="Cambria Math" w:hAnsi="Cambria Math"/>
          </w:rPr>
          <m:t>n</m:t>
        </m:r>
      </m:oMath>
      <w:r>
        <w:t xml:space="preserve">, we constructed the input feature set using the same variables as the first static regression model, then standardized using StandardScaler, and transformed into rolling sequences of length </w:t>
      </w:r>
      <m:oMath>
        <m:r>
          <w:rPr>
            <w:rFonts w:ascii="Cambria Math" w:hAnsi="Cambria Math"/>
          </w:rPr>
          <m:t>w=22</m:t>
        </m:r>
      </m:oMath>
      <w:r>
        <w:t xml:space="preserve"> (approximately one trading month) to serve as inputs to the CNN. The target label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was aligned with the endpoint of each sequence, maintaining proper temporal order.</w:t>
      </w:r>
    </w:p>
    <w:p w14:paraId="14A66EBE" w14:textId="6B93E98C" w:rsidR="002E3287" w:rsidRDefault="002E3287" w:rsidP="00E202BA">
      <w:r w:rsidRPr="002E3287">
        <w:t>The CNN architecture consisted of two</w:t>
      </w:r>
      <w:r>
        <w:t xml:space="preserve"> 1D</w:t>
      </w:r>
      <w:r w:rsidRPr="002E3287">
        <w:t xml:space="preserve"> convolutional layers with ReLU activations: the first with 64 filters and a kernel size of 3, followed by max pooling, and a second convolutional layer with 128 filters. A global max pooling layer was applied to extract the most salient features, followed by dropout regularization and dense layers. The final output layer used a sigmoid activation function to produce probability estimates for binary classification.</w:t>
      </w:r>
    </w:p>
    <w:p w14:paraId="6C6140DA" w14:textId="2F9474DA" w:rsidR="009A7306" w:rsidRDefault="009A7306" w:rsidP="009A7306">
      <w:pPr>
        <w:jc w:val="center"/>
      </w:pPr>
      <w:r>
        <w:t>[INSERT DIAGRAM]</w:t>
      </w:r>
    </w:p>
    <w:p w14:paraId="3B9EABB2" w14:textId="4A5D9CC3" w:rsidR="002E3287" w:rsidRPr="00E202BA" w:rsidRDefault="001B0787" w:rsidP="00E202BA">
      <w:r w:rsidRPr="001B0787">
        <w:t xml:space="preserve">To handle class imbalance without disrupting the temporal structure of sequences, we applied class weighting during training. These weights were calculated using </w:t>
      </w:r>
      <w:r w:rsidR="00A155DB" w:rsidRPr="001B0787">
        <w:t>class</w:t>
      </w:r>
      <w:r w:rsidR="004E0F61">
        <w:t xml:space="preserve"> </w:t>
      </w:r>
      <w:r w:rsidR="00A155DB" w:rsidRPr="001B0787">
        <w:t>weight</w:t>
      </w:r>
      <w:r w:rsidR="004E0F61">
        <w:t xml:space="preserve"> computing</w:t>
      </w:r>
      <w:r w:rsidR="00A155DB" w:rsidRPr="001B0787">
        <w:t xml:space="preserve"> </w:t>
      </w:r>
      <w:r w:rsidR="00A155DB">
        <w:t xml:space="preserve">from </w:t>
      </w:r>
      <w:r w:rsidRPr="001B0787">
        <w:t>sklearn</w:t>
      </w:r>
      <w:r w:rsidR="004E0F61">
        <w:rPr>
          <w:rStyle w:val="FootnoteReference"/>
        </w:rPr>
        <w:footnoteReference w:id="5"/>
      </w:r>
      <w:r w:rsidR="00A155DB">
        <w:t xml:space="preserve"> </w:t>
      </w:r>
      <w:r w:rsidRPr="001B0787">
        <w:t>to penalize misclassification of the minority crash class.</w:t>
      </w:r>
      <w:r w:rsidR="009A7306">
        <w:t xml:space="preserve"> </w:t>
      </w:r>
      <w:r w:rsidR="0027773F">
        <w:t>Lastly</w:t>
      </w:r>
      <w:r w:rsidRPr="001B0787">
        <w:t>, a dynamic thresholding method was also applied to the CNN outputs.</w:t>
      </w:r>
    </w:p>
    <w:p w14:paraId="6A4793AA" w14:textId="3A498896" w:rsidR="00104F17" w:rsidRDefault="00DE471C" w:rsidP="004E037E">
      <w:pPr>
        <w:pStyle w:val="Heading3"/>
      </w:pPr>
      <w:r>
        <w:t>LSTM</w:t>
      </w:r>
      <w:r w:rsidR="001935C2">
        <w:t xml:space="preserve"> (</w:t>
      </w:r>
      <w:r w:rsidR="00040BD3">
        <w:t>Opt.?</w:t>
      </w:r>
      <w:r w:rsidR="001935C2">
        <w:t>)</w:t>
      </w:r>
    </w:p>
    <w:p w14:paraId="7E544C02" w14:textId="3FECE6F0" w:rsidR="0047713E" w:rsidRDefault="0047713E" w:rsidP="0047713E">
      <w:r w:rsidRPr="0047713E">
        <w:t>The LSTM architecture comprised a single LSTM layer with 64 units, followed by a dropout layer (rate = 0.3) to reduce overfitting, and a fully connected dense output layer with a sigmoid activation function for binary classification. The model was compiled with the binary cross-entropy loss function and optimized using the Adam optimizer with a learning rate of 0.001. Training was performed for 10 epochs using a batch size of 32, with 20% of the training data reserved for validation.</w:t>
      </w:r>
    </w:p>
    <w:p w14:paraId="128C6F51" w14:textId="0C3A20CF" w:rsidR="001A2288" w:rsidRDefault="001A2288" w:rsidP="001A2288">
      <w:pPr>
        <w:jc w:val="center"/>
      </w:pPr>
      <w:r>
        <w:t>[INSERT DIAGRAM]</w:t>
      </w:r>
    </w:p>
    <w:p w14:paraId="69F2147B" w14:textId="0CF0BB46" w:rsidR="0047713E" w:rsidRDefault="0047713E" w:rsidP="0047713E">
      <w:r w:rsidRPr="0047713E">
        <w:lastRenderedPageBreak/>
        <w:t xml:space="preserve">As with the </w:t>
      </w:r>
      <w:r w:rsidR="00514C8B">
        <w:t xml:space="preserve">dynamic </w:t>
      </w:r>
      <w:r w:rsidRPr="0047713E">
        <w:t>logistic regression and CNN models, a dynamic thresholding approach was applied to convert predicted probabilities into binary crash predictions.</w:t>
      </w:r>
    </w:p>
    <w:p w14:paraId="2C1034F4" w14:textId="563A549A" w:rsidR="00A3691E" w:rsidRPr="0047713E" w:rsidRDefault="00C258F7" w:rsidP="00A3691E">
      <w:pPr>
        <w:pStyle w:val="Heading3"/>
      </w:pPr>
      <w:r>
        <w:rPr>
          <w:lang w:val="en-US" w:bidi="th-TH"/>
        </w:rPr>
        <w:t xml:space="preserve">Another NN? </w:t>
      </w:r>
      <w:r w:rsidR="00A3691E">
        <w:t>Hybrid Model</w:t>
      </w:r>
      <w:r w:rsidR="00731CAB">
        <w:t xml:space="preserve"> with Combined Window</w:t>
      </w:r>
      <w:r w:rsidR="00A3691E">
        <w:t>?</w:t>
      </w:r>
      <w:r w:rsidR="00FD403F">
        <w:t xml:space="preserve"> SMO? Tree-based?</w:t>
      </w:r>
    </w:p>
    <w:p w14:paraId="75CB4033" w14:textId="2512FFC0" w:rsidR="005F7565" w:rsidRDefault="00104F17" w:rsidP="005F7565">
      <w:pPr>
        <w:pStyle w:val="Heading2"/>
      </w:pPr>
      <w:bookmarkStart w:id="21" w:name="_Toc204515578"/>
      <w:r>
        <w:t>Evaluation</w:t>
      </w:r>
      <w:r w:rsidR="00857FA0">
        <w:t xml:space="preserve"> Metrics</w:t>
      </w:r>
      <w:bookmarkEnd w:id="21"/>
    </w:p>
    <w:p w14:paraId="6EE7124A" w14:textId="2E4F8BD7" w:rsidR="00200F8B" w:rsidRPr="004C2561" w:rsidRDefault="00200F8B" w:rsidP="004C2561">
      <w:r w:rsidRPr="005F7565">
        <w:t>In evaluating Early Warning Systems (EWS) for financial crash prediction, selecting appropriate performance metrics is essential due to the highly imbalanced nature of crash events and the asymmetric cost of misclassification. In this context, we rank evaluation metrics based on their practical importance and alignment with the goals of a crash-detection system.</w:t>
      </w:r>
    </w:p>
    <w:p w14:paraId="7F97F4CF" w14:textId="77777777" w:rsidR="00371A68" w:rsidRDefault="00371A68" w:rsidP="00E40F9A">
      <w:pPr>
        <w:pStyle w:val="Heading3"/>
      </w:pPr>
      <w:bookmarkStart w:id="22" w:name="_Toc204515580"/>
      <w:r>
        <w:t xml:space="preserve">Confusion </w:t>
      </w:r>
      <w:r w:rsidRPr="00E40F9A">
        <w:t>Matrix</w:t>
      </w:r>
      <w:bookmarkEnd w:id="22"/>
    </w:p>
    <w:p w14:paraId="0397AFB3" w14:textId="77777777" w:rsidR="00371A68" w:rsidRDefault="00371A68" w:rsidP="00371A68">
      <w:r>
        <w:t>The confusion matrix provides a tabular representation of classification outcomes by comparing predicted labels with actual labels. It includes four components:</w:t>
      </w:r>
    </w:p>
    <w:p w14:paraId="6D3C1B4D" w14:textId="77777777" w:rsidR="00371A68" w:rsidRDefault="00371A68" w:rsidP="009D7B17">
      <w:pPr>
        <w:pStyle w:val="ListParagraph"/>
        <w:numPr>
          <w:ilvl w:val="0"/>
          <w:numId w:val="49"/>
        </w:numPr>
      </w:pPr>
      <w:r>
        <w:t>True Positives (TP): Correctly predicted crash instances.</w:t>
      </w:r>
    </w:p>
    <w:p w14:paraId="35F0386F" w14:textId="77777777" w:rsidR="00371A68" w:rsidRDefault="00371A68" w:rsidP="009D7B17">
      <w:pPr>
        <w:pStyle w:val="ListParagraph"/>
        <w:numPr>
          <w:ilvl w:val="0"/>
          <w:numId w:val="49"/>
        </w:numPr>
      </w:pPr>
      <w:r>
        <w:t>True Negatives (TN): Correctly predicted non-crash instances.</w:t>
      </w:r>
    </w:p>
    <w:p w14:paraId="5BB1BDAF" w14:textId="77777777" w:rsidR="00371A68" w:rsidRDefault="00371A68" w:rsidP="009D7B17">
      <w:pPr>
        <w:pStyle w:val="ListParagraph"/>
        <w:numPr>
          <w:ilvl w:val="0"/>
          <w:numId w:val="49"/>
        </w:numPr>
      </w:pPr>
      <w:r>
        <w:t>False Positives (FP): Non-crash instances incorrectly predicted as crashes.</w:t>
      </w:r>
    </w:p>
    <w:p w14:paraId="75051E74" w14:textId="3A1311CF" w:rsidR="0096110D" w:rsidRDefault="00371A68" w:rsidP="009D7B17">
      <w:pPr>
        <w:pStyle w:val="ListParagraph"/>
        <w:numPr>
          <w:ilvl w:val="0"/>
          <w:numId w:val="49"/>
        </w:numPr>
      </w:pPr>
      <w:r>
        <w:t>False Negatives (FN): Crash instances missed by the model.</w:t>
      </w:r>
      <w:bookmarkStart w:id="23" w:name="_Toc204515579"/>
    </w:p>
    <w:p w14:paraId="55FFEB70" w14:textId="13FEC5FA" w:rsidR="0096110D" w:rsidRDefault="0096110D" w:rsidP="0096110D">
      <w:pPr>
        <w:pStyle w:val="Heading3"/>
        <w:numPr>
          <w:ilvl w:val="0"/>
          <w:numId w:val="0"/>
        </w:numPr>
        <w:ind w:left="720" w:hanging="720"/>
      </w:pPr>
      <w:r w:rsidRPr="0096110D">
        <w:t>Confusion Matrix–Derived Metrics</w:t>
      </w:r>
    </w:p>
    <w:p w14:paraId="161A9B9D" w14:textId="6AFA9E89" w:rsidR="005F7565" w:rsidRDefault="005F7565" w:rsidP="005F7565">
      <w:pPr>
        <w:pStyle w:val="ListParagraph"/>
        <w:numPr>
          <w:ilvl w:val="0"/>
          <w:numId w:val="48"/>
        </w:numPr>
      </w:pPr>
      <w:r>
        <w:t>Sensitivity</w:t>
      </w:r>
      <w:r w:rsidR="00651CA8">
        <w:t xml:space="preserve"> (Recall or True Positive Rate)</w:t>
      </w:r>
      <w:r w:rsidR="00535E35">
        <w:t xml:space="preserve">: </w:t>
      </w:r>
      <w:r>
        <w:t>M</w:t>
      </w:r>
      <w:r w:rsidRPr="006A65F7">
        <w:t xml:space="preserve">easures the proportion of actual crash events correctly identified by the model. </w:t>
      </w:r>
      <w:r w:rsidR="00B111B3" w:rsidRPr="007C790A">
        <w:t>Sensitivity is the most critical metric for EWS, as missing a crash (false negative) can result in significant financial and economic consequences. A high sensitivity ensures that early warning signals are reliably triggered, even at the cost of some false alarms.</w:t>
      </w:r>
    </w:p>
    <w:p w14:paraId="41F4F2EE" w14:textId="2BA0CFED" w:rsidR="007C790A" w:rsidRPr="005F7565" w:rsidRDefault="005F7565" w:rsidP="00B111B3">
      <m:oMathPara>
        <m:oMath>
          <m:r>
            <w:rPr>
              <w:rFonts w:ascii="Cambria Math" w:hAnsi="Cambria Math"/>
            </w:rPr>
            <m:t xml:space="preserve">Sensitivity=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260036C6" w14:textId="66C45F2D" w:rsidR="00651CA8" w:rsidRDefault="00651CA8" w:rsidP="00651CA8">
      <w:pPr>
        <w:pStyle w:val="ListParagraph"/>
        <w:numPr>
          <w:ilvl w:val="0"/>
          <w:numId w:val="48"/>
        </w:numPr>
      </w:pPr>
      <w:r>
        <w:t>Specificity</w:t>
      </w:r>
      <w:r w:rsidR="00BB0FF2">
        <w:t xml:space="preserve"> </w:t>
      </w:r>
      <w:r w:rsidR="00BB0FF2" w:rsidRPr="006A65F7">
        <w:t>(True Negative Rate)</w:t>
      </w:r>
      <w:r w:rsidR="00535E35">
        <w:t xml:space="preserve">: </w:t>
      </w:r>
      <w:r>
        <w:t>C</w:t>
      </w:r>
      <w:r w:rsidRPr="00591E0B">
        <w:t>aptures the model’s ability to correctly identify non-crash periods.</w:t>
      </w:r>
      <w:r w:rsidR="00AD07AE">
        <w:t xml:space="preserve"> </w:t>
      </w:r>
      <w:r w:rsidR="00AD07AE" w:rsidRPr="00AD07AE">
        <w:t>While less critical than sensitivity, specificity helps control the rate of false alarms. Excessive false positives may erode user trust and reduce the practical utility of the EWS. Thus, specificity serves as a balancing factor to avoid overreactio</w:t>
      </w:r>
      <w:r w:rsidR="00AD07AE">
        <w:t>n.</w:t>
      </w:r>
    </w:p>
    <w:p w14:paraId="279C3EDE" w14:textId="302483E5" w:rsidR="00837537" w:rsidRPr="00200F8B" w:rsidRDefault="00651CA8" w:rsidP="00651CA8">
      <m:oMathPara>
        <m:oMath>
          <m:r>
            <w:rPr>
              <w:rFonts w:ascii="Cambria Math" w:hAnsi="Cambria Math"/>
            </w:rPr>
            <m:t xml:space="preserve">Specificity= </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5EF3F853" w14:textId="15916167" w:rsidR="00200F8B" w:rsidRDefault="00200F8B" w:rsidP="00200F8B">
      <w:pPr>
        <w:pStyle w:val="ListParagraph"/>
        <w:numPr>
          <w:ilvl w:val="0"/>
          <w:numId w:val="48"/>
        </w:numPr>
      </w:pPr>
      <w:r>
        <w:t>Accuracy</w:t>
      </w:r>
      <w:r w:rsidR="00D004AF">
        <w:t>: T</w:t>
      </w:r>
      <w:r w:rsidRPr="00200F8B">
        <w:t>he proportion of total correct predictions (both crash and non-crash) out of all instances</w:t>
      </w:r>
      <w:r w:rsidR="0040076E">
        <w:t xml:space="preserve">, </w:t>
      </w:r>
      <w:r w:rsidR="0042585B" w:rsidRPr="0042585B">
        <w:t>provides an overall summary of model performance. However, it can be misleading in imbalanced datasets, as a model could achieve high accuracy by simply predicting the majority class</w:t>
      </w:r>
      <w:r w:rsidR="0042585B">
        <w:t>.</w:t>
      </w:r>
    </w:p>
    <w:p w14:paraId="6AFFF477" w14:textId="3B956B5F" w:rsidR="00200F8B" w:rsidRPr="00E40F9A" w:rsidRDefault="00200F8B" w:rsidP="00200F8B">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6A869A1B" w14:textId="77777777" w:rsidR="00E40F9A" w:rsidRDefault="00E40F9A" w:rsidP="00C50553">
      <w:pPr>
        <w:pStyle w:val="Heading3"/>
      </w:pPr>
      <w:r>
        <w:lastRenderedPageBreak/>
        <w:t xml:space="preserve">Area Under </w:t>
      </w:r>
      <w:r w:rsidRPr="00C50553">
        <w:t>the</w:t>
      </w:r>
      <w:r>
        <w:t xml:space="preserve"> ROC Curve (AUC)</w:t>
      </w:r>
    </w:p>
    <w:p w14:paraId="67977207" w14:textId="06ADFC3D" w:rsidR="00C302E3" w:rsidRPr="00200F8B" w:rsidRDefault="00E40F9A" w:rsidP="00200F8B">
      <w:r w:rsidRPr="0084119F">
        <w:t>The AUC measures the ability of a classifier to distinguish between the positive and negative classes across all possible classification thresholds. It is derived from the Receiver Operating Characteristic (ROC) curve, which plots the true positive rate against the false positive rate. AUC values range from 0 to 1, where 0.5 indicates random guessing and 1.0 indicates perfect classification.</w:t>
      </w:r>
      <w:r w:rsidR="003C43B6">
        <w:t xml:space="preserve"> </w:t>
      </w:r>
      <w:r w:rsidR="003518A1">
        <w:t>While useful</w:t>
      </w:r>
      <w:r w:rsidR="003C43B6">
        <w:t>, i</w:t>
      </w:r>
      <w:r w:rsidR="00C302E3" w:rsidRPr="00C302E3">
        <w:t>t does not directly account for the practical cost of false negatives versus false positives, so it is used as a complementary indicator rather than a sole decision criterion.</w:t>
      </w:r>
    </w:p>
    <w:p w14:paraId="5DCD63F7" w14:textId="7669461B" w:rsidR="0084119F" w:rsidRDefault="0084119F" w:rsidP="009927CD">
      <w:pPr>
        <w:pStyle w:val="Heading2"/>
      </w:pPr>
      <w:bookmarkStart w:id="24" w:name="_Toc204515582"/>
      <w:bookmarkEnd w:id="23"/>
      <w:r>
        <w:t>Results</w:t>
      </w:r>
    </w:p>
    <w:p w14:paraId="5FF2BE26" w14:textId="1424B468" w:rsidR="0084119F" w:rsidRDefault="00BF65DF" w:rsidP="00BF3CC9">
      <w:pPr>
        <w:pStyle w:val="Heading3"/>
      </w:pPr>
      <w:r w:rsidRPr="00BF65DF">
        <w:t xml:space="preserve">Volatility Clustering Across Time </w:t>
      </w:r>
      <w:r w:rsidR="00477D3B">
        <w:t>Windows</w:t>
      </w:r>
    </w:p>
    <w:p w14:paraId="6CF99096" w14:textId="1F92300F" w:rsidR="00BF65DF" w:rsidRDefault="002F62B2" w:rsidP="00BF65DF">
      <w:r w:rsidRPr="002F62B2">
        <w:drawing>
          <wp:inline distT="0" distB="0" distL="0" distR="0" wp14:anchorId="464A840B" wp14:editId="3C6C05A9">
            <wp:extent cx="5270500" cy="2850515"/>
            <wp:effectExtent l="0" t="0" r="6350" b="6985"/>
            <wp:docPr id="1603622501" name="Picture 1" descr="A graph showing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22501" name="Picture 1" descr="A graph showing different colored dots&#10;&#10;AI-generated content may be incorrect."/>
                    <pic:cNvPicPr/>
                  </pic:nvPicPr>
                  <pic:blipFill>
                    <a:blip r:embed="rId12"/>
                    <a:stretch>
                      <a:fillRect/>
                    </a:stretch>
                  </pic:blipFill>
                  <pic:spPr>
                    <a:xfrm>
                      <a:off x="0" y="0"/>
                      <a:ext cx="5270500" cy="2850515"/>
                    </a:xfrm>
                    <a:prstGeom prst="rect">
                      <a:avLst/>
                    </a:prstGeom>
                  </pic:spPr>
                </pic:pic>
              </a:graphicData>
            </a:graphic>
          </wp:inline>
        </w:drawing>
      </w:r>
    </w:p>
    <w:p w14:paraId="04D9675C" w14:textId="77601DE0" w:rsidR="00BF65DF" w:rsidRDefault="00BF65DF" w:rsidP="00BF65DF">
      <w:pPr>
        <w:pStyle w:val="figurecaption"/>
        <w:rPr>
          <w:b w:val="0"/>
        </w:rPr>
      </w:pPr>
      <w:r w:rsidRPr="007C0AB9">
        <w:t xml:space="preserve">Figure 1:  </w:t>
      </w:r>
      <w:r>
        <w:rPr>
          <w:b w:val="0"/>
        </w:rPr>
        <w:t>R</w:t>
      </w:r>
      <w:r w:rsidRPr="00BF65DF">
        <w:rPr>
          <w:b w:val="0"/>
        </w:rPr>
        <w:t xml:space="preserve">elationship between future crash and n-day market volatility combined with </w:t>
      </w:r>
      <w:r w:rsidR="006D3B45">
        <w:rPr>
          <w:b w:val="0"/>
        </w:rPr>
        <w:t xml:space="preserve">n-day </w:t>
      </w:r>
      <w:r w:rsidRPr="00BF65DF">
        <w:rPr>
          <w:b w:val="0"/>
        </w:rPr>
        <w:t>sentiment volatility</w:t>
      </w:r>
    </w:p>
    <w:p w14:paraId="20F80243" w14:textId="0ECFE613" w:rsidR="0014360E" w:rsidRDefault="002F62B2" w:rsidP="0014360E">
      <w:r w:rsidRPr="002F62B2">
        <w:drawing>
          <wp:inline distT="0" distB="0" distL="0" distR="0" wp14:anchorId="58BA2192" wp14:editId="36E7CAC1">
            <wp:extent cx="5270500" cy="2608580"/>
            <wp:effectExtent l="0" t="0" r="6350" b="1270"/>
            <wp:docPr id="88843416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34165" name="Picture 1" descr="A screenshot of a graph&#10;&#10;AI-generated content may be incorrect."/>
                    <pic:cNvPicPr/>
                  </pic:nvPicPr>
                  <pic:blipFill>
                    <a:blip r:embed="rId13"/>
                    <a:stretch>
                      <a:fillRect/>
                    </a:stretch>
                  </pic:blipFill>
                  <pic:spPr>
                    <a:xfrm>
                      <a:off x="0" y="0"/>
                      <a:ext cx="5270500" cy="2608580"/>
                    </a:xfrm>
                    <a:prstGeom prst="rect">
                      <a:avLst/>
                    </a:prstGeom>
                  </pic:spPr>
                </pic:pic>
              </a:graphicData>
            </a:graphic>
          </wp:inline>
        </w:drawing>
      </w:r>
    </w:p>
    <w:p w14:paraId="1FE6BE06" w14:textId="0D0EC672" w:rsidR="0014360E" w:rsidRPr="00B703B8" w:rsidRDefault="0014360E" w:rsidP="00B703B8">
      <w:pPr>
        <w:pStyle w:val="figurecaption"/>
        <w:rPr>
          <w:b w:val="0"/>
        </w:rPr>
      </w:pPr>
      <w:r w:rsidRPr="007C0AB9">
        <w:lastRenderedPageBreak/>
        <w:t xml:space="preserve">Figure </w:t>
      </w:r>
      <w:r>
        <w:t>2</w:t>
      </w:r>
      <w:r w:rsidRPr="007C0AB9">
        <w:t xml:space="preserve">:  </w:t>
      </w:r>
      <w:r w:rsidR="00F60BC9">
        <w:rPr>
          <w:b w:val="0"/>
        </w:rPr>
        <w:t>R</w:t>
      </w:r>
      <w:r w:rsidRPr="0014360E">
        <w:rPr>
          <w:b w:val="0"/>
        </w:rPr>
        <w:t>elationship between n-day market volatility and n-day sentiment volatility for each volatility period</w:t>
      </w:r>
    </w:p>
    <w:p w14:paraId="4B949974" w14:textId="408C3121" w:rsidR="00B703B8" w:rsidRDefault="00B703B8" w:rsidP="00B703B8">
      <w:r w:rsidRPr="00B703B8">
        <w:t xml:space="preserve">To assess the predictive utility of sentiment and market volatility in anticipating financial crashes, we examine their joint behaviour over multiple forecast horizons. Figures </w:t>
      </w:r>
      <w:r>
        <w:t>1</w:t>
      </w:r>
      <w:r w:rsidRPr="00B703B8">
        <w:t xml:space="preserve"> and </w:t>
      </w:r>
      <w:r>
        <w:t>2</w:t>
      </w:r>
      <w:r w:rsidRPr="00B703B8">
        <w:t xml:space="preserve"> visualize the relationships between n-day market volatility and n-day sentiment volatility, labelled by future crash occurrence (crash = 1, no crash = 0), across five rolling windows: 5, 22, 66, </w:t>
      </w:r>
      <w:r w:rsidR="00AF1B59">
        <w:t xml:space="preserve">and </w:t>
      </w:r>
      <w:r w:rsidRPr="00B703B8">
        <w:t>132days.</w:t>
      </w:r>
    </w:p>
    <w:p w14:paraId="539F4898" w14:textId="63023FC0" w:rsidR="003D1EE3" w:rsidRDefault="003D1EE3" w:rsidP="003D1EE3">
      <w:r>
        <w:t xml:space="preserve">Figure 2 reveals horizon-dependent structural differences in how volatility metrics associate with future crash outcomes. For shorter horizons (e.g., 5-day and 22-day </w:t>
      </w:r>
      <w:r w:rsidR="00C32DAD">
        <w:t>windows</w:t>
      </w:r>
      <w:r>
        <w:t>), crash events (orange points) are more dispersed and overlap significantly with non-crash instances. These crashes occur even when both market and sentiment volatilities are relatively low.</w:t>
      </w:r>
      <w:r w:rsidR="00D315DC">
        <w:t xml:space="preserve"> </w:t>
      </w:r>
      <w:r>
        <w:t>In contrast, the 132-day</w:t>
      </w:r>
      <w:r w:rsidR="006D5745">
        <w:t xml:space="preserve"> </w:t>
      </w:r>
      <w:r w:rsidR="00C32DAD">
        <w:t>window</w:t>
      </w:r>
      <w:r>
        <w:t xml:space="preserve"> show increased crash density in high market and/or high sentiment volatility regimes, suggesting that longer-term financial distress is more likely to be preceded by sustained turbulence in both market </w:t>
      </w:r>
      <w:r w:rsidR="00BF5F35">
        <w:t>behaviour</w:t>
      </w:r>
      <w:r>
        <w:t xml:space="preserve"> and investor sentiment.</w:t>
      </w:r>
    </w:p>
    <w:p w14:paraId="670026F5" w14:textId="60EEFB7A" w:rsidR="00237E0E" w:rsidRDefault="00B4039A" w:rsidP="00B4039A">
      <w:r>
        <w:t>Across all timeframes, but especially visible in the 22-day plot, crashes frequently emerge in regions of high sentiment volatility but moderate or low market volatility. This asymmetry suggests that sentiment volatility may serve as a leading indicator, with market volatility responding more sluggishly to systemic stress.</w:t>
      </w:r>
      <w:r w:rsidR="00254276">
        <w:t xml:space="preserve"> The result</w:t>
      </w:r>
      <w:r>
        <w:t xml:space="preserve"> is consistent with </w:t>
      </w:r>
      <w:r w:rsidR="009B5455">
        <w:t>behavioural</w:t>
      </w:r>
      <w:r>
        <w:t xml:space="preserve"> finance theories suggesting that investor mood and narrative instability often precede tangible price-based dislocations</w:t>
      </w:r>
      <w:r w:rsidR="0072727E">
        <w:t xml:space="preserve"> (Gaies et al., 2022)</w:t>
      </w:r>
      <w:r w:rsidR="00874663">
        <w:t>.</w:t>
      </w:r>
    </w:p>
    <w:p w14:paraId="6593F5BA" w14:textId="0EAF1CBB" w:rsidR="00254276" w:rsidRPr="00237E0E" w:rsidRDefault="00254276" w:rsidP="00AC3631">
      <w:r w:rsidRPr="00254276">
        <w:t xml:space="preserve">The shape and density of crash-labelled points across Figures </w:t>
      </w:r>
      <w:r>
        <w:t>1</w:t>
      </w:r>
      <w:r w:rsidRPr="00254276">
        <w:t xml:space="preserve"> and </w:t>
      </w:r>
      <w:r>
        <w:t>2</w:t>
      </w:r>
      <w:r w:rsidRPr="00254276">
        <w:t xml:space="preserve"> further suggest that volatility’s relationship to crash risk is highly nonlinear. There is no monotonic increase in crash likelihood with rising volatility</w:t>
      </w:r>
      <w:r>
        <w:t>;</w:t>
      </w:r>
      <w:r w:rsidRPr="00254276">
        <w:t xml:space="preserve"> rather, crashes concentrate in specific volatility "bands" that vary by forecast horizon. For example</w:t>
      </w:r>
      <w:r>
        <w:t xml:space="preserve">, </w:t>
      </w:r>
      <w:r w:rsidR="00AC3631">
        <w:t xml:space="preserve">at the 66-day </w:t>
      </w:r>
      <w:r w:rsidR="003C2630">
        <w:t>window</w:t>
      </w:r>
      <w:r w:rsidR="00AC3631">
        <w:t xml:space="preserve">, crash points are mostly confined to a sentiment volatility range of 0.2 </w:t>
      </w:r>
      <w:r w:rsidR="0014368C">
        <w:t>to</w:t>
      </w:r>
      <w:r w:rsidR="00AC3631">
        <w:t xml:space="preserve"> 0.4, regardless of large variation in market volatility. At the 132-</w:t>
      </w:r>
      <w:r w:rsidR="002B404B">
        <w:t>day</w:t>
      </w:r>
      <w:r w:rsidR="00AC3631">
        <w:t xml:space="preserve"> </w:t>
      </w:r>
      <w:r w:rsidR="006B5EFC">
        <w:t>window</w:t>
      </w:r>
      <w:r w:rsidR="00AC3631">
        <w:t xml:space="preserve">, a banded structure emerges where crashes are more likely when market volatility exceeds </w:t>
      </w:r>
      <w:r w:rsidR="005B66F1">
        <w:t xml:space="preserve">around </w:t>
      </w:r>
      <w:r w:rsidR="00AC3631">
        <w:t>10 and sentiment volatility ranges between 0.25 and 0.45.</w:t>
      </w:r>
    </w:p>
    <w:p w14:paraId="13CFBAC6" w14:textId="5DCDC796" w:rsidR="00BF3CC9" w:rsidRDefault="00BF3CC9" w:rsidP="00BF3CC9">
      <w:pPr>
        <w:pStyle w:val="Heading3"/>
      </w:pPr>
      <w:r>
        <w:t>Compared Models</w:t>
      </w:r>
    </w:p>
    <w:p w14:paraId="40B8337E" w14:textId="055AEA63" w:rsidR="00BF3CC9" w:rsidRDefault="00BF3CC9" w:rsidP="00BF3CC9">
      <w:pPr>
        <w:pStyle w:val="ListParagraph"/>
        <w:numPr>
          <w:ilvl w:val="0"/>
          <w:numId w:val="50"/>
        </w:numPr>
      </w:pPr>
      <w:r>
        <w:t>Static Logit</w:t>
      </w:r>
    </w:p>
    <w:p w14:paraId="0F40AD90" w14:textId="1E6FC927" w:rsidR="00BF3CC9" w:rsidRDefault="00BF3CC9" w:rsidP="00BF3CC9">
      <w:pPr>
        <w:pStyle w:val="ListParagraph"/>
        <w:numPr>
          <w:ilvl w:val="0"/>
          <w:numId w:val="50"/>
        </w:numPr>
      </w:pPr>
      <w:r>
        <w:t>Dynamic Logit</w:t>
      </w:r>
    </w:p>
    <w:p w14:paraId="74A0B3D2" w14:textId="6250D4C4" w:rsidR="00BF3CC9" w:rsidRDefault="00BF3CC9" w:rsidP="00BF3CC9">
      <w:pPr>
        <w:pStyle w:val="ListParagraph"/>
        <w:numPr>
          <w:ilvl w:val="0"/>
          <w:numId w:val="50"/>
        </w:numPr>
      </w:pPr>
      <w:r>
        <w:t>CNN</w:t>
      </w:r>
    </w:p>
    <w:p w14:paraId="4C0010B0" w14:textId="6C2882A0" w:rsidR="00BF3CC9" w:rsidRDefault="00BF3CC9" w:rsidP="00BF3CC9">
      <w:pPr>
        <w:pStyle w:val="ListParagraph"/>
        <w:numPr>
          <w:ilvl w:val="0"/>
          <w:numId w:val="50"/>
        </w:numPr>
      </w:pPr>
      <w:r>
        <w:t>LSTM</w:t>
      </w:r>
    </w:p>
    <w:p w14:paraId="447B02B6" w14:textId="5CC15193" w:rsidR="00BF3CC9" w:rsidRDefault="00BF3CC9" w:rsidP="00BF3CC9">
      <w:r>
        <w:t>Each model test 1. Market 2. Sentiment 3. Market + Sentiment</w:t>
      </w:r>
    </w:p>
    <w:p w14:paraId="1A64CB1F" w14:textId="4EBC95AF" w:rsidR="001E0322" w:rsidRDefault="001E0322" w:rsidP="00BF3CC9">
      <w:r>
        <w:t>And also different windows [5, 22, 66, 132]</w:t>
      </w:r>
    </w:p>
    <w:p w14:paraId="0B1772E0" w14:textId="5177CA2C" w:rsidR="00C879A7" w:rsidRDefault="00C879A7" w:rsidP="00C879A7">
      <w:pPr>
        <w:pStyle w:val="Heading3"/>
      </w:pPr>
      <w:r>
        <w:t>Choosing the best model</w:t>
      </w:r>
    </w:p>
    <w:p w14:paraId="6FFBA54A" w14:textId="3DEEED4E" w:rsidR="00C879A7" w:rsidRDefault="00C879A7" w:rsidP="00C879A7">
      <w:pPr>
        <w:pStyle w:val="Heading3"/>
      </w:pPr>
      <w:r>
        <w:t>Results and Empirical interpretation</w:t>
      </w:r>
    </w:p>
    <w:p w14:paraId="6DF13F33" w14:textId="0C3B1017" w:rsidR="00C879A7" w:rsidRPr="00C879A7" w:rsidRDefault="00C879A7" w:rsidP="00C879A7">
      <w:r>
        <w:t>Answer research questions</w:t>
      </w:r>
    </w:p>
    <w:p w14:paraId="7B6D490A" w14:textId="2B4A55E1" w:rsidR="009927CD" w:rsidRDefault="009927CD" w:rsidP="009927CD">
      <w:pPr>
        <w:pStyle w:val="Heading2"/>
      </w:pPr>
      <w:r>
        <w:lastRenderedPageBreak/>
        <w:t>Out of Sample Analysis</w:t>
      </w:r>
      <w:bookmarkEnd w:id="24"/>
      <w:r w:rsidR="005F1D22">
        <w:t>?</w:t>
      </w:r>
    </w:p>
    <w:p w14:paraId="3643EC1D" w14:textId="044049EA" w:rsidR="0052480F" w:rsidRPr="007C0AB9" w:rsidRDefault="009927CD" w:rsidP="00E37976">
      <w:pPr>
        <w:pStyle w:val="ListParagraph"/>
        <w:numPr>
          <w:ilvl w:val="0"/>
          <w:numId w:val="40"/>
        </w:numPr>
      </w:pPr>
      <w:r>
        <w:t>Test the goodness of the previous model</w:t>
      </w:r>
    </w:p>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5" w:name="_Toc204515583"/>
      <w:r w:rsidRPr="007C0AB9">
        <w:lastRenderedPageBreak/>
        <w:t>Conclusion</w:t>
      </w:r>
      <w:bookmarkEnd w:id="25"/>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4"/>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6" w:name="_Toc204515584"/>
      <w:r w:rsidRPr="007C0AB9">
        <w:lastRenderedPageBreak/>
        <w:t>&lt;Name of appendix&gt;</w:t>
      </w:r>
      <w:bookmarkEnd w:id="26"/>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7" w:name="_Toc204515585"/>
      <w:r w:rsidRPr="007C0AB9">
        <w:lastRenderedPageBreak/>
        <w:t>&lt;Another appendix&gt;</w:t>
      </w:r>
      <w:bookmarkEnd w:id="27"/>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8" w:name="_Toc204515586"/>
      <w:r w:rsidRPr="007C0AB9">
        <w:lastRenderedPageBreak/>
        <w:t>Bibliography</w:t>
      </w:r>
      <w:bookmarkEnd w:id="28"/>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5"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6"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7"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8"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9"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20"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21"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2"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3"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4"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5"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6"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7"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8"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9"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30"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Of Georgia Athens,</w:t>
      </w:r>
      <w:r>
        <w:rPr>
          <w:i/>
          <w:iCs/>
          <w:sz w:val="20"/>
          <w:szCs w:val="20"/>
        </w:rPr>
        <w:t xml:space="preserve"> </w:t>
      </w:r>
      <w:r w:rsidRPr="00201E1E">
        <w:rPr>
          <w:i/>
          <w:iCs/>
          <w:sz w:val="20"/>
          <w:szCs w:val="20"/>
        </w:rPr>
        <w:t>GA-30601</w:t>
      </w:r>
      <w:r>
        <w:rPr>
          <w:sz w:val="20"/>
          <w:szCs w:val="20"/>
        </w:rPr>
        <w:t xml:space="preserve">, </w:t>
      </w:r>
      <w:hyperlink r:id="rId31"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2"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CAViaR: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3"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Lambertides</w:t>
      </w:r>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4"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5"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r w:rsidRPr="00BC7ADD">
        <w:rPr>
          <w:sz w:val="20"/>
          <w:szCs w:val="20"/>
        </w:rPr>
        <w:t>Hällman, L. (2017). The Rolling Window Method: Precisions of Financial Forecasting</w:t>
      </w:r>
      <w:r w:rsidR="0069174A">
        <w:rPr>
          <w:sz w:val="20"/>
          <w:szCs w:val="20"/>
        </w:rPr>
        <w:t xml:space="preserve">. </w:t>
      </w:r>
      <w:r w:rsidRPr="00BC7ADD">
        <w:rPr>
          <w:i/>
          <w:iCs/>
          <w:sz w:val="20"/>
          <w:szCs w:val="20"/>
        </w:rPr>
        <w:t xml:space="preserve">Matematisk </w:t>
      </w:r>
      <w:r w:rsidR="0069174A">
        <w:rPr>
          <w:i/>
          <w:iCs/>
          <w:sz w:val="20"/>
          <w:szCs w:val="20"/>
        </w:rPr>
        <w:t>statistic, KTH</w:t>
      </w:r>
      <w:r w:rsidRPr="00BC7ADD">
        <w:rPr>
          <w:sz w:val="20"/>
          <w:szCs w:val="20"/>
        </w:rPr>
        <w:t xml:space="preserve">. </w:t>
      </w:r>
      <w:hyperlink r:id="rId36"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r w:rsidRPr="00633235">
        <w:rPr>
          <w:sz w:val="20"/>
          <w:szCs w:val="20"/>
        </w:rPr>
        <w:t xml:space="preserve">Defazio, A., Bach, F.R., &amp; Lacoste-Julien, S. (2014). SAGA: A Fast Incremental Gradient Method With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7" w:history="1">
        <w:r w:rsidR="007C2F94" w:rsidRPr="005264DB">
          <w:rPr>
            <w:rStyle w:val="Hyperlink"/>
            <w:sz w:val="20"/>
            <w:szCs w:val="20"/>
          </w:rPr>
          <w:t>https://doi.org/10.48550/arXiv.1407.0202</w:t>
        </w:r>
      </w:hyperlink>
    </w:p>
    <w:p w14:paraId="65E55C1B" w14:textId="16E3AAE5" w:rsidR="007C2F94" w:rsidRDefault="00DE1AD4" w:rsidP="00DE1AD4">
      <w:pPr>
        <w:tabs>
          <w:tab w:val="left" w:pos="426"/>
        </w:tabs>
        <w:rPr>
          <w:sz w:val="20"/>
          <w:szCs w:val="20"/>
        </w:rPr>
      </w:pPr>
      <w:r>
        <w:rPr>
          <w:sz w:val="20"/>
          <w:szCs w:val="20"/>
        </w:rPr>
        <w:t>[24]</w:t>
      </w:r>
      <w:r>
        <w:rPr>
          <w:sz w:val="20"/>
          <w:szCs w:val="20"/>
        </w:rPr>
        <w:tab/>
      </w:r>
      <w:r w:rsidRPr="00DE1AD4">
        <w:rPr>
          <w:sz w:val="20"/>
          <w:szCs w:val="20"/>
        </w:rPr>
        <w:t>Osborne</w:t>
      </w:r>
      <w:r w:rsidR="00AC70D1">
        <w:rPr>
          <w:sz w:val="20"/>
          <w:szCs w:val="20"/>
        </w:rPr>
        <w:t xml:space="preserve"> </w:t>
      </w:r>
      <w:r w:rsidR="00AC70D1" w:rsidRPr="00DE1AD4">
        <w:rPr>
          <w:sz w:val="20"/>
          <w:szCs w:val="20"/>
        </w:rPr>
        <w:t>M. F. M.</w:t>
      </w:r>
      <w:r w:rsidRPr="00DE1AD4">
        <w:rPr>
          <w:sz w:val="20"/>
          <w:szCs w:val="20"/>
        </w:rPr>
        <w:t xml:space="preserve"> (1959)</w:t>
      </w:r>
      <w:r w:rsidR="00456D0D">
        <w:rPr>
          <w:sz w:val="20"/>
          <w:szCs w:val="20"/>
        </w:rPr>
        <w:t>.</w:t>
      </w:r>
      <w:r w:rsidRPr="00DE1AD4">
        <w:rPr>
          <w:sz w:val="20"/>
          <w:szCs w:val="20"/>
        </w:rPr>
        <w:t xml:space="preserve"> Brownian Motion in the Stock Market. </w:t>
      </w:r>
      <w:r w:rsidRPr="00DE1AD4">
        <w:rPr>
          <w:i/>
          <w:iCs/>
          <w:sz w:val="20"/>
          <w:szCs w:val="20"/>
        </w:rPr>
        <w:t>Operations Research 7</w:t>
      </w:r>
      <w:r w:rsidRPr="00DE1AD4">
        <w:rPr>
          <w:sz w:val="20"/>
          <w:szCs w:val="20"/>
        </w:rPr>
        <w:t>(2)</w:t>
      </w:r>
      <w:r>
        <w:rPr>
          <w:sz w:val="20"/>
          <w:szCs w:val="20"/>
        </w:rPr>
        <w:t xml:space="preserve">, </w:t>
      </w:r>
      <w:r w:rsidRPr="00DE1AD4">
        <w:rPr>
          <w:sz w:val="20"/>
          <w:szCs w:val="20"/>
        </w:rPr>
        <w:t>145-173.</w:t>
      </w:r>
      <w:r>
        <w:rPr>
          <w:sz w:val="20"/>
          <w:szCs w:val="20"/>
        </w:rPr>
        <w:t xml:space="preserve"> </w:t>
      </w:r>
      <w:hyperlink r:id="rId38" w:history="1">
        <w:r w:rsidR="00AC70D1" w:rsidRPr="007D30F2">
          <w:rPr>
            <w:rStyle w:val="Hyperlink"/>
            <w:sz w:val="20"/>
            <w:szCs w:val="20"/>
          </w:rPr>
          <w:t>https://doi.org/10.1287/opre.7.2.145</w:t>
        </w:r>
      </w:hyperlink>
    </w:p>
    <w:p w14:paraId="7E683896" w14:textId="4E144CDB" w:rsidR="009B5455" w:rsidRDefault="006161F3" w:rsidP="00DE1AD4">
      <w:pPr>
        <w:tabs>
          <w:tab w:val="left" w:pos="426"/>
        </w:tabs>
      </w:pPr>
      <w:r>
        <w:rPr>
          <w:sz w:val="20"/>
          <w:szCs w:val="20"/>
        </w:rPr>
        <w:t>[25]</w:t>
      </w:r>
      <w:r>
        <w:rPr>
          <w:sz w:val="20"/>
          <w:szCs w:val="20"/>
        </w:rPr>
        <w:tab/>
      </w:r>
      <w:r w:rsidRPr="006161F3">
        <w:rPr>
          <w:sz w:val="20"/>
          <w:szCs w:val="20"/>
        </w:rPr>
        <w:t>Ren</w:t>
      </w:r>
      <w:r>
        <w:rPr>
          <w:sz w:val="20"/>
          <w:szCs w:val="20"/>
        </w:rPr>
        <w:t xml:space="preserve"> L.</w:t>
      </w:r>
      <w:r w:rsidRPr="006161F3">
        <w:rPr>
          <w:sz w:val="20"/>
          <w:szCs w:val="20"/>
        </w:rPr>
        <w:t>, Ren</w:t>
      </w:r>
      <w:r>
        <w:rPr>
          <w:sz w:val="20"/>
          <w:szCs w:val="20"/>
        </w:rPr>
        <w:t xml:space="preserve"> P.</w:t>
      </w:r>
      <w:r w:rsidR="0004699B">
        <w:rPr>
          <w:sz w:val="20"/>
          <w:szCs w:val="20"/>
        </w:rPr>
        <w:t xml:space="preserve"> (2017)</w:t>
      </w:r>
      <w:r w:rsidR="00781D15">
        <w:rPr>
          <w:sz w:val="20"/>
          <w:szCs w:val="20"/>
        </w:rPr>
        <w:t>.</w:t>
      </w:r>
      <w:r w:rsidRPr="006161F3">
        <w:rPr>
          <w:sz w:val="20"/>
          <w:szCs w:val="20"/>
        </w:rPr>
        <w:t xml:space="preserve"> Testing the market efficiency by mean absolute deviation. Benchmarking</w:t>
      </w:r>
      <w:r w:rsidR="00781D15">
        <w:rPr>
          <w:sz w:val="20"/>
          <w:szCs w:val="20"/>
        </w:rPr>
        <w:t>,</w:t>
      </w:r>
      <w:r w:rsidRPr="006161F3">
        <w:rPr>
          <w:sz w:val="20"/>
          <w:szCs w:val="20"/>
        </w:rPr>
        <w:t xml:space="preserve"> </w:t>
      </w:r>
      <w:r w:rsidRPr="00781D15">
        <w:rPr>
          <w:i/>
          <w:iCs/>
          <w:sz w:val="20"/>
          <w:szCs w:val="20"/>
        </w:rPr>
        <w:t>An International Journal</w:t>
      </w:r>
      <w:r w:rsidR="00781D15" w:rsidRPr="00781D15">
        <w:rPr>
          <w:i/>
          <w:iCs/>
          <w:sz w:val="20"/>
          <w:szCs w:val="20"/>
        </w:rPr>
        <w:t>,</w:t>
      </w:r>
      <w:r w:rsidRPr="00781D15">
        <w:rPr>
          <w:i/>
          <w:iCs/>
          <w:sz w:val="20"/>
          <w:szCs w:val="20"/>
        </w:rPr>
        <w:t xml:space="preserve"> 24</w:t>
      </w:r>
      <w:r w:rsidRPr="006161F3">
        <w:rPr>
          <w:sz w:val="20"/>
          <w:szCs w:val="20"/>
        </w:rPr>
        <w:t>(7)</w:t>
      </w:r>
      <w:r w:rsidR="00781D15">
        <w:rPr>
          <w:sz w:val="20"/>
          <w:szCs w:val="20"/>
        </w:rPr>
        <w:t>,</w:t>
      </w:r>
      <w:r w:rsidRPr="006161F3">
        <w:rPr>
          <w:sz w:val="20"/>
          <w:szCs w:val="20"/>
        </w:rPr>
        <w:t xml:space="preserve"> 2049–2062. </w:t>
      </w:r>
      <w:hyperlink r:id="rId39" w:history="1">
        <w:r w:rsidR="009B5455" w:rsidRPr="00761913">
          <w:rPr>
            <w:rStyle w:val="Hyperlink"/>
            <w:sz w:val="20"/>
            <w:szCs w:val="20"/>
          </w:rPr>
          <w:t>https://doi.org/10.1108/BIJ-06-2016-0096</w:t>
        </w:r>
      </w:hyperlink>
    </w:p>
    <w:p w14:paraId="707E4147" w14:textId="52183EAD" w:rsidR="009B5455" w:rsidRDefault="009B5455" w:rsidP="009B5455">
      <w:pPr>
        <w:tabs>
          <w:tab w:val="left" w:pos="426"/>
        </w:tabs>
        <w:rPr>
          <w:sz w:val="20"/>
          <w:szCs w:val="20"/>
        </w:rPr>
      </w:pPr>
      <w:r>
        <w:rPr>
          <w:sz w:val="20"/>
          <w:szCs w:val="20"/>
        </w:rPr>
        <w:t xml:space="preserve">[26] </w:t>
      </w:r>
      <w:r w:rsidRPr="009B5455">
        <w:rPr>
          <w:sz w:val="20"/>
          <w:szCs w:val="20"/>
        </w:rPr>
        <w:t>Gaies</w:t>
      </w:r>
      <w:r>
        <w:rPr>
          <w:sz w:val="20"/>
          <w:szCs w:val="20"/>
        </w:rPr>
        <w:t xml:space="preserve"> B.</w:t>
      </w:r>
      <w:r w:rsidRPr="009B5455">
        <w:rPr>
          <w:sz w:val="20"/>
          <w:szCs w:val="20"/>
        </w:rPr>
        <w:t>, Nakhli</w:t>
      </w:r>
      <w:r>
        <w:rPr>
          <w:sz w:val="20"/>
          <w:szCs w:val="20"/>
        </w:rPr>
        <w:t xml:space="preserve"> M. S.</w:t>
      </w:r>
      <w:r w:rsidRPr="009B5455">
        <w:rPr>
          <w:sz w:val="20"/>
          <w:szCs w:val="20"/>
        </w:rPr>
        <w:t>, Ayadi</w:t>
      </w:r>
      <w:r>
        <w:rPr>
          <w:sz w:val="20"/>
          <w:szCs w:val="20"/>
        </w:rPr>
        <w:t xml:space="preserve"> R.</w:t>
      </w:r>
      <w:r w:rsidRPr="009B5455">
        <w:rPr>
          <w:sz w:val="20"/>
          <w:szCs w:val="20"/>
        </w:rPr>
        <w:t>, Sahut</w:t>
      </w:r>
      <w:r>
        <w:rPr>
          <w:sz w:val="20"/>
          <w:szCs w:val="20"/>
        </w:rPr>
        <w:t xml:space="preserve"> J. (2022) </w:t>
      </w:r>
      <w:r w:rsidRPr="009B5455">
        <w:rPr>
          <w:sz w:val="20"/>
          <w:szCs w:val="20"/>
        </w:rPr>
        <w:t>Exploring the causal links between investor sentiment and financial instability: A dynamic macro-financial analysis,</w:t>
      </w:r>
      <w:r>
        <w:rPr>
          <w:sz w:val="20"/>
          <w:szCs w:val="20"/>
        </w:rPr>
        <w:t xml:space="preserve"> </w:t>
      </w:r>
      <w:r w:rsidRPr="009B5455">
        <w:rPr>
          <w:i/>
          <w:iCs/>
          <w:sz w:val="20"/>
          <w:szCs w:val="20"/>
        </w:rPr>
        <w:t>Journal of Economic Behavior &amp; Organization,</w:t>
      </w:r>
      <w:r>
        <w:rPr>
          <w:i/>
          <w:iCs/>
          <w:sz w:val="20"/>
          <w:szCs w:val="20"/>
        </w:rPr>
        <w:t xml:space="preserve"> 204</w:t>
      </w:r>
      <w:r>
        <w:rPr>
          <w:sz w:val="20"/>
          <w:szCs w:val="20"/>
        </w:rPr>
        <w:t xml:space="preserve">, </w:t>
      </w:r>
      <w:r w:rsidRPr="009B5455">
        <w:rPr>
          <w:sz w:val="20"/>
          <w:szCs w:val="20"/>
        </w:rPr>
        <w:t>290-303,</w:t>
      </w:r>
      <w:r>
        <w:rPr>
          <w:sz w:val="20"/>
          <w:szCs w:val="20"/>
        </w:rPr>
        <w:t xml:space="preserve"> </w:t>
      </w:r>
      <w:hyperlink r:id="rId40" w:history="1">
        <w:r w:rsidRPr="00761913">
          <w:rPr>
            <w:rStyle w:val="Hyperlink"/>
            <w:sz w:val="20"/>
            <w:szCs w:val="20"/>
          </w:rPr>
          <w:t>https://doi.org/10.1016/j.jebo.2022.10.013</w:t>
        </w:r>
      </w:hyperlink>
      <w:r w:rsidRPr="009B5455">
        <w:rPr>
          <w:sz w:val="20"/>
          <w:szCs w:val="20"/>
        </w:rPr>
        <w:t>.</w:t>
      </w:r>
    </w:p>
    <w:p w14:paraId="51E5DBDC" w14:textId="77777777" w:rsidR="009B5455" w:rsidRPr="009B5455" w:rsidRDefault="009B5455" w:rsidP="009B5455">
      <w:pPr>
        <w:tabs>
          <w:tab w:val="left" w:pos="426"/>
        </w:tabs>
        <w:rPr>
          <w:sz w:val="20"/>
          <w:szCs w:val="20"/>
        </w:rPr>
      </w:pPr>
    </w:p>
    <w:p w14:paraId="3EE78356" w14:textId="77777777" w:rsidR="00781D15" w:rsidRDefault="00781D15" w:rsidP="00DE1AD4">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1BBFC" w14:textId="77777777" w:rsidR="00613C00" w:rsidRPr="007C0AB9" w:rsidRDefault="00613C00" w:rsidP="004F65C9">
      <w:pPr>
        <w:spacing w:before="0"/>
      </w:pPr>
      <w:r w:rsidRPr="007C0AB9">
        <w:separator/>
      </w:r>
    </w:p>
  </w:endnote>
  <w:endnote w:type="continuationSeparator" w:id="0">
    <w:p w14:paraId="1D4BE933" w14:textId="77777777" w:rsidR="00613C00" w:rsidRPr="007C0AB9" w:rsidRDefault="00613C00"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8EF7E" w14:textId="77777777" w:rsidR="00613C00" w:rsidRPr="007C0AB9" w:rsidRDefault="00613C00" w:rsidP="004F65C9">
      <w:pPr>
        <w:spacing w:before="0"/>
      </w:pPr>
      <w:r w:rsidRPr="007C0AB9">
        <w:separator/>
      </w:r>
    </w:p>
  </w:footnote>
  <w:footnote w:type="continuationSeparator" w:id="0">
    <w:p w14:paraId="4ABEF7F6" w14:textId="77777777" w:rsidR="00613C00" w:rsidRPr="007C0AB9" w:rsidRDefault="00613C00"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E8610C">
        <w:rPr>
          <w:sz w:val="18"/>
          <w:szCs w:val="18"/>
        </w:rPr>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F86A7F">
        <w:rPr>
          <w:sz w:val="18"/>
          <w:szCs w:val="18"/>
        </w:rPr>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782E05">
        <w:rPr>
          <w:sz w:val="18"/>
          <w:szCs w:val="18"/>
        </w:rPr>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782E05">
        <w:rPr>
          <w:sz w:val="18"/>
          <w:szCs w:val="18"/>
        </w:rPr>
        <w:t>https://scikit-learn.org/stable/modules/generated/sklearn.preprocessing.StandardScaler</w:t>
      </w:r>
      <w:r w:rsidR="00A32087" w:rsidRPr="00782E05">
        <w:rPr>
          <w:sz w:val="18"/>
          <w:szCs w:val="18"/>
        </w:rPr>
        <w:t>.html</w:t>
      </w:r>
    </w:p>
  </w:footnote>
  <w:footnote w:id="5">
    <w:p w14:paraId="4DEFAE83" w14:textId="799AEBA1" w:rsidR="004E0F61" w:rsidRPr="004E0F61" w:rsidRDefault="004E0F61">
      <w:pPr>
        <w:pStyle w:val="FootnoteText"/>
        <w:rPr>
          <w:lang w:val="en-US"/>
        </w:rPr>
      </w:pPr>
      <w:r>
        <w:rPr>
          <w:rStyle w:val="FootnoteReference"/>
        </w:rPr>
        <w:footnoteRef/>
      </w:r>
      <w:r>
        <w:t xml:space="preserve"> </w:t>
      </w:r>
      <w:r w:rsidRPr="00100496">
        <w:rPr>
          <w:sz w:val="18"/>
          <w:szCs w:val="18"/>
        </w:rPr>
        <w:t>https://scikit-learn.org/stable/modules/generated/sklearn.utils.class_weight.compute_class_weight.html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245892"/>
    <w:multiLevelType w:val="hybridMultilevel"/>
    <w:tmpl w:val="34C49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C1F2B"/>
    <w:multiLevelType w:val="hybridMultilevel"/>
    <w:tmpl w:val="EE0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7F06C3E"/>
    <w:multiLevelType w:val="hybridMultilevel"/>
    <w:tmpl w:val="672A0D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CA1510"/>
    <w:multiLevelType w:val="hybridMultilevel"/>
    <w:tmpl w:val="5A28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C154479"/>
    <w:multiLevelType w:val="hybridMultilevel"/>
    <w:tmpl w:val="1D9C5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635A37E3"/>
    <w:multiLevelType w:val="hybridMultilevel"/>
    <w:tmpl w:val="B4A8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5"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22"/>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33"/>
  </w:num>
  <w:num w:numId="14" w16cid:durableId="2030836555">
    <w:abstractNumId w:val="31"/>
  </w:num>
  <w:num w:numId="15" w16cid:durableId="1957710706">
    <w:abstractNumId w:val="29"/>
  </w:num>
  <w:num w:numId="16" w16cid:durableId="689651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7"/>
  </w:num>
  <w:num w:numId="20" w16cid:durableId="1708530752">
    <w:abstractNumId w:val="45"/>
  </w:num>
  <w:num w:numId="21" w16cid:durableId="251165183">
    <w:abstractNumId w:val="21"/>
  </w:num>
  <w:num w:numId="22" w16cid:durableId="605506812">
    <w:abstractNumId w:val="22"/>
  </w:num>
  <w:num w:numId="23" w16cid:durableId="1780372109">
    <w:abstractNumId w:val="17"/>
  </w:num>
  <w:num w:numId="24" w16cid:durableId="1797067202">
    <w:abstractNumId w:val="23"/>
  </w:num>
  <w:num w:numId="25" w16cid:durableId="109321402">
    <w:abstractNumId w:val="34"/>
  </w:num>
  <w:num w:numId="26" w16cid:durableId="1818955189">
    <w:abstractNumId w:val="42"/>
  </w:num>
  <w:num w:numId="27" w16cid:durableId="809789436">
    <w:abstractNumId w:val="30"/>
  </w:num>
  <w:num w:numId="28" w16cid:durableId="1993869892">
    <w:abstractNumId w:val="44"/>
  </w:num>
  <w:num w:numId="29" w16cid:durableId="1645310968">
    <w:abstractNumId w:val="39"/>
  </w:num>
  <w:num w:numId="30" w16cid:durableId="2015453789">
    <w:abstractNumId w:val="36"/>
  </w:num>
  <w:num w:numId="31" w16cid:durableId="1601990100">
    <w:abstractNumId w:val="43"/>
  </w:num>
  <w:num w:numId="32" w16cid:durableId="1847087379">
    <w:abstractNumId w:val="16"/>
  </w:num>
  <w:num w:numId="33" w16cid:durableId="478769808">
    <w:abstractNumId w:val="28"/>
  </w:num>
  <w:num w:numId="34" w16cid:durableId="10880094">
    <w:abstractNumId w:val="35"/>
  </w:num>
  <w:num w:numId="35" w16cid:durableId="107510175">
    <w:abstractNumId w:val="27"/>
  </w:num>
  <w:num w:numId="36" w16cid:durableId="1651791497">
    <w:abstractNumId w:val="25"/>
  </w:num>
  <w:num w:numId="37" w16cid:durableId="1571307310">
    <w:abstractNumId w:val="20"/>
  </w:num>
  <w:num w:numId="38" w16cid:durableId="705761320">
    <w:abstractNumId w:val="41"/>
  </w:num>
  <w:num w:numId="39" w16cid:durableId="684677315">
    <w:abstractNumId w:val="14"/>
  </w:num>
  <w:num w:numId="40" w16cid:durableId="1061368697">
    <w:abstractNumId w:val="46"/>
  </w:num>
  <w:num w:numId="41" w16cid:durableId="332688740">
    <w:abstractNumId w:val="32"/>
  </w:num>
  <w:num w:numId="42" w16cid:durableId="1554610686">
    <w:abstractNumId w:val="38"/>
  </w:num>
  <w:num w:numId="43" w16cid:durableId="1101337721">
    <w:abstractNumId w:val="26"/>
  </w:num>
  <w:num w:numId="44" w16cid:durableId="1181554190">
    <w:abstractNumId w:val="15"/>
  </w:num>
  <w:num w:numId="45" w16cid:durableId="975379183">
    <w:abstractNumId w:val="47"/>
  </w:num>
  <w:num w:numId="46" w16cid:durableId="1051542707">
    <w:abstractNumId w:val="24"/>
  </w:num>
  <w:num w:numId="47" w16cid:durableId="771583026">
    <w:abstractNumId w:val="12"/>
  </w:num>
  <w:num w:numId="48" w16cid:durableId="999037690">
    <w:abstractNumId w:val="19"/>
  </w:num>
  <w:num w:numId="49" w16cid:durableId="1133598019">
    <w:abstractNumId w:val="18"/>
  </w:num>
  <w:num w:numId="50" w16cid:durableId="1846944468">
    <w:abstractNumId w:val="40"/>
  </w:num>
  <w:num w:numId="51" w16cid:durableId="1582523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3114F"/>
    <w:rsid w:val="00040BD3"/>
    <w:rsid w:val="0004699B"/>
    <w:rsid w:val="00046C7B"/>
    <w:rsid w:val="00064C5D"/>
    <w:rsid w:val="000656DA"/>
    <w:rsid w:val="00072976"/>
    <w:rsid w:val="00080AEB"/>
    <w:rsid w:val="000A1B37"/>
    <w:rsid w:val="000B0B7F"/>
    <w:rsid w:val="000C2909"/>
    <w:rsid w:val="000C7994"/>
    <w:rsid w:val="000D2FB3"/>
    <w:rsid w:val="000E5A9F"/>
    <w:rsid w:val="000E69B1"/>
    <w:rsid w:val="000E784C"/>
    <w:rsid w:val="000F35CB"/>
    <w:rsid w:val="000F4FE1"/>
    <w:rsid w:val="00100496"/>
    <w:rsid w:val="00104F17"/>
    <w:rsid w:val="001057A2"/>
    <w:rsid w:val="001165BB"/>
    <w:rsid w:val="001240F6"/>
    <w:rsid w:val="0013082B"/>
    <w:rsid w:val="00132845"/>
    <w:rsid w:val="00133BF2"/>
    <w:rsid w:val="0013514F"/>
    <w:rsid w:val="001362B6"/>
    <w:rsid w:val="0014360E"/>
    <w:rsid w:val="0014368C"/>
    <w:rsid w:val="00147298"/>
    <w:rsid w:val="00147F45"/>
    <w:rsid w:val="001511E5"/>
    <w:rsid w:val="00153D8D"/>
    <w:rsid w:val="00155D49"/>
    <w:rsid w:val="00171AEA"/>
    <w:rsid w:val="00175C20"/>
    <w:rsid w:val="00176A2B"/>
    <w:rsid w:val="001811B6"/>
    <w:rsid w:val="00182800"/>
    <w:rsid w:val="001857E4"/>
    <w:rsid w:val="00192A7A"/>
    <w:rsid w:val="001935C2"/>
    <w:rsid w:val="00195CCB"/>
    <w:rsid w:val="001A1870"/>
    <w:rsid w:val="001A2288"/>
    <w:rsid w:val="001A3EB0"/>
    <w:rsid w:val="001A4F72"/>
    <w:rsid w:val="001B0787"/>
    <w:rsid w:val="001B26CE"/>
    <w:rsid w:val="001C2F0B"/>
    <w:rsid w:val="001C33CB"/>
    <w:rsid w:val="001D162E"/>
    <w:rsid w:val="001D38C1"/>
    <w:rsid w:val="001D6245"/>
    <w:rsid w:val="001D7865"/>
    <w:rsid w:val="001D7FA5"/>
    <w:rsid w:val="001E0322"/>
    <w:rsid w:val="001E03E7"/>
    <w:rsid w:val="001F138F"/>
    <w:rsid w:val="001F54A5"/>
    <w:rsid w:val="001F644D"/>
    <w:rsid w:val="00200F8B"/>
    <w:rsid w:val="00201E1E"/>
    <w:rsid w:val="00202C33"/>
    <w:rsid w:val="00204FBB"/>
    <w:rsid w:val="00215E6B"/>
    <w:rsid w:val="002210A0"/>
    <w:rsid w:val="002243D0"/>
    <w:rsid w:val="002245BD"/>
    <w:rsid w:val="002254E0"/>
    <w:rsid w:val="002260D9"/>
    <w:rsid w:val="00231F2C"/>
    <w:rsid w:val="0023789B"/>
    <w:rsid w:val="00237E0E"/>
    <w:rsid w:val="00237F7A"/>
    <w:rsid w:val="00252C9E"/>
    <w:rsid w:val="00254276"/>
    <w:rsid w:val="0025499C"/>
    <w:rsid w:val="00254C29"/>
    <w:rsid w:val="00257585"/>
    <w:rsid w:val="00274A4F"/>
    <w:rsid w:val="0027577A"/>
    <w:rsid w:val="0027773F"/>
    <w:rsid w:val="00290BB9"/>
    <w:rsid w:val="00295647"/>
    <w:rsid w:val="00296B0C"/>
    <w:rsid w:val="002970BE"/>
    <w:rsid w:val="002A4CFA"/>
    <w:rsid w:val="002B35C0"/>
    <w:rsid w:val="002B404B"/>
    <w:rsid w:val="002D122D"/>
    <w:rsid w:val="002D5A91"/>
    <w:rsid w:val="002D7735"/>
    <w:rsid w:val="002E0BD3"/>
    <w:rsid w:val="002E3287"/>
    <w:rsid w:val="002F62B2"/>
    <w:rsid w:val="003012B6"/>
    <w:rsid w:val="00306F24"/>
    <w:rsid w:val="00307312"/>
    <w:rsid w:val="00322351"/>
    <w:rsid w:val="00325B49"/>
    <w:rsid w:val="00327871"/>
    <w:rsid w:val="0033396C"/>
    <w:rsid w:val="00334A96"/>
    <w:rsid w:val="00335311"/>
    <w:rsid w:val="00335EDA"/>
    <w:rsid w:val="003360BA"/>
    <w:rsid w:val="00340FE6"/>
    <w:rsid w:val="0034201C"/>
    <w:rsid w:val="003424F5"/>
    <w:rsid w:val="003464E3"/>
    <w:rsid w:val="00347B32"/>
    <w:rsid w:val="00350022"/>
    <w:rsid w:val="003518A1"/>
    <w:rsid w:val="00352241"/>
    <w:rsid w:val="00355BC4"/>
    <w:rsid w:val="00356EEE"/>
    <w:rsid w:val="00362964"/>
    <w:rsid w:val="00363B4B"/>
    <w:rsid w:val="00371A68"/>
    <w:rsid w:val="00372A57"/>
    <w:rsid w:val="00372FB7"/>
    <w:rsid w:val="003737A4"/>
    <w:rsid w:val="0038355A"/>
    <w:rsid w:val="00383EC6"/>
    <w:rsid w:val="003871C3"/>
    <w:rsid w:val="00396910"/>
    <w:rsid w:val="003A1BA1"/>
    <w:rsid w:val="003A4EAB"/>
    <w:rsid w:val="003B127F"/>
    <w:rsid w:val="003B4123"/>
    <w:rsid w:val="003B551F"/>
    <w:rsid w:val="003B579E"/>
    <w:rsid w:val="003C1F5D"/>
    <w:rsid w:val="003C2630"/>
    <w:rsid w:val="003C43B6"/>
    <w:rsid w:val="003C5560"/>
    <w:rsid w:val="003C6245"/>
    <w:rsid w:val="003C7525"/>
    <w:rsid w:val="003D1EE3"/>
    <w:rsid w:val="003E2DDE"/>
    <w:rsid w:val="003E57A7"/>
    <w:rsid w:val="003F0F73"/>
    <w:rsid w:val="0040076E"/>
    <w:rsid w:val="0040187C"/>
    <w:rsid w:val="004167FD"/>
    <w:rsid w:val="0042047A"/>
    <w:rsid w:val="00423551"/>
    <w:rsid w:val="0042585B"/>
    <w:rsid w:val="004327B2"/>
    <w:rsid w:val="004518F3"/>
    <w:rsid w:val="00456D0D"/>
    <w:rsid w:val="00463C2A"/>
    <w:rsid w:val="00465D46"/>
    <w:rsid w:val="0046617C"/>
    <w:rsid w:val="0046668C"/>
    <w:rsid w:val="00466C03"/>
    <w:rsid w:val="0047713E"/>
    <w:rsid w:val="00477517"/>
    <w:rsid w:val="00477D3B"/>
    <w:rsid w:val="00477E87"/>
    <w:rsid w:val="00490316"/>
    <w:rsid w:val="0049147A"/>
    <w:rsid w:val="004967B2"/>
    <w:rsid w:val="004978DF"/>
    <w:rsid w:val="004A0788"/>
    <w:rsid w:val="004A66D3"/>
    <w:rsid w:val="004B29BA"/>
    <w:rsid w:val="004B2E5B"/>
    <w:rsid w:val="004B405E"/>
    <w:rsid w:val="004B71D9"/>
    <w:rsid w:val="004C0EEF"/>
    <w:rsid w:val="004C2561"/>
    <w:rsid w:val="004C2C76"/>
    <w:rsid w:val="004C54BC"/>
    <w:rsid w:val="004C641C"/>
    <w:rsid w:val="004D241D"/>
    <w:rsid w:val="004D3746"/>
    <w:rsid w:val="004D3AEF"/>
    <w:rsid w:val="004D4E85"/>
    <w:rsid w:val="004D69B1"/>
    <w:rsid w:val="004E037E"/>
    <w:rsid w:val="004E0F61"/>
    <w:rsid w:val="004F3D6C"/>
    <w:rsid w:val="004F65C9"/>
    <w:rsid w:val="00500A0E"/>
    <w:rsid w:val="00502A76"/>
    <w:rsid w:val="00503EA5"/>
    <w:rsid w:val="005041CB"/>
    <w:rsid w:val="00514BF9"/>
    <w:rsid w:val="00514C8B"/>
    <w:rsid w:val="00517B55"/>
    <w:rsid w:val="005209C4"/>
    <w:rsid w:val="0052480F"/>
    <w:rsid w:val="00526217"/>
    <w:rsid w:val="00530753"/>
    <w:rsid w:val="00535E35"/>
    <w:rsid w:val="00536C57"/>
    <w:rsid w:val="005403BC"/>
    <w:rsid w:val="00544BD6"/>
    <w:rsid w:val="005454D2"/>
    <w:rsid w:val="00553CBD"/>
    <w:rsid w:val="005571C5"/>
    <w:rsid w:val="005575F6"/>
    <w:rsid w:val="00560757"/>
    <w:rsid w:val="00561662"/>
    <w:rsid w:val="00563E18"/>
    <w:rsid w:val="005650F0"/>
    <w:rsid w:val="00565DF4"/>
    <w:rsid w:val="005746FF"/>
    <w:rsid w:val="00574B03"/>
    <w:rsid w:val="00575AE3"/>
    <w:rsid w:val="00582C46"/>
    <w:rsid w:val="005903FA"/>
    <w:rsid w:val="00590AB5"/>
    <w:rsid w:val="0059165D"/>
    <w:rsid w:val="00591E0B"/>
    <w:rsid w:val="00592122"/>
    <w:rsid w:val="00593CE9"/>
    <w:rsid w:val="005956EF"/>
    <w:rsid w:val="00597ED3"/>
    <w:rsid w:val="005A385C"/>
    <w:rsid w:val="005A70D7"/>
    <w:rsid w:val="005B4F7E"/>
    <w:rsid w:val="005B5C3F"/>
    <w:rsid w:val="005B66F1"/>
    <w:rsid w:val="005B748B"/>
    <w:rsid w:val="005D735D"/>
    <w:rsid w:val="005E3085"/>
    <w:rsid w:val="005E7C3C"/>
    <w:rsid w:val="005F1A9F"/>
    <w:rsid w:val="005F1D22"/>
    <w:rsid w:val="005F43A9"/>
    <w:rsid w:val="005F6F43"/>
    <w:rsid w:val="005F7565"/>
    <w:rsid w:val="006003D6"/>
    <w:rsid w:val="00600C25"/>
    <w:rsid w:val="006023F9"/>
    <w:rsid w:val="00611CC0"/>
    <w:rsid w:val="00613C00"/>
    <w:rsid w:val="00615729"/>
    <w:rsid w:val="006161F3"/>
    <w:rsid w:val="006214F6"/>
    <w:rsid w:val="00633235"/>
    <w:rsid w:val="006353C9"/>
    <w:rsid w:val="00640C89"/>
    <w:rsid w:val="00640E31"/>
    <w:rsid w:val="00644C20"/>
    <w:rsid w:val="00651CA8"/>
    <w:rsid w:val="00654550"/>
    <w:rsid w:val="00656EC6"/>
    <w:rsid w:val="006603D8"/>
    <w:rsid w:val="00661FFA"/>
    <w:rsid w:val="006626B5"/>
    <w:rsid w:val="00670134"/>
    <w:rsid w:val="00676817"/>
    <w:rsid w:val="006800F2"/>
    <w:rsid w:val="00682CD5"/>
    <w:rsid w:val="00686240"/>
    <w:rsid w:val="00686C74"/>
    <w:rsid w:val="00691346"/>
    <w:rsid w:val="0069174A"/>
    <w:rsid w:val="006968E2"/>
    <w:rsid w:val="00696F9D"/>
    <w:rsid w:val="006A65F7"/>
    <w:rsid w:val="006A699E"/>
    <w:rsid w:val="006A76EB"/>
    <w:rsid w:val="006B1105"/>
    <w:rsid w:val="006B5EFC"/>
    <w:rsid w:val="006C3EC2"/>
    <w:rsid w:val="006C7A10"/>
    <w:rsid w:val="006D0F17"/>
    <w:rsid w:val="006D3B45"/>
    <w:rsid w:val="006D5745"/>
    <w:rsid w:val="006E2D45"/>
    <w:rsid w:val="006F4182"/>
    <w:rsid w:val="006F4881"/>
    <w:rsid w:val="006F5166"/>
    <w:rsid w:val="00702A17"/>
    <w:rsid w:val="007105ED"/>
    <w:rsid w:val="00713754"/>
    <w:rsid w:val="007149C2"/>
    <w:rsid w:val="00714C78"/>
    <w:rsid w:val="007179BB"/>
    <w:rsid w:val="0072501A"/>
    <w:rsid w:val="00726EAA"/>
    <w:rsid w:val="0072727E"/>
    <w:rsid w:val="00731CAB"/>
    <w:rsid w:val="007440BA"/>
    <w:rsid w:val="00744C45"/>
    <w:rsid w:val="007510E0"/>
    <w:rsid w:val="00760E81"/>
    <w:rsid w:val="00762240"/>
    <w:rsid w:val="007646BF"/>
    <w:rsid w:val="00781D15"/>
    <w:rsid w:val="0078285F"/>
    <w:rsid w:val="00782B14"/>
    <w:rsid w:val="00782E05"/>
    <w:rsid w:val="007873D8"/>
    <w:rsid w:val="00791331"/>
    <w:rsid w:val="007919C2"/>
    <w:rsid w:val="0079223B"/>
    <w:rsid w:val="007A37C1"/>
    <w:rsid w:val="007A55F8"/>
    <w:rsid w:val="007B30E2"/>
    <w:rsid w:val="007B4417"/>
    <w:rsid w:val="007C0AB9"/>
    <w:rsid w:val="007C2F94"/>
    <w:rsid w:val="007C790A"/>
    <w:rsid w:val="007D33C0"/>
    <w:rsid w:val="007D4C28"/>
    <w:rsid w:val="007D4E24"/>
    <w:rsid w:val="007D612D"/>
    <w:rsid w:val="007E11DE"/>
    <w:rsid w:val="007E1EDB"/>
    <w:rsid w:val="007E466B"/>
    <w:rsid w:val="007E55D1"/>
    <w:rsid w:val="007F6460"/>
    <w:rsid w:val="007F73B9"/>
    <w:rsid w:val="00807074"/>
    <w:rsid w:val="008116D3"/>
    <w:rsid w:val="00811D96"/>
    <w:rsid w:val="00812AC9"/>
    <w:rsid w:val="00824480"/>
    <w:rsid w:val="008252C3"/>
    <w:rsid w:val="00827D0F"/>
    <w:rsid w:val="00837537"/>
    <w:rsid w:val="00840FEA"/>
    <w:rsid w:val="0084119F"/>
    <w:rsid w:val="008423AE"/>
    <w:rsid w:val="00844861"/>
    <w:rsid w:val="00847DD6"/>
    <w:rsid w:val="00854C9F"/>
    <w:rsid w:val="00857FA0"/>
    <w:rsid w:val="0086288E"/>
    <w:rsid w:val="008641FD"/>
    <w:rsid w:val="00865542"/>
    <w:rsid w:val="00874663"/>
    <w:rsid w:val="008838FC"/>
    <w:rsid w:val="008951F6"/>
    <w:rsid w:val="00895D02"/>
    <w:rsid w:val="008A1BF1"/>
    <w:rsid w:val="008A2E0D"/>
    <w:rsid w:val="008B6CA7"/>
    <w:rsid w:val="008C1ED0"/>
    <w:rsid w:val="008D3E3F"/>
    <w:rsid w:val="008E1F01"/>
    <w:rsid w:val="008E1F75"/>
    <w:rsid w:val="008E2D6A"/>
    <w:rsid w:val="008E698A"/>
    <w:rsid w:val="008F2B4E"/>
    <w:rsid w:val="008F55C3"/>
    <w:rsid w:val="008F78A3"/>
    <w:rsid w:val="009007BC"/>
    <w:rsid w:val="00903645"/>
    <w:rsid w:val="00907927"/>
    <w:rsid w:val="00914281"/>
    <w:rsid w:val="0091702F"/>
    <w:rsid w:val="00926548"/>
    <w:rsid w:val="00933CD9"/>
    <w:rsid w:val="00937130"/>
    <w:rsid w:val="009458D2"/>
    <w:rsid w:val="00946BC3"/>
    <w:rsid w:val="00951097"/>
    <w:rsid w:val="00951E49"/>
    <w:rsid w:val="00952266"/>
    <w:rsid w:val="00955A16"/>
    <w:rsid w:val="00955F98"/>
    <w:rsid w:val="0096110D"/>
    <w:rsid w:val="00962D50"/>
    <w:rsid w:val="00964BE1"/>
    <w:rsid w:val="00965A5E"/>
    <w:rsid w:val="009720B9"/>
    <w:rsid w:val="00973815"/>
    <w:rsid w:val="0098742B"/>
    <w:rsid w:val="00991ADD"/>
    <w:rsid w:val="009927CD"/>
    <w:rsid w:val="009936E9"/>
    <w:rsid w:val="009A05AB"/>
    <w:rsid w:val="009A0EDD"/>
    <w:rsid w:val="009A291A"/>
    <w:rsid w:val="009A3A51"/>
    <w:rsid w:val="009A43DA"/>
    <w:rsid w:val="009A6C47"/>
    <w:rsid w:val="009A7306"/>
    <w:rsid w:val="009A782E"/>
    <w:rsid w:val="009B5455"/>
    <w:rsid w:val="009C092B"/>
    <w:rsid w:val="009C0A30"/>
    <w:rsid w:val="009C0D22"/>
    <w:rsid w:val="009C3892"/>
    <w:rsid w:val="009C4FDE"/>
    <w:rsid w:val="009D1B9F"/>
    <w:rsid w:val="009D3385"/>
    <w:rsid w:val="009D3525"/>
    <w:rsid w:val="009D7B17"/>
    <w:rsid w:val="009E0124"/>
    <w:rsid w:val="009E1693"/>
    <w:rsid w:val="009E3832"/>
    <w:rsid w:val="009E6193"/>
    <w:rsid w:val="00A03958"/>
    <w:rsid w:val="00A133E9"/>
    <w:rsid w:val="00A155DB"/>
    <w:rsid w:val="00A22F33"/>
    <w:rsid w:val="00A24ADC"/>
    <w:rsid w:val="00A32087"/>
    <w:rsid w:val="00A324F3"/>
    <w:rsid w:val="00A34784"/>
    <w:rsid w:val="00A3691E"/>
    <w:rsid w:val="00A413A8"/>
    <w:rsid w:val="00A4256F"/>
    <w:rsid w:val="00A43D2D"/>
    <w:rsid w:val="00A4785A"/>
    <w:rsid w:val="00A57988"/>
    <w:rsid w:val="00A61F59"/>
    <w:rsid w:val="00A631F2"/>
    <w:rsid w:val="00A677EE"/>
    <w:rsid w:val="00A71D00"/>
    <w:rsid w:val="00A7427B"/>
    <w:rsid w:val="00A82547"/>
    <w:rsid w:val="00A837B6"/>
    <w:rsid w:val="00A86447"/>
    <w:rsid w:val="00A91FA6"/>
    <w:rsid w:val="00A96F81"/>
    <w:rsid w:val="00AA31A2"/>
    <w:rsid w:val="00AA4BFE"/>
    <w:rsid w:val="00AA69A1"/>
    <w:rsid w:val="00AC3631"/>
    <w:rsid w:val="00AC70D1"/>
    <w:rsid w:val="00AD07AE"/>
    <w:rsid w:val="00AD5149"/>
    <w:rsid w:val="00AD5C18"/>
    <w:rsid w:val="00AE37DF"/>
    <w:rsid w:val="00AE775F"/>
    <w:rsid w:val="00AF1B59"/>
    <w:rsid w:val="00AF347B"/>
    <w:rsid w:val="00AF70CC"/>
    <w:rsid w:val="00AF7B30"/>
    <w:rsid w:val="00B111B3"/>
    <w:rsid w:val="00B22851"/>
    <w:rsid w:val="00B23F6C"/>
    <w:rsid w:val="00B31677"/>
    <w:rsid w:val="00B33D32"/>
    <w:rsid w:val="00B3624E"/>
    <w:rsid w:val="00B37685"/>
    <w:rsid w:val="00B4039A"/>
    <w:rsid w:val="00B42099"/>
    <w:rsid w:val="00B42270"/>
    <w:rsid w:val="00B47104"/>
    <w:rsid w:val="00B54A28"/>
    <w:rsid w:val="00B57362"/>
    <w:rsid w:val="00B62E0E"/>
    <w:rsid w:val="00B64D17"/>
    <w:rsid w:val="00B65963"/>
    <w:rsid w:val="00B703B8"/>
    <w:rsid w:val="00B747D6"/>
    <w:rsid w:val="00B7746A"/>
    <w:rsid w:val="00B90669"/>
    <w:rsid w:val="00B9306F"/>
    <w:rsid w:val="00BA6232"/>
    <w:rsid w:val="00BB0FF2"/>
    <w:rsid w:val="00BB5179"/>
    <w:rsid w:val="00BB690F"/>
    <w:rsid w:val="00BC5360"/>
    <w:rsid w:val="00BC549E"/>
    <w:rsid w:val="00BC7ADD"/>
    <w:rsid w:val="00BC7E9F"/>
    <w:rsid w:val="00BD6832"/>
    <w:rsid w:val="00BE4933"/>
    <w:rsid w:val="00BE5B0B"/>
    <w:rsid w:val="00BE5D10"/>
    <w:rsid w:val="00BE6AD9"/>
    <w:rsid w:val="00BE6F54"/>
    <w:rsid w:val="00BF167C"/>
    <w:rsid w:val="00BF3CC9"/>
    <w:rsid w:val="00BF450F"/>
    <w:rsid w:val="00BF5F35"/>
    <w:rsid w:val="00BF65DF"/>
    <w:rsid w:val="00C0088D"/>
    <w:rsid w:val="00C063C1"/>
    <w:rsid w:val="00C07150"/>
    <w:rsid w:val="00C07B59"/>
    <w:rsid w:val="00C15D15"/>
    <w:rsid w:val="00C16660"/>
    <w:rsid w:val="00C17089"/>
    <w:rsid w:val="00C23FE3"/>
    <w:rsid w:val="00C25398"/>
    <w:rsid w:val="00C258F7"/>
    <w:rsid w:val="00C302E3"/>
    <w:rsid w:val="00C32A20"/>
    <w:rsid w:val="00C32DAD"/>
    <w:rsid w:val="00C41707"/>
    <w:rsid w:val="00C453DC"/>
    <w:rsid w:val="00C50553"/>
    <w:rsid w:val="00C50DD9"/>
    <w:rsid w:val="00C52D35"/>
    <w:rsid w:val="00C61AA6"/>
    <w:rsid w:val="00C62CB0"/>
    <w:rsid w:val="00C657B7"/>
    <w:rsid w:val="00C6774B"/>
    <w:rsid w:val="00C74F68"/>
    <w:rsid w:val="00C75B61"/>
    <w:rsid w:val="00C879A7"/>
    <w:rsid w:val="00C913C3"/>
    <w:rsid w:val="00C92AB8"/>
    <w:rsid w:val="00CB2F87"/>
    <w:rsid w:val="00CB31E9"/>
    <w:rsid w:val="00CC4360"/>
    <w:rsid w:val="00CD0733"/>
    <w:rsid w:val="00CD4A3D"/>
    <w:rsid w:val="00CE7345"/>
    <w:rsid w:val="00CF166D"/>
    <w:rsid w:val="00CF2836"/>
    <w:rsid w:val="00CF3A49"/>
    <w:rsid w:val="00D004AF"/>
    <w:rsid w:val="00D01157"/>
    <w:rsid w:val="00D12675"/>
    <w:rsid w:val="00D17FF4"/>
    <w:rsid w:val="00D20635"/>
    <w:rsid w:val="00D21090"/>
    <w:rsid w:val="00D214F0"/>
    <w:rsid w:val="00D22E00"/>
    <w:rsid w:val="00D315DC"/>
    <w:rsid w:val="00D35882"/>
    <w:rsid w:val="00D40085"/>
    <w:rsid w:val="00D43A9B"/>
    <w:rsid w:val="00D519C4"/>
    <w:rsid w:val="00D60003"/>
    <w:rsid w:val="00D6043B"/>
    <w:rsid w:val="00D62F9C"/>
    <w:rsid w:val="00D751B8"/>
    <w:rsid w:val="00D75477"/>
    <w:rsid w:val="00D8089C"/>
    <w:rsid w:val="00D82FEA"/>
    <w:rsid w:val="00D94529"/>
    <w:rsid w:val="00D947DA"/>
    <w:rsid w:val="00DA3F3C"/>
    <w:rsid w:val="00DA5015"/>
    <w:rsid w:val="00DA6820"/>
    <w:rsid w:val="00DA6EF4"/>
    <w:rsid w:val="00DA7F16"/>
    <w:rsid w:val="00DB3A2D"/>
    <w:rsid w:val="00DC3193"/>
    <w:rsid w:val="00DD5587"/>
    <w:rsid w:val="00DD6255"/>
    <w:rsid w:val="00DE05B1"/>
    <w:rsid w:val="00DE1AD4"/>
    <w:rsid w:val="00DE471C"/>
    <w:rsid w:val="00DE5BAB"/>
    <w:rsid w:val="00DF2873"/>
    <w:rsid w:val="00DF2A88"/>
    <w:rsid w:val="00DF4674"/>
    <w:rsid w:val="00DF7EF8"/>
    <w:rsid w:val="00E02EF0"/>
    <w:rsid w:val="00E0335B"/>
    <w:rsid w:val="00E07A2B"/>
    <w:rsid w:val="00E11E2E"/>
    <w:rsid w:val="00E202BA"/>
    <w:rsid w:val="00E23431"/>
    <w:rsid w:val="00E2360B"/>
    <w:rsid w:val="00E30434"/>
    <w:rsid w:val="00E3187F"/>
    <w:rsid w:val="00E324A3"/>
    <w:rsid w:val="00E33263"/>
    <w:rsid w:val="00E36417"/>
    <w:rsid w:val="00E37976"/>
    <w:rsid w:val="00E40F9A"/>
    <w:rsid w:val="00E41188"/>
    <w:rsid w:val="00E411C3"/>
    <w:rsid w:val="00E414B6"/>
    <w:rsid w:val="00E41C6E"/>
    <w:rsid w:val="00E5162E"/>
    <w:rsid w:val="00E5188C"/>
    <w:rsid w:val="00E54E14"/>
    <w:rsid w:val="00E641ED"/>
    <w:rsid w:val="00E669E3"/>
    <w:rsid w:val="00E7340B"/>
    <w:rsid w:val="00E763FA"/>
    <w:rsid w:val="00E8610C"/>
    <w:rsid w:val="00E87FD0"/>
    <w:rsid w:val="00E92ABC"/>
    <w:rsid w:val="00E962AA"/>
    <w:rsid w:val="00E96E4F"/>
    <w:rsid w:val="00EA63BD"/>
    <w:rsid w:val="00EA72DC"/>
    <w:rsid w:val="00EA7FC6"/>
    <w:rsid w:val="00EB1574"/>
    <w:rsid w:val="00EB3392"/>
    <w:rsid w:val="00EB5245"/>
    <w:rsid w:val="00EB5312"/>
    <w:rsid w:val="00EC0804"/>
    <w:rsid w:val="00EC6EBE"/>
    <w:rsid w:val="00ED3504"/>
    <w:rsid w:val="00ED6C39"/>
    <w:rsid w:val="00ED70E6"/>
    <w:rsid w:val="00ED79D3"/>
    <w:rsid w:val="00EE50A6"/>
    <w:rsid w:val="00EE5614"/>
    <w:rsid w:val="00EF7129"/>
    <w:rsid w:val="00F0148A"/>
    <w:rsid w:val="00F042CD"/>
    <w:rsid w:val="00F14D98"/>
    <w:rsid w:val="00F15D34"/>
    <w:rsid w:val="00F20100"/>
    <w:rsid w:val="00F2470F"/>
    <w:rsid w:val="00F33AA4"/>
    <w:rsid w:val="00F41DA2"/>
    <w:rsid w:val="00F42877"/>
    <w:rsid w:val="00F42E35"/>
    <w:rsid w:val="00F51789"/>
    <w:rsid w:val="00F51EF4"/>
    <w:rsid w:val="00F60BC9"/>
    <w:rsid w:val="00F61314"/>
    <w:rsid w:val="00F7121C"/>
    <w:rsid w:val="00F715A1"/>
    <w:rsid w:val="00F71AA7"/>
    <w:rsid w:val="00F72A94"/>
    <w:rsid w:val="00F72F7C"/>
    <w:rsid w:val="00F82B19"/>
    <w:rsid w:val="00F82B6C"/>
    <w:rsid w:val="00F85F65"/>
    <w:rsid w:val="00F86A7F"/>
    <w:rsid w:val="00F90D5D"/>
    <w:rsid w:val="00F92A86"/>
    <w:rsid w:val="00FA1276"/>
    <w:rsid w:val="00FA1D82"/>
    <w:rsid w:val="00FA5C40"/>
    <w:rsid w:val="00FB285B"/>
    <w:rsid w:val="00FB49EC"/>
    <w:rsid w:val="00FB7475"/>
    <w:rsid w:val="00FC1D01"/>
    <w:rsid w:val="00FD299B"/>
    <w:rsid w:val="00FD403F"/>
    <w:rsid w:val="00FD48F2"/>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j.ijforecast.2022.08.004" TargetMode="External"/><Relationship Id="rId26" Type="http://schemas.openxmlformats.org/officeDocument/2006/relationships/hyperlink" Target="https://doi.org/10.1016/j.neucom.2013.08.023" TargetMode="External"/><Relationship Id="rId39" Type="http://schemas.openxmlformats.org/officeDocument/2006/relationships/hyperlink" Target="https://doi.org/10.1108/BIJ-06-2016-0096" TargetMode="External"/><Relationship Id="rId21" Type="http://schemas.openxmlformats.org/officeDocument/2006/relationships/hyperlink" Target="http://dx.doi.org/10.2139/ssrn.3910214" TargetMode="External"/><Relationship Id="rId34" Type="http://schemas.openxmlformats.org/officeDocument/2006/relationships/hyperlink" Target="https://doi.org/10.2139/ssrn.345007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40/epjds/s13688-024-00457-2" TargetMode="External"/><Relationship Id="rId20" Type="http://schemas.openxmlformats.org/officeDocument/2006/relationships/hyperlink" Target="https://doi.org/10.1108/JRF-06-2023-0137" TargetMode="External"/><Relationship Id="rId29" Type="http://schemas.openxmlformats.org/officeDocument/2006/relationships/hyperlink" Target="https://doi.org/10.1002/978111861919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02/ijfe.1779" TargetMode="External"/><Relationship Id="rId32" Type="http://schemas.openxmlformats.org/officeDocument/2006/relationships/hyperlink" Target="https://doi.org/10.1016/0304-4076(86)90063-1" TargetMode="External"/><Relationship Id="rId37" Type="http://schemas.openxmlformats.org/officeDocument/2006/relationships/hyperlink" Target="https://doi.org/10.48550/arXiv.1407.0202" TargetMode="External"/><Relationship Id="rId40" Type="http://schemas.openxmlformats.org/officeDocument/2006/relationships/hyperlink" Target="https://doi.org/10.1016/j.jebo.2022.10.013" TargetMode="External"/><Relationship Id="rId5" Type="http://schemas.openxmlformats.org/officeDocument/2006/relationships/webSettings" Target="webSettings.xml"/><Relationship Id="rId15" Type="http://schemas.openxmlformats.org/officeDocument/2006/relationships/hyperlink" Target="https://doi.org/10.21511/imfi.20(3).2023.10" TargetMode="External"/><Relationship Id="rId23" Type="http://schemas.openxmlformats.org/officeDocument/2006/relationships/hyperlink" Target="https://doi.org/10.1257/aer.89.3.473" TargetMode="External"/><Relationship Id="rId28" Type="http://schemas.openxmlformats.org/officeDocument/2006/relationships/hyperlink" Target="https://doi.org/10.1613/jair.953" TargetMode="External"/><Relationship Id="rId36" Type="http://schemas.openxmlformats.org/officeDocument/2006/relationships/hyperlink" Target="http://urn.kb.se/resolve?urn=urn:nbn:se:kth:diva-205595" TargetMode="External"/><Relationship Id="rId10" Type="http://schemas.openxmlformats.org/officeDocument/2006/relationships/footer" Target="footer2.xml"/><Relationship Id="rId19" Type="http://schemas.openxmlformats.org/officeDocument/2006/relationships/hyperlink" Target="http://dx.doi.org/10.2139/ssrn.4695279" TargetMode="External"/><Relationship Id="rId31" Type="http://schemas.openxmlformats.org/officeDocument/2006/relationships/hyperlink" Target="https://api.semanticscholar.org/CorpusID:2526083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EconPapers.repec.org/RePEc:pal:imfstp:v:45:y:1998:i:1:p:1-48" TargetMode="External"/><Relationship Id="rId27" Type="http://schemas.openxmlformats.org/officeDocument/2006/relationships/hyperlink" Target="https://doi.org/10.22495/cbsrv4i4art8" TargetMode="External"/><Relationship Id="rId30" Type="http://schemas.openxmlformats.org/officeDocument/2006/relationships/hyperlink" Target="https://doi.org/10.48550/arXiv.1906.09024" TargetMode="External"/><Relationship Id="rId35" Type="http://schemas.openxmlformats.org/officeDocument/2006/relationships/hyperlink" Target="https://doi.org/10.1108/joic.2002.3.1.44"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7717/peerj-cs.1403" TargetMode="External"/><Relationship Id="rId25" Type="http://schemas.openxmlformats.org/officeDocument/2006/relationships/hyperlink" Target="https://doi.org/10.1016/j.jimonfin.2006.07.007" TargetMode="External"/><Relationship Id="rId33" Type="http://schemas.openxmlformats.org/officeDocument/2006/relationships/hyperlink" Target="https://doi.org/10.1198/073500104000000370" TargetMode="External"/><Relationship Id="rId38" Type="http://schemas.openxmlformats.org/officeDocument/2006/relationships/hyperlink" Target="https://doi.org/10.1287/opre.7.2.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AFA9-B4AA-4BB1-AAA3-60755192F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25</Pages>
  <Words>6762</Words>
  <Characters>38546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314</cp:revision>
  <dcterms:created xsi:type="dcterms:W3CDTF">2025-06-30T12:28:00Z</dcterms:created>
  <dcterms:modified xsi:type="dcterms:W3CDTF">2025-07-29T15:20:00Z</dcterms:modified>
</cp:coreProperties>
</file>