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 要件定義書</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 1. 導入</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 1.1 目的</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このWebアプリは、こどものご飯の献立を生成できるようにすることを目的としています。</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 1.2 対象ユーザー</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 こどもの料理を考えるのが面倒なユーザー</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 こどもの栄養バランスに気を使いたいユーザー</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 こどもが好んで食べたものを記録したいユーザー</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 2. 機能要件</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 2.1 料理登録・検索・更新削除</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 2.1.1 料理登録</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 料理名</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 材料</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 皿カテゴリ（主食・主菜・副菜・果物）</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 2.1.2 検索</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 料理名での検索</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 材料での検索</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 皿カテゴリでの検索</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 2.1.3 更新削除</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 料理名</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 材料</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 皿カテゴリ（主食・主菜・副菜・果物）</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 2.2 ユーザー管理</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 2.2.1 登録</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 ユーザー名</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 パスワード</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 2.2.2 ログイン</w:t>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 ユーザー名とパスワードによる認証</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 2.3 献立生成機能</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 2.3.1 条件設定</w:t>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 食材カテゴリ</w:t>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 タイミング</w:t>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 好み度(5段階)</w:t>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 いつの献立以降から被らないようにするか（何日前の/どのタイミングか）</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 2.3.2 自動生成</w:t>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 入力された条件に基づいて献立を自動生成</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 3. パフォーマンス要件</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 3.1 応答時間</w:t>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 ページ読み込み時間は3秒以内に収める</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 3.2 同時ユーザー数</w:t>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 同時に1000ユーザー以上が利用可能であること</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 4. セキュリティ要件</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 4.1 ユーザーデータの保護</w:t>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 ユーザーの個人情報やパスワードは暗号化して保存</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 4.2 不正アクセス対策</w:t>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 不正ログインやセキュリティ侵害からの保護</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 5. デザイン要件</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 5.1 レスポンシブデザイン</w:t>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 モバイルデバイスやタブレットなど、異なるデバイスでの利用に対応</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 5.2 カラースキーム</w:t>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 視認性や使いやすさを考慮したカラーパレット</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 6. その他の要件</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 6.1 多言語対応</w:t>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 英語および日本語に対応</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 6.2 ドキュメンテーション</w:t>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 開発者とユーザー向けの十分なドキュメンテーションの提供</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