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Machine Learning and Deep Learning for IoT Intrusion Detection: A Structured Literature Review with a CICIoT2023-Based Experimental Perspective</w:t>
      </w:r>
    </w:p>
    <w:p>
      <w:pPr>
        <w:jc w:val="center"/>
      </w:pPr>
      <w:r>
        <w:rPr>
          <w:i/>
          <w:sz w:val="22"/>
        </w:rPr>
        <w:t>Literature synthesis of 20 studies and positioning of a comparative deep-learning experiment</w:t>
      </w:r>
    </w:p>
    <w:p>
      <w:pPr>
        <w:pStyle w:val="Heading1"/>
      </w:pPr>
      <w:r>
        <w:t>Abstract</w:t>
      </w:r>
    </w:p>
    <w:p>
      <w:r>
        <w:t>The rapid growth of Internet of Things (IoT) deployments has increased the volume, heterogeneity, and operational importance of network traffic that must be monitored for malicious activity. Machine learning (ML) and deep learning (DL) are widely investigated for intrusion detection systems (IDS), but reported performance is difficult to compare because studies use different datasets, class definitions, sampling strategies, evaluation metrics, and deployment assumptions. This literature review synthesizes a corpus of 20 studies comprising reviews, surveys, experimental papers, and one benchmark, with particular attention to CICIoT2023 and to recurring issues of class imbalance, generalisation, explainability, adversarial robustness, privacy, and edge efficiency. The reviewed evidence shows that very high accuracy is common when binary classification, selected attack families, undersampling, or carefully constructed subsets are used; however, macro-F1 and rare-class performance can be substantially weaker. CICIoT2023 is increasingly used because it represents contemporary IoT traffic and diverse attack types, yet protocols remain inconsistent across studies. Deep recurrent and hybrid models can perform strongly, while tree-based methods and ensembles are also highly competitive on tabular flow features. Systematic-review evidence further shows that adversarial robustness, explainability, privacy-preserving learning, and production validation remain underrepresented. The accompanying experimental perspective compares DNN, regularised DNN variants, GRU, LSTM, and a feature-token Transformer on an eight-class CICIoT2023 task. In those experiments, the plain DNN achieves the highest accuracy (75.44%), while the Transformer remains competitive and obtains higher macro precision and macro recall than the DNN. The review therefore argues for standardised evaluation protocols and for reporting metrics that expose class-level weaknesses rather than relying on accuracy alone.</w:t>
      </w:r>
    </w:p>
    <w:p>
      <w:r>
        <w:t>Keywords: Internet of Things; intrusion detection system; CICIoT2023; machine learning; deep learning; Transformer; DNN; class imbalance; cybersecurity; network traffic</w:t>
      </w:r>
    </w:p>
    <w:p>
      <w:pPr>
        <w:pStyle w:val="Heading1"/>
      </w:pPr>
      <w:r>
        <w:t>1. Introduction</w:t>
      </w:r>
    </w:p>
    <w:p>
      <w:r>
        <w:t>IoT environments combine heterogeneous devices, constrained resources, diverse communication patterns, and continuously changing traffic. These properties create a large attack surface and make conventional rule-based detection difficult to maintain at scale. Consequently, ML and DL-based IDS approaches have become a major research direction. The reviewed literature spans conventional classifiers, ensemble methods, recurrent neural networks, convolutional-recurrent hybrids, Transformers, explainable AI (XAI), federated learning (FL), and resource-aware feature-selection strategies.</w:t>
      </w:r>
    </w:p>
    <w:p>
      <w:r>
        <w:t>A central problem in interpreting this literature is that headline accuracy values are not directly comparable. The corpus contains results ranging from moderate multiclass performance to values above 99%, but these figures arise under materially different experimental conditions. Some studies focus on binary detection, some restrict the task to selected attack subtypes, some use subsets or undersampling, and others evaluate many classes under natural or balanced distributions. Poltoratskyi and Gavrylenko [1] identify imbalance, zero-day detection, scalability, and privacy as continuing challenges, while recommending MCC, F1, AUC-PR, and operational metrics alongside accuracy.</w:t>
      </w:r>
    </w:p>
    <w:p>
      <w:r>
        <w:t>This paper has three objectives: (1) organise the selected literature into a structured evidence base; (2) synthesise methodological and evaluation trends around CICIoT2023 and related IoT IDS datasets; and (3) position a comparative deep-learning experiment that evaluates DNN, regularised DNN variants, GRU, LSTM, and a Transformer on an eight-class CICIoT2023 task. The goal is not to claim that one architecture is universally superior, but to identify what the existing evidence supports and where further work is needed.</w:t>
      </w:r>
    </w:p>
    <w:p>
      <w:pPr>
        <w:pStyle w:val="Heading1"/>
      </w:pPr>
      <w:r>
        <w:t>2. Review Scope and Method</w:t>
      </w:r>
    </w:p>
    <w:p>
      <w:r>
        <w:t>The supplied literature-review workbook defines a 20-study corpus: eight reviews/surveys, eleven experimental studies, and one benchmark. The author's own experiment is maintained separately and is not counted among the 20 studies. The corpus includes work published or listed between 2024 and 2026, with one undated review. Studies were organised by dataset, method, use of CICIoT2023, ML/ensemble use, DL use, XAI, federated/privacy considerations, adversarial robustness, class imbalance, edge efficiency, benchmarking, and stated limitations.</w:t>
      </w:r>
    </w:p>
    <w:p>
      <w:r>
        <w:t>This is a structured narrative synthesis rather than a new systematic review with independent database screening. The workbook records screening counts for some systematic reviews, but not for the complete corpus. Therefore, claims in this paper are limited to the evidence captured in the workbook. Reported performance values are treated as study-level results under their original experimental settings rather than as directly comparable estimates.</w:t>
      </w:r>
    </w:p>
    <w:p>
      <w:pPr>
        <w:pStyle w:val="Heading2"/>
      </w:pPr>
      <w:r>
        <w:t>2.1 Review questions</w:t>
      </w:r>
    </w:p>
    <w:p>
      <w:r>
        <w:t>• RQ1. Which datasets, especially CICIoT2023, are used for contemporary IoT intrusion detection?</w:t>
      </w:r>
    </w:p>
    <w:p>
      <w:r>
        <w:t>• RQ2. Which ML/DL architectures and hybrid strategies are most frequently investigated?</w:t>
      </w:r>
    </w:p>
    <w:p>
      <w:r>
        <w:t>• RQ3. How do class imbalance, evaluation protocol, and dataset choice affect interpretation of reported performance?</w:t>
      </w:r>
    </w:p>
    <w:p>
      <w:r>
        <w:t>• RQ4. To what extent are explainability, adversarial robustness, privacy, and edge efficiency incorporated?</w:t>
      </w:r>
    </w:p>
    <w:p>
      <w:r>
        <w:t>• RQ5. What research gaps remain relevant to a comparative CICIoT2023 deep-learning study?</w:t>
      </w:r>
    </w:p>
    <w:p>
      <w:pPr>
        <w:pStyle w:val="Heading1"/>
      </w:pPr>
      <w:r>
        <w:t>3. Dataset Landscape</w:t>
      </w:r>
    </w:p>
    <w:p>
      <w:r>
        <w:t>CICIoT2023 is the dominant contemporary dataset in the reviewed corpus. The workbook describes it as containing traffic from 105 IoT devices, 47 features, 33 attack types plus benign traffic (34 classes), and approximately 45.8 million flows in the full dataset. Its scale and attack diversity make it attractive for modern IDS research, but also make experimental design consequential. Several studies use subsets, restricted class sets, or undersampling, meaning that a result labelled CICIoT2023 may represent a different task from another result using the same dataset.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16"/>
              </w:rPr>
              <w:t>Dataset</w:t>
            </w:r>
          </w:p>
        </w:tc>
        <w:tc>
          <w:tcPr>
            <w:tcW w:type="dxa" w:w="3312"/>
            <w:vAlign w:val="center"/>
            <w:shd w:fill="D9EAF7"/>
          </w:tcPr>
          <w:p>
            <w:r/>
            <w:r>
              <w:rPr>
                <w:rFonts w:ascii="Times New Roman" w:hAnsi="Times New Roman"/>
                <w:b/>
                <w:sz w:val="16"/>
              </w:rPr>
              <w:t>Reported characteristics</w:t>
            </w:r>
          </w:p>
        </w:tc>
        <w:tc>
          <w:tcPr>
            <w:tcW w:type="dxa" w:w="3312"/>
            <w:vAlign w:val="center"/>
            <w:shd w:fill="D9EAF7"/>
          </w:tcPr>
          <w:p>
            <w:r/>
            <w:r>
              <w:rPr>
                <w:rFonts w:ascii="Times New Roman" w:hAnsi="Times New Roman"/>
                <w:b/>
                <w:sz w:val="16"/>
              </w:rPr>
              <w:t>Role in corpus</w:t>
            </w:r>
          </w:p>
        </w:tc>
      </w:tr>
      <w:tr>
        <w:tc>
          <w:tcPr>
            <w:tcW w:type="dxa" w:w="3312"/>
            <w:vAlign w:val="center"/>
          </w:tcPr>
          <w:p>
            <w:r/>
            <w:r>
              <w:rPr>
                <w:rFonts w:ascii="Times New Roman" w:hAnsi="Times New Roman"/>
                <w:b w:val="0"/>
                <w:sz w:val="16"/>
              </w:rPr>
              <w:t>CICIoT2023</w:t>
            </w:r>
          </w:p>
        </w:tc>
        <w:tc>
          <w:tcPr>
            <w:tcW w:type="dxa" w:w="3312"/>
            <w:vAlign w:val="center"/>
          </w:tcPr>
          <w:p>
            <w:r/>
            <w:r>
              <w:rPr>
                <w:rFonts w:ascii="Times New Roman" w:hAnsi="Times New Roman"/>
                <w:b w:val="0"/>
                <w:sz w:val="16"/>
              </w:rPr>
              <w:t>105 IoT devices; 47 features; 34 classes including benign; ~45.8M flows</w:t>
            </w:r>
          </w:p>
        </w:tc>
        <w:tc>
          <w:tcPr>
            <w:tcW w:type="dxa" w:w="3312"/>
            <w:vAlign w:val="center"/>
          </w:tcPr>
          <w:p>
            <w:r/>
            <w:r>
              <w:rPr>
                <w:rFonts w:ascii="Times New Roman" w:hAnsi="Times New Roman"/>
                <w:b w:val="0"/>
                <w:sz w:val="16"/>
              </w:rPr>
              <w:t>Primary contemporary IoT IDS dataset</w:t>
            </w:r>
          </w:p>
        </w:tc>
      </w:tr>
      <w:tr>
        <w:tc>
          <w:tcPr>
            <w:tcW w:type="dxa" w:w="3312"/>
            <w:vAlign w:val="center"/>
          </w:tcPr>
          <w:p>
            <w:r/>
            <w:r>
              <w:rPr>
                <w:rFonts w:ascii="Times New Roman" w:hAnsi="Times New Roman"/>
                <w:b w:val="0"/>
                <w:sz w:val="16"/>
              </w:rPr>
              <w:t>KDD-Cup'99</w:t>
            </w:r>
          </w:p>
        </w:tc>
        <w:tc>
          <w:tcPr>
            <w:tcW w:type="dxa" w:w="3312"/>
            <w:vAlign w:val="center"/>
          </w:tcPr>
          <w:p>
            <w:r/>
            <w:r>
              <w:rPr>
                <w:rFonts w:ascii="Times New Roman" w:hAnsi="Times New Roman"/>
                <w:b w:val="0"/>
                <w:sz w:val="16"/>
              </w:rPr>
              <w:t>41 features; ~4.9M records; legacy/synthetic limitations noted</w:t>
            </w:r>
          </w:p>
        </w:tc>
        <w:tc>
          <w:tcPr>
            <w:tcW w:type="dxa" w:w="3312"/>
            <w:vAlign w:val="center"/>
          </w:tcPr>
          <w:p>
            <w:r/>
            <w:r>
              <w:rPr>
                <w:rFonts w:ascii="Times New Roman" w:hAnsi="Times New Roman"/>
                <w:b w:val="0"/>
                <w:sz w:val="16"/>
              </w:rPr>
              <w:t>Legacy comparison dataset</w:t>
            </w:r>
          </w:p>
        </w:tc>
      </w:tr>
      <w:tr>
        <w:tc>
          <w:tcPr>
            <w:tcW w:type="dxa" w:w="3312"/>
            <w:vAlign w:val="center"/>
          </w:tcPr>
          <w:p>
            <w:r/>
            <w:r>
              <w:rPr>
                <w:rFonts w:ascii="Times New Roman" w:hAnsi="Times New Roman"/>
                <w:b w:val="0"/>
                <w:sz w:val="16"/>
              </w:rPr>
              <w:t>NSL-KDD</w:t>
            </w:r>
          </w:p>
        </w:tc>
        <w:tc>
          <w:tcPr>
            <w:tcW w:type="dxa" w:w="3312"/>
            <w:vAlign w:val="center"/>
          </w:tcPr>
          <w:p>
            <w:r/>
            <w:r>
              <w:rPr>
                <w:rFonts w:ascii="Times New Roman" w:hAnsi="Times New Roman"/>
                <w:b w:val="0"/>
                <w:sz w:val="16"/>
              </w:rPr>
              <w:t>148,517 records; 41 features</w:t>
            </w:r>
          </w:p>
        </w:tc>
        <w:tc>
          <w:tcPr>
            <w:tcW w:type="dxa" w:w="3312"/>
            <w:vAlign w:val="center"/>
          </w:tcPr>
          <w:p>
            <w:r/>
            <w:r>
              <w:rPr>
                <w:rFonts w:ascii="Times New Roman" w:hAnsi="Times New Roman"/>
                <w:b w:val="0"/>
                <w:sz w:val="16"/>
              </w:rPr>
              <w:t>Legacy benchmark</w:t>
            </w:r>
          </w:p>
        </w:tc>
      </w:tr>
      <w:tr>
        <w:tc>
          <w:tcPr>
            <w:tcW w:type="dxa" w:w="3312"/>
            <w:vAlign w:val="center"/>
          </w:tcPr>
          <w:p>
            <w:r/>
            <w:r>
              <w:rPr>
                <w:rFonts w:ascii="Times New Roman" w:hAnsi="Times New Roman"/>
                <w:b w:val="0"/>
                <w:sz w:val="16"/>
              </w:rPr>
              <w:t>UNSW-NB15</w:t>
            </w:r>
          </w:p>
        </w:tc>
        <w:tc>
          <w:tcPr>
            <w:tcW w:type="dxa" w:w="3312"/>
            <w:vAlign w:val="center"/>
          </w:tcPr>
          <w:p>
            <w:r/>
            <w:r>
              <w:rPr>
                <w:rFonts w:ascii="Times New Roman" w:hAnsi="Times New Roman"/>
                <w:b w:val="0"/>
                <w:sz w:val="16"/>
              </w:rPr>
              <w:t>257,673 records; 49 features as reported</w:t>
            </w:r>
          </w:p>
        </w:tc>
        <w:tc>
          <w:tcPr>
            <w:tcW w:type="dxa" w:w="3312"/>
            <w:vAlign w:val="center"/>
          </w:tcPr>
          <w:p>
            <w:r/>
            <w:r>
              <w:rPr>
                <w:rFonts w:ascii="Times New Roman" w:hAnsi="Times New Roman"/>
                <w:b w:val="0"/>
                <w:sz w:val="16"/>
              </w:rPr>
              <w:t>Cross-dataset comparison</w:t>
            </w:r>
          </w:p>
        </w:tc>
      </w:tr>
      <w:tr>
        <w:tc>
          <w:tcPr>
            <w:tcW w:type="dxa" w:w="3312"/>
            <w:vAlign w:val="center"/>
          </w:tcPr>
          <w:p>
            <w:r/>
            <w:r>
              <w:rPr>
                <w:rFonts w:ascii="Times New Roman" w:hAnsi="Times New Roman"/>
                <w:b w:val="0"/>
                <w:sz w:val="16"/>
              </w:rPr>
              <w:t>TON_IoT</w:t>
            </w:r>
          </w:p>
        </w:tc>
        <w:tc>
          <w:tcPr>
            <w:tcW w:type="dxa" w:w="3312"/>
            <w:vAlign w:val="center"/>
          </w:tcPr>
          <w:p>
            <w:r/>
            <w:r>
              <w:rPr>
                <w:rFonts w:ascii="Times New Roman" w:hAnsi="Times New Roman"/>
                <w:b w:val="0"/>
                <w:sz w:val="16"/>
              </w:rPr>
              <w:t>Heterogeneous edge/fog/cloud telemetry and network data</w:t>
            </w:r>
          </w:p>
        </w:tc>
        <w:tc>
          <w:tcPr>
            <w:tcW w:type="dxa" w:w="3312"/>
            <w:vAlign w:val="center"/>
          </w:tcPr>
          <w:p>
            <w:r/>
            <w:r>
              <w:rPr>
                <w:rFonts w:ascii="Times New Roman" w:hAnsi="Times New Roman"/>
                <w:b w:val="0"/>
                <w:sz w:val="16"/>
              </w:rPr>
              <w:t>Cross-dataset IoT evaluation</w:t>
            </w:r>
          </w:p>
        </w:tc>
      </w:tr>
    </w:tbl>
    <w:p>
      <w:r>
        <w:t>The literature also shows a transition away from relying exclusively on older datasets. Reviews identify N-BaIoT, Bot-IoT, TON_IoT, Edge-IIoTset, CICIoT2023 and newer datasets as part of the modern landscape [1,5,10,18,19]. This shift is important because IDS models can appear strong on legacy benchmarks while facing different distributions, attack families, and device behaviours in contemporary IoT environments.</w:t>
      </w:r>
    </w:p>
    <w:p>
      <w:pPr>
        <w:pStyle w:val="Heading1"/>
      </w:pPr>
      <w:r>
        <w:t>4. Taxonomy of Approaches</w:t>
      </w:r>
    </w:p>
    <w:p>
      <w:pPr>
        <w:pStyle w:val="Heading2"/>
      </w:pPr>
      <w:r>
        <w:t>4.1 Conventional ML and ensemble methods</w:t>
      </w:r>
    </w:p>
    <w:p>
      <w:r>
        <w:t>Tree-based and ensemble methods remain highly competitive for network-flow features. Hajjouz and Avksentieva [7] combine hierarchical feature selection with CatBoost and report 99.96% accuracy for a 20-class task focused on DoS, DDoS, and Mirai subtypes. Almahaqeri et al. [16] evaluate XGBoost, LightGBM and CatBoost with undersampling and feature selection, reporting 99.61% binary accuracy and reducing features from 46 to 23 with reported latency reductions. Khan et al. [17] use hybrid feature selection, SMOTE and LightGBM for resource-efficient detection, reporting 98.88% on CICIoT2023. These results indicate that deep learning is not automatically superior for tabular network-flow data.</w:t>
      </w:r>
    </w:p>
    <w:p>
      <w:r>
        <w:t>Kwari and Rajkumar [4] provide an especially useful counterpoint: a soft-voting ensemble of logistic regression, random forest and AdaBoost reaches 76.88% accuracy but only 0.54 macro-F1 on a 100,000-sample CICIoT2023 subset without rebalancing. The gap between accuracy and macro-F1 demonstrates how aggregate accuracy can hide poor performance on rare classes.</w:t>
      </w:r>
    </w:p>
    <w:p>
      <w:pPr>
        <w:pStyle w:val="Heading2"/>
      </w:pPr>
      <w:r>
        <w:t>4.2 Deep learning and recurrent models</w:t>
      </w:r>
    </w:p>
    <w:p>
      <w:r>
        <w:t>Deep models are used for direct flow classification and learned feature extraction. Meena and Indian [3] compare an enhanced two-layer LSTM with logistic regression, AdaBoost, DNN and RNN across several datasets and report 98.58% accuracy on a 34-class CICIoT2023 setting. Yaras and Dener [11] combine 1D-CNN and LSTM in PySpark and report 99.995% binary and 99.96% multiclass accuracy on CICIoT2023, alongside 98.75% binary accuracy on TON_IoT. Erskine [9] reports accuracy above 85% with a deep-learning MLP-based real-time IDPS and very high precision for Mirai.</w:t>
      </w:r>
    </w:p>
    <w:p>
      <w:r>
        <w:t>At the same time, the evidence does not establish that recurrent networks consistently dominate. The accompanying experiment records 69.82% accuracy and 0.587 macro-F1 for GRU and 55.24% accuracy and 0.457 macro-F1 for LSTM under its eight-class protocol. This reinforces the need to compare architectures under a common, explicitly documented evaluation design.</w:t>
      </w:r>
    </w:p>
    <w:p>
      <w:pPr>
        <w:pStyle w:val="Heading2"/>
      </w:pPr>
      <w:r>
        <w:t>4.3 Hybrid and attention-based approaches</w:t>
      </w:r>
    </w:p>
    <w:p>
      <w:r>
        <w:t>Hybrid models seek to combine complementary inductive biases. Yaras and Dener [11] combine CNN and LSTM, while Imran et al. [6] compare tree-based models, CNN, LSTM and Transformer with SHAP/LIME. Their LSTM is reported as the strongest model in their selected 18,000-sample, six-class setting, with 96.02% accuracy, 94.69% F1 and ROC-AUC of 0.97. Mishra and Reddy [20] report that XGBoost-based models were strongest in their multi-dataset study, while the planned federated stage was not run.</w:t>
      </w:r>
    </w:p>
    <w:p>
      <w:r>
        <w:t>Transformer approaches are promising but their advantage is not guaranteed for tabular flow data. In the accompanying experiment, the feature-token Transformer achieves 72.53% accuracy and 0.626 macro-F1, below the plain DNN's 75.44% accuracy and 0.635 macro-F1. However, the Transformer records higher macro precision (0.654) and macro recall (0.711) than the DNN (0.640 and 0.703 respectively). Thus, a Transformer can remain scientifically meaningful even when it is not the top model on every metric.</w:t>
      </w:r>
    </w:p>
    <w:p>
      <w:pPr>
        <w:pStyle w:val="Heading1"/>
      </w:pPr>
      <w:r>
        <w:t>5. Evaluation and the Problem of Class Imbalance</w:t>
      </w:r>
    </w:p>
    <w:p>
      <w:r>
        <w:t>Class imbalance is one of the strongest cross-cutting findings in the corpus. Poltoratskyi and Gavrylenko [1], Hozouri et al. [19], Kwari and Rajkumar [4], Almahaqeri et al. [16], and Khan et al. [17] all point toward imbalance or mitigation as a material methodological issue. The CICIoT2023 dataset contains highly uneven traffic distributions, and the workbook specifically notes that rare classes can achieve an F1 of 0.00 without mitigation [4].</w:t>
      </w:r>
    </w:p>
    <w:p>
      <w:r>
        <w:t>This has two consequences. First, accuracy can be inflated by dominant classes. Second, balancing or undersampling changes the learning problem and may reduce correspondence with the natural test distribution. Therefore, a strong protocol should state exactly which distribution is used for training, validation and testing; report macro precision, macro recall and macro-F1; provide per-class results; and, where relevant, include specificity, MCC, AUC-PR or operational metrics.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16"/>
              </w:rPr>
              <w:t>Study / setting</w:t>
            </w:r>
          </w:p>
        </w:tc>
        <w:tc>
          <w:tcPr>
            <w:tcW w:type="dxa" w:w="3312"/>
            <w:vAlign w:val="center"/>
            <w:shd w:fill="D9EAF7"/>
          </w:tcPr>
          <w:p>
            <w:r/>
            <w:r>
              <w:rPr>
                <w:rFonts w:ascii="Times New Roman" w:hAnsi="Times New Roman"/>
                <w:b/>
                <w:sz w:val="16"/>
              </w:rPr>
              <w:t>Reported result</w:t>
            </w:r>
          </w:p>
        </w:tc>
        <w:tc>
          <w:tcPr>
            <w:tcW w:type="dxa" w:w="3312"/>
            <w:vAlign w:val="center"/>
            <w:shd w:fill="D9EAF7"/>
          </w:tcPr>
          <w:p>
            <w:r/>
            <w:r>
              <w:rPr>
                <w:rFonts w:ascii="Times New Roman" w:hAnsi="Times New Roman"/>
                <w:b/>
                <w:sz w:val="16"/>
              </w:rPr>
              <w:t>Interpretive caution</w:t>
            </w:r>
          </w:p>
        </w:tc>
      </w:tr>
      <w:tr>
        <w:tc>
          <w:tcPr>
            <w:tcW w:type="dxa" w:w="3312"/>
            <w:vAlign w:val="center"/>
          </w:tcPr>
          <w:p>
            <w:r/>
            <w:r>
              <w:rPr>
                <w:rFonts w:ascii="Times New Roman" w:hAnsi="Times New Roman"/>
                <w:b w:val="0"/>
                <w:sz w:val="16"/>
              </w:rPr>
              <w:t>Kwari &amp; Rajkumar [4]</w:t>
            </w:r>
          </w:p>
        </w:tc>
        <w:tc>
          <w:tcPr>
            <w:tcW w:type="dxa" w:w="3312"/>
            <w:vAlign w:val="center"/>
          </w:tcPr>
          <w:p>
            <w:r/>
            <w:r>
              <w:rPr>
                <w:rFonts w:ascii="Times New Roman" w:hAnsi="Times New Roman"/>
                <w:b w:val="0"/>
                <w:sz w:val="16"/>
              </w:rPr>
              <w:t>76.88% accuracy; macro-F1 0.54</w:t>
            </w:r>
          </w:p>
        </w:tc>
        <w:tc>
          <w:tcPr>
            <w:tcW w:type="dxa" w:w="3312"/>
            <w:vAlign w:val="center"/>
          </w:tcPr>
          <w:p>
            <w:r/>
            <w:r>
              <w:rPr>
                <w:rFonts w:ascii="Times New Roman" w:hAnsi="Times New Roman"/>
                <w:b w:val="0"/>
                <w:sz w:val="16"/>
              </w:rPr>
              <w:t>Rare classes reached F1 0.00; subset and single split</w:t>
            </w:r>
          </w:p>
        </w:tc>
      </w:tr>
      <w:tr>
        <w:tc>
          <w:tcPr>
            <w:tcW w:type="dxa" w:w="3312"/>
            <w:vAlign w:val="center"/>
          </w:tcPr>
          <w:p>
            <w:r/>
            <w:r>
              <w:rPr>
                <w:rFonts w:ascii="Times New Roman" w:hAnsi="Times New Roman"/>
                <w:b w:val="0"/>
                <w:sz w:val="16"/>
              </w:rPr>
              <w:t>Hajjouz &amp; Avksentieva [7]</w:t>
            </w:r>
          </w:p>
        </w:tc>
        <w:tc>
          <w:tcPr>
            <w:tcW w:type="dxa" w:w="3312"/>
            <w:vAlign w:val="center"/>
          </w:tcPr>
          <w:p>
            <w:r/>
            <w:r>
              <w:rPr>
                <w:rFonts w:ascii="Times New Roman" w:hAnsi="Times New Roman"/>
                <w:b w:val="0"/>
                <w:sz w:val="16"/>
              </w:rPr>
              <w:t>99.96% accuracy</w:t>
            </w:r>
          </w:p>
        </w:tc>
        <w:tc>
          <w:tcPr>
            <w:tcW w:type="dxa" w:w="3312"/>
            <w:vAlign w:val="center"/>
          </w:tcPr>
          <w:p>
            <w:r/>
            <w:r>
              <w:rPr>
                <w:rFonts w:ascii="Times New Roman" w:hAnsi="Times New Roman"/>
                <w:b w:val="0"/>
                <w:sz w:val="16"/>
              </w:rPr>
              <w:t>Restricted attack families; macro-F1 not reported</w:t>
            </w:r>
          </w:p>
        </w:tc>
      </w:tr>
      <w:tr>
        <w:tc>
          <w:tcPr>
            <w:tcW w:type="dxa" w:w="3312"/>
            <w:vAlign w:val="center"/>
          </w:tcPr>
          <w:p>
            <w:r/>
            <w:r>
              <w:rPr>
                <w:rFonts w:ascii="Times New Roman" w:hAnsi="Times New Roman"/>
                <w:b w:val="0"/>
                <w:sz w:val="16"/>
              </w:rPr>
              <w:t>Yaras &amp; Dener [11]</w:t>
            </w:r>
          </w:p>
        </w:tc>
        <w:tc>
          <w:tcPr>
            <w:tcW w:type="dxa" w:w="3312"/>
            <w:vAlign w:val="center"/>
          </w:tcPr>
          <w:p>
            <w:r/>
            <w:r>
              <w:rPr>
                <w:rFonts w:ascii="Times New Roman" w:hAnsi="Times New Roman"/>
                <w:b w:val="0"/>
                <w:sz w:val="16"/>
              </w:rPr>
              <w:t>99.995% binary; 99.96% multiclass</w:t>
            </w:r>
          </w:p>
        </w:tc>
        <w:tc>
          <w:tcPr>
            <w:tcW w:type="dxa" w:w="3312"/>
            <w:vAlign w:val="center"/>
          </w:tcPr>
          <w:p>
            <w:r/>
            <w:r>
              <w:rPr>
                <w:rFonts w:ascii="Times New Roman" w:hAnsi="Times New Roman"/>
                <w:b w:val="0"/>
                <w:sz w:val="16"/>
              </w:rPr>
              <w:t>Balancing not recorded; long training</w:t>
            </w:r>
          </w:p>
        </w:tc>
      </w:tr>
      <w:tr>
        <w:tc>
          <w:tcPr>
            <w:tcW w:type="dxa" w:w="3312"/>
            <w:vAlign w:val="center"/>
          </w:tcPr>
          <w:p>
            <w:r/>
            <w:r>
              <w:rPr>
                <w:rFonts w:ascii="Times New Roman" w:hAnsi="Times New Roman"/>
                <w:b w:val="0"/>
                <w:sz w:val="16"/>
              </w:rPr>
              <w:t>Almahaqeri et al. [16]</w:t>
            </w:r>
          </w:p>
        </w:tc>
        <w:tc>
          <w:tcPr>
            <w:tcW w:type="dxa" w:w="3312"/>
            <w:vAlign w:val="center"/>
          </w:tcPr>
          <w:p>
            <w:r/>
            <w:r>
              <w:rPr>
                <w:rFonts w:ascii="Times New Roman" w:hAnsi="Times New Roman"/>
                <w:b w:val="0"/>
                <w:sz w:val="16"/>
              </w:rPr>
              <w:t>99.61% binary</w:t>
            </w:r>
          </w:p>
        </w:tc>
        <w:tc>
          <w:tcPr>
            <w:tcW w:type="dxa" w:w="3312"/>
            <w:vAlign w:val="center"/>
          </w:tcPr>
          <w:p>
            <w:r/>
            <w:r>
              <w:rPr>
                <w:rFonts w:ascii="Times New Roman" w:hAnsi="Times New Roman"/>
                <w:b w:val="0"/>
                <w:sz w:val="16"/>
              </w:rPr>
              <w:t>Undersampled evaluation; single dataset</w:t>
            </w:r>
          </w:p>
        </w:tc>
      </w:tr>
      <w:tr>
        <w:tc>
          <w:tcPr>
            <w:tcW w:type="dxa" w:w="3312"/>
            <w:vAlign w:val="center"/>
          </w:tcPr>
          <w:p>
            <w:r/>
            <w:r>
              <w:rPr>
                <w:rFonts w:ascii="Times New Roman" w:hAnsi="Times New Roman"/>
                <w:b w:val="0"/>
                <w:sz w:val="16"/>
              </w:rPr>
              <w:t>Present experiment</w:t>
            </w:r>
          </w:p>
        </w:tc>
        <w:tc>
          <w:tcPr>
            <w:tcW w:type="dxa" w:w="3312"/>
            <w:vAlign w:val="center"/>
          </w:tcPr>
          <w:p>
            <w:r/>
            <w:r>
              <w:rPr>
                <w:rFonts w:ascii="Times New Roman" w:hAnsi="Times New Roman"/>
                <w:b w:val="0"/>
                <w:sz w:val="16"/>
              </w:rPr>
              <w:t>DNN 75.44% accuracy; 0.635 macro-F1</w:t>
            </w:r>
          </w:p>
        </w:tc>
        <w:tc>
          <w:tcPr>
            <w:tcW w:type="dxa" w:w="3312"/>
            <w:vAlign w:val="center"/>
          </w:tcPr>
          <w:p>
            <w:r/>
            <w:r>
              <w:rPr>
                <w:rFonts w:ascii="Times New Roman" w:hAnsi="Times New Roman"/>
                <w:b w:val="0"/>
                <w:sz w:val="16"/>
              </w:rPr>
              <w:t>Natural-distribution test set; eight classes</w:t>
            </w:r>
          </w:p>
        </w:tc>
      </w:tr>
    </w:tbl>
    <w:p>
      <w:r>
        <w:t>The contrast illustrates why a literature review should not rank models solely by their highest accuracy. Results must be interpreted together with class scope, sampling, metrics and evaluation protocol.</w:t>
      </w:r>
    </w:p>
    <w:p>
      <w:pPr>
        <w:pStyle w:val="Heading1"/>
      </w:pPr>
      <w:r>
        <w:t>6. Explainability, Robustness, Privacy and Deployment</w:t>
      </w:r>
    </w:p>
    <w:p>
      <w:pPr>
        <w:pStyle w:val="Heading2"/>
      </w:pPr>
      <w:r>
        <w:t>6.1 Explainable AI</w:t>
      </w:r>
    </w:p>
    <w:p>
      <w:r>
        <w:t>Explainability appears in a minority of the reviewed work. Imran et al. [6] use SHAP and LIME and identify flow duration, packet rate and bytes-per-second among influential features. Hajjouz and Avksentieva [7] use SHAP alongside feature selection. However, the workbook identifies quantified explainability as a research gap: explanations are often qualitative and the most important features differ between studies. Future work should therefore evaluate explanation stability and usefulness rather than merely attach SHAP plots to a trained model.</w:t>
      </w:r>
    </w:p>
    <w:p>
      <w:pPr>
        <w:pStyle w:val="Heading2"/>
      </w:pPr>
      <w:r>
        <w:t>6.2 Adversarial robustness</w:t>
      </w:r>
    </w:p>
    <w:p>
      <w:r>
        <w:t>Winanto and Idris [8] provide the clearest systematic evidence on robustness. Their PRISMA review screened 5,890 records, assessed 252 full texts and included 216 studies. FGSM appeared in 76.9% of the reviewed adversarial-attack studies, while adversarial training appeared in 61.6%. CICIoT2023 accounted for less than 5% of that corpus. Ahmed et al. [13] similarly report that only about 4% of reviewed ML-IDS studies test robustness. Robustness is therefore a significant gap rather than a solved property of high-accuracy IDS models.</w:t>
      </w:r>
    </w:p>
    <w:p>
      <w:pPr>
        <w:pStyle w:val="Heading2"/>
      </w:pPr>
      <w:r>
        <w:t>6.3 Federated and privacy-preserving learning</w:t>
      </w:r>
    </w:p>
    <w:p>
      <w:r>
        <w:t>Federated learning is increasingly proposed to address data locality and privacy. Bunko et al. [14] survey privacy-preserving FL for IDS and highlight encryption, differential privacy and secure aggregation, while also noting inference and poisoning risks. Mallidi and Ramisetty [18] discuss centralised, distributed and federated training across cloud, fog and edge environments. Mishra and Reddy [20] propose a federated hybrid DL framework, but the federated stage was not executed in the reported work. The literature therefore supports FL as an important direction but does not justify treating privacy preservation as solved.</w:t>
      </w:r>
    </w:p>
    <w:p>
      <w:pPr>
        <w:pStyle w:val="Heading2"/>
      </w:pPr>
      <w:r>
        <w:t>6.4 Edge efficiency and real-time deployment</w:t>
      </w:r>
    </w:p>
    <w:p>
      <w:r>
        <w:t>Resource constraints matter because many IoT devices and gateways cannot support large models or high inference costs. Hajjouz and Avksentieva [7] report very low per-flow processing time, while Almahaqeri et al. [16] and Khan et al. [17] explicitly address feature reduction and resource efficiency. Reviews [1,18] also identify scalability and deployment architecture as open issues. Training time is relevant in the accompanying experiment: the Transformer requires substantially more training time than the DNN, showing that predictive performance and computational cost must be considered jointly.</w:t>
      </w:r>
    </w:p>
    <w:p>
      <w:pPr>
        <w:pStyle w:val="Heading1"/>
      </w:pPr>
      <w:r>
        <w:t>7. Comparative Synthesis of the 20-Study Corpus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Times New Roman" w:hAnsi="Times New Roman"/>
                <w:b/>
                <w:sz w:val="14"/>
              </w:rPr>
              <w:t>ID</w:t>
            </w:r>
          </w:p>
        </w:tc>
        <w:tc>
          <w:tcPr>
            <w:tcW w:type="dxa" w:w="1987"/>
            <w:vAlign w:val="center"/>
            <w:shd w:fill="D9EAF7"/>
          </w:tcPr>
          <w:p>
            <w:r/>
            <w:r>
              <w:rPr>
                <w:rFonts w:ascii="Times New Roman" w:hAnsi="Times New Roman"/>
                <w:b/>
                <w:sz w:val="14"/>
              </w:rPr>
              <w:t>Study</w:t>
            </w:r>
          </w:p>
        </w:tc>
        <w:tc>
          <w:tcPr>
            <w:tcW w:type="dxa" w:w="1987"/>
            <w:vAlign w:val="center"/>
            <w:shd w:fill="D9EAF7"/>
          </w:tcPr>
          <w:p>
            <w:r/>
            <w:r>
              <w:rPr>
                <w:rFonts w:ascii="Times New Roman" w:hAnsi="Times New Roman"/>
                <w:b/>
                <w:sz w:val="14"/>
              </w:rPr>
              <w:t>Type</w:t>
            </w:r>
          </w:p>
        </w:tc>
        <w:tc>
          <w:tcPr>
            <w:tcW w:type="dxa" w:w="1987"/>
            <w:vAlign w:val="center"/>
            <w:shd w:fill="D9EAF7"/>
          </w:tcPr>
          <w:p>
            <w:r/>
            <w:r>
              <w:rPr>
                <w:rFonts w:ascii="Times New Roman" w:hAnsi="Times New Roman"/>
                <w:b/>
                <w:sz w:val="14"/>
              </w:rPr>
              <w:t>CICIoT2023</w:t>
            </w:r>
          </w:p>
        </w:tc>
        <w:tc>
          <w:tcPr>
            <w:tcW w:type="dxa" w:w="1987"/>
            <w:vAlign w:val="center"/>
            <w:shd w:fill="D9EAF7"/>
          </w:tcPr>
          <w:p>
            <w:r/>
            <w:r>
              <w:rPr>
                <w:rFonts w:ascii="Times New Roman" w:hAnsi="Times New Roman"/>
                <w:b/>
                <w:sz w:val="14"/>
              </w:rPr>
              <w:t>Key finding</w:t>
            </w:r>
          </w:p>
        </w:tc>
      </w:tr>
      <w:tr>
        <w:tc>
          <w:tcPr>
            <w:tcW w:type="dxa" w:w="1987"/>
            <w:vAlign w:val="center"/>
          </w:tcPr>
          <w:p>
            <w:r/>
            <w:r>
              <w:rPr>
                <w:rFonts w:ascii="Times New Roman" w:hAnsi="Times New Roman"/>
                <w:b w:val="0"/>
                <w:sz w:val="14"/>
              </w:rPr>
              <w:t>1</w:t>
            </w:r>
          </w:p>
        </w:tc>
        <w:tc>
          <w:tcPr>
            <w:tcW w:type="dxa" w:w="1987"/>
            <w:vAlign w:val="center"/>
          </w:tcPr>
          <w:p>
            <w:r/>
            <w:r>
              <w:rPr>
                <w:rFonts w:ascii="Times New Roman" w:hAnsi="Times New Roman"/>
                <w:b w:val="0"/>
                <w:sz w:val="14"/>
              </w:rPr>
              <w:t>Poltoratskyi &amp; Gavrylenko (2026)</w:t>
            </w:r>
          </w:p>
        </w:tc>
        <w:tc>
          <w:tcPr>
            <w:tcW w:type="dxa" w:w="1987"/>
            <w:vAlign w:val="center"/>
          </w:tcPr>
          <w:p>
            <w:r/>
            <w:r>
              <w:rPr>
                <w:rFonts w:ascii="Times New Roman" w:hAnsi="Times New Roman"/>
                <w:b w:val="0"/>
                <w:sz w:val="14"/>
              </w:rPr>
              <w:t>Review</w:t>
            </w:r>
          </w:p>
        </w:tc>
        <w:tc>
          <w:tcPr>
            <w:tcW w:type="dxa" w:w="1987"/>
            <w:vAlign w:val="center"/>
          </w:tcPr>
          <w:p>
            <w:r/>
            <w:r>
              <w:rPr>
                <w:rFonts w:ascii="Times New Roman" w:hAnsi="Times New Roman"/>
                <w:b w:val="0"/>
                <w:sz w:val="14"/>
              </w:rPr>
              <w:t>Discussed</w:t>
            </w:r>
          </w:p>
        </w:tc>
        <w:tc>
          <w:tcPr>
            <w:tcW w:type="dxa" w:w="1987"/>
            <w:vAlign w:val="center"/>
          </w:tcPr>
          <w:p>
            <w:r/>
            <w:r>
              <w:rPr>
                <w:rFonts w:ascii="Times New Roman" w:hAnsi="Times New Roman"/>
                <w:b w:val="0"/>
                <w:sz w:val="14"/>
              </w:rPr>
              <w:t>Benchmarks exceed 98% but imbalance, zero-day detection, scalability and privacy unresolved; recommends MCC, F1, AUC-PR and operational metrics</w:t>
            </w:r>
          </w:p>
        </w:tc>
      </w:tr>
      <w:tr>
        <w:tc>
          <w:tcPr>
            <w:tcW w:type="dxa" w:w="1987"/>
            <w:vAlign w:val="center"/>
          </w:tcPr>
          <w:p>
            <w:r/>
            <w:r>
              <w:rPr>
                <w:rFonts w:ascii="Times New Roman" w:hAnsi="Times New Roman"/>
                <w:b w:val="0"/>
                <w:sz w:val="14"/>
              </w:rPr>
              <w:t>2</w:t>
            </w:r>
          </w:p>
        </w:tc>
        <w:tc>
          <w:tcPr>
            <w:tcW w:type="dxa" w:w="1987"/>
            <w:vAlign w:val="center"/>
          </w:tcPr>
          <w:p>
            <w:r/>
            <w:r>
              <w:rPr>
                <w:rFonts w:ascii="Times New Roman" w:hAnsi="Times New Roman"/>
                <w:b w:val="0"/>
                <w:sz w:val="14"/>
              </w:rPr>
              <w:t>Rivandi &amp; Oskouei (2025)</w:t>
            </w:r>
          </w:p>
        </w:tc>
        <w:tc>
          <w:tcPr>
            <w:tcW w:type="dxa" w:w="1987"/>
            <w:vAlign w:val="center"/>
          </w:tcPr>
          <w:p>
            <w:r/>
            <w:r>
              <w:rPr>
                <w:rFonts w:ascii="Times New Roman" w:hAnsi="Times New Roman"/>
                <w:b w:val="0"/>
                <w:sz w:val="14"/>
              </w:rPr>
              <w:t>Experimental</w:t>
            </w:r>
          </w:p>
        </w:tc>
        <w:tc>
          <w:tcPr>
            <w:tcW w:type="dxa" w:w="1987"/>
            <w:vAlign w:val="center"/>
          </w:tcPr>
          <w:p>
            <w:r/>
            <w:r>
              <w:rPr>
                <w:rFonts w:ascii="Times New Roman" w:hAnsi="Times New Roman"/>
                <w:b w:val="0"/>
                <w:sz w:val="14"/>
              </w:rPr>
              <w:t>No</w:t>
            </w:r>
          </w:p>
        </w:tc>
        <w:tc>
          <w:tcPr>
            <w:tcW w:type="dxa" w:w="1987"/>
            <w:vAlign w:val="center"/>
          </w:tcPr>
          <w:p>
            <w:r/>
            <w:r>
              <w:rPr>
                <w:rFonts w:ascii="Times New Roman" w:hAnsi="Times New Roman"/>
                <w:b w:val="0"/>
                <w:sz w:val="14"/>
              </w:rPr>
              <w:t>Single-node detection 99.8-99.9%; detection delay 0.424 s vs 1.051 s for Apriori-based IDS</w:t>
            </w:r>
          </w:p>
        </w:tc>
      </w:tr>
      <w:tr>
        <w:tc>
          <w:tcPr>
            <w:tcW w:type="dxa" w:w="1987"/>
            <w:vAlign w:val="center"/>
          </w:tcPr>
          <w:p>
            <w:r/>
            <w:r>
              <w:rPr>
                <w:rFonts w:ascii="Times New Roman" w:hAnsi="Times New Roman"/>
                <w:b w:val="0"/>
                <w:sz w:val="14"/>
              </w:rPr>
              <w:t>3</w:t>
            </w:r>
          </w:p>
        </w:tc>
        <w:tc>
          <w:tcPr>
            <w:tcW w:type="dxa" w:w="1987"/>
            <w:vAlign w:val="center"/>
          </w:tcPr>
          <w:p>
            <w:r/>
            <w:r>
              <w:rPr>
                <w:rFonts w:ascii="Times New Roman" w:hAnsi="Times New Roman"/>
                <w:b w:val="0"/>
                <w:sz w:val="14"/>
              </w:rPr>
              <w:t>Meena &amp; Indian (2025)</w:t>
            </w:r>
          </w:p>
        </w:tc>
        <w:tc>
          <w:tcPr>
            <w:tcW w:type="dxa" w:w="1987"/>
            <w:vAlign w:val="center"/>
          </w:tcPr>
          <w:p>
            <w:r/>
            <w:r>
              <w:rPr>
                <w:rFonts w:ascii="Times New Roman" w:hAnsi="Times New Roman"/>
                <w:b w:val="0"/>
                <w:sz w:val="14"/>
              </w:rPr>
              <w:t>Experimental</w:t>
            </w:r>
          </w:p>
        </w:tc>
        <w:tc>
          <w:tcPr>
            <w:tcW w:type="dxa" w:w="1987"/>
            <w:vAlign w:val="center"/>
          </w:tcPr>
          <w:p>
            <w:r/>
            <w:r>
              <w:rPr>
                <w:rFonts w:ascii="Times New Roman" w:hAnsi="Times New Roman"/>
                <w:b w:val="0"/>
                <w:sz w:val="14"/>
              </w:rPr>
              <w:t>Yes</w:t>
            </w:r>
          </w:p>
        </w:tc>
        <w:tc>
          <w:tcPr>
            <w:tcW w:type="dxa" w:w="1987"/>
            <w:vAlign w:val="center"/>
          </w:tcPr>
          <w:p>
            <w:r/>
            <w:r>
              <w:rPr>
                <w:rFonts w:ascii="Times New Roman" w:hAnsi="Times New Roman"/>
                <w:b w:val="0"/>
                <w:sz w:val="14"/>
              </w:rPr>
              <w:t>98.58% accuracy on CICIoT2023 (34 classes)</w:t>
            </w:r>
          </w:p>
        </w:tc>
      </w:tr>
      <w:tr>
        <w:tc>
          <w:tcPr>
            <w:tcW w:type="dxa" w:w="1987"/>
            <w:vAlign w:val="center"/>
          </w:tcPr>
          <w:p>
            <w:r/>
            <w:r>
              <w:rPr>
                <w:rFonts w:ascii="Times New Roman" w:hAnsi="Times New Roman"/>
                <w:b w:val="0"/>
                <w:sz w:val="14"/>
              </w:rPr>
              <w:t>4</w:t>
            </w:r>
          </w:p>
        </w:tc>
        <w:tc>
          <w:tcPr>
            <w:tcW w:type="dxa" w:w="1987"/>
            <w:vAlign w:val="center"/>
          </w:tcPr>
          <w:p>
            <w:r/>
            <w:r>
              <w:rPr>
                <w:rFonts w:ascii="Times New Roman" w:hAnsi="Times New Roman"/>
                <w:b w:val="0"/>
                <w:sz w:val="14"/>
              </w:rPr>
              <w:t>Kwari &amp; Rajkumar (2025)</w:t>
            </w:r>
          </w:p>
        </w:tc>
        <w:tc>
          <w:tcPr>
            <w:tcW w:type="dxa" w:w="1987"/>
            <w:vAlign w:val="center"/>
          </w:tcPr>
          <w:p>
            <w:r/>
            <w:r>
              <w:rPr>
                <w:rFonts w:ascii="Times New Roman" w:hAnsi="Times New Roman"/>
                <w:b w:val="0"/>
                <w:sz w:val="14"/>
              </w:rPr>
              <w:t>Experimental</w:t>
            </w:r>
          </w:p>
        </w:tc>
        <w:tc>
          <w:tcPr>
            <w:tcW w:type="dxa" w:w="1987"/>
            <w:vAlign w:val="center"/>
          </w:tcPr>
          <w:p>
            <w:r/>
            <w:r>
              <w:rPr>
                <w:rFonts w:ascii="Times New Roman" w:hAnsi="Times New Roman"/>
                <w:b w:val="0"/>
                <w:sz w:val="14"/>
              </w:rPr>
              <w:t>Yes</w:t>
            </w:r>
          </w:p>
        </w:tc>
        <w:tc>
          <w:tcPr>
            <w:tcW w:type="dxa" w:w="1987"/>
            <w:vAlign w:val="center"/>
          </w:tcPr>
          <w:p>
            <w:r/>
            <w:r>
              <w:rPr>
                <w:rFonts w:ascii="Times New Roman" w:hAnsi="Times New Roman"/>
                <w:b w:val="0"/>
                <w:sz w:val="14"/>
              </w:rPr>
              <w:t>76.88% accuracy; macro-F1 0.54; rare classes F1 0.00</w:t>
            </w:r>
          </w:p>
        </w:tc>
      </w:tr>
      <w:tr>
        <w:tc>
          <w:tcPr>
            <w:tcW w:type="dxa" w:w="1987"/>
            <w:vAlign w:val="center"/>
          </w:tcPr>
          <w:p>
            <w:r/>
            <w:r>
              <w:rPr>
                <w:rFonts w:ascii="Times New Roman" w:hAnsi="Times New Roman"/>
                <w:b w:val="0"/>
                <w:sz w:val="14"/>
              </w:rPr>
              <w:t>5</w:t>
            </w:r>
          </w:p>
        </w:tc>
        <w:tc>
          <w:tcPr>
            <w:tcW w:type="dxa" w:w="1987"/>
            <w:vAlign w:val="center"/>
          </w:tcPr>
          <w:p>
            <w:r/>
            <w:r>
              <w:rPr>
                <w:rFonts w:ascii="Times New Roman" w:hAnsi="Times New Roman"/>
                <w:b w:val="0"/>
                <w:sz w:val="14"/>
              </w:rPr>
              <w:t>Salakhutdinov (n.d.)</w:t>
            </w:r>
          </w:p>
        </w:tc>
        <w:tc>
          <w:tcPr>
            <w:tcW w:type="dxa" w:w="1987"/>
            <w:vAlign w:val="center"/>
          </w:tcPr>
          <w:p>
            <w:r/>
            <w:r>
              <w:rPr>
                <w:rFonts w:ascii="Times New Roman" w:hAnsi="Times New Roman"/>
                <w:b w:val="0"/>
                <w:sz w:val="14"/>
              </w:rPr>
              <w:t>Review</w:t>
            </w:r>
          </w:p>
        </w:tc>
        <w:tc>
          <w:tcPr>
            <w:tcW w:type="dxa" w:w="1987"/>
            <w:vAlign w:val="center"/>
          </w:tcPr>
          <w:p>
            <w:r/>
            <w:r>
              <w:rPr>
                <w:rFonts w:ascii="Times New Roman" w:hAnsi="Times New Roman"/>
                <w:b w:val="0"/>
                <w:sz w:val="14"/>
              </w:rPr>
              <w:t>Discussed</w:t>
            </w:r>
          </w:p>
        </w:tc>
        <w:tc>
          <w:tcPr>
            <w:tcW w:type="dxa" w:w="1987"/>
            <w:vAlign w:val="center"/>
          </w:tcPr>
          <w:p>
            <w:r/>
            <w:r>
              <w:rPr>
                <w:rFonts w:ascii="Times New Roman" w:hAnsi="Times New Roman"/>
                <w:b w:val="0"/>
                <w:sz w:val="14"/>
              </w:rPr>
              <w:t>Separates anomaly detection from intrusion classification; stresses drift, explainability, defense in depth</w:t>
            </w:r>
          </w:p>
        </w:tc>
      </w:tr>
      <w:tr>
        <w:tc>
          <w:tcPr>
            <w:tcW w:type="dxa" w:w="1987"/>
            <w:vAlign w:val="center"/>
          </w:tcPr>
          <w:p>
            <w:r/>
            <w:r>
              <w:rPr>
                <w:rFonts w:ascii="Times New Roman" w:hAnsi="Times New Roman"/>
                <w:b w:val="0"/>
                <w:sz w:val="14"/>
              </w:rPr>
              <w:t>6</w:t>
            </w:r>
          </w:p>
        </w:tc>
        <w:tc>
          <w:tcPr>
            <w:tcW w:type="dxa" w:w="1987"/>
            <w:vAlign w:val="center"/>
          </w:tcPr>
          <w:p>
            <w:r/>
            <w:r>
              <w:rPr>
                <w:rFonts w:ascii="Times New Roman" w:hAnsi="Times New Roman"/>
                <w:b w:val="0"/>
                <w:sz w:val="14"/>
              </w:rPr>
              <w:t>Imran et al. (2026)</w:t>
            </w:r>
          </w:p>
        </w:tc>
        <w:tc>
          <w:tcPr>
            <w:tcW w:type="dxa" w:w="1987"/>
            <w:vAlign w:val="center"/>
          </w:tcPr>
          <w:p>
            <w:r/>
            <w:r>
              <w:rPr>
                <w:rFonts w:ascii="Times New Roman" w:hAnsi="Times New Roman"/>
                <w:b w:val="0"/>
                <w:sz w:val="14"/>
              </w:rPr>
              <w:t>Experimental</w:t>
            </w:r>
          </w:p>
        </w:tc>
        <w:tc>
          <w:tcPr>
            <w:tcW w:type="dxa" w:w="1987"/>
            <w:vAlign w:val="center"/>
          </w:tcPr>
          <w:p>
            <w:r/>
            <w:r>
              <w:rPr>
                <w:rFonts w:ascii="Times New Roman" w:hAnsi="Times New Roman"/>
                <w:b w:val="0"/>
                <w:sz w:val="14"/>
              </w:rPr>
              <w:t>Yes</w:t>
            </w:r>
          </w:p>
        </w:tc>
        <w:tc>
          <w:tcPr>
            <w:tcW w:type="dxa" w:w="1987"/>
            <w:vAlign w:val="center"/>
          </w:tcPr>
          <w:p>
            <w:r/>
            <w:r>
              <w:rPr>
                <w:rFonts w:ascii="Times New Roman" w:hAnsi="Times New Roman"/>
                <w:b w:val="0"/>
                <w:sz w:val="14"/>
              </w:rPr>
              <w:t>LSTM best: 96.02% accuracy, F1 94.69%, ROC-AUC 0.97; SHAP/LIME highlight flow duration, packet rate, bytes/s</w:t>
            </w:r>
          </w:p>
        </w:tc>
      </w:tr>
      <w:tr>
        <w:tc>
          <w:tcPr>
            <w:tcW w:type="dxa" w:w="1987"/>
            <w:vAlign w:val="center"/>
          </w:tcPr>
          <w:p>
            <w:r/>
            <w:r>
              <w:rPr>
                <w:rFonts w:ascii="Times New Roman" w:hAnsi="Times New Roman"/>
                <w:b w:val="0"/>
                <w:sz w:val="14"/>
              </w:rPr>
              <w:t>7</w:t>
            </w:r>
          </w:p>
        </w:tc>
        <w:tc>
          <w:tcPr>
            <w:tcW w:type="dxa" w:w="1987"/>
            <w:vAlign w:val="center"/>
          </w:tcPr>
          <w:p>
            <w:r/>
            <w:r>
              <w:rPr>
                <w:rFonts w:ascii="Times New Roman" w:hAnsi="Times New Roman"/>
                <w:b w:val="0"/>
                <w:sz w:val="14"/>
              </w:rPr>
              <w:t>Hajjouz &amp; Avksentieva (2024)</w:t>
            </w:r>
          </w:p>
        </w:tc>
        <w:tc>
          <w:tcPr>
            <w:tcW w:type="dxa" w:w="1987"/>
            <w:vAlign w:val="center"/>
          </w:tcPr>
          <w:p>
            <w:r/>
            <w:r>
              <w:rPr>
                <w:rFonts w:ascii="Times New Roman" w:hAnsi="Times New Roman"/>
                <w:b w:val="0"/>
                <w:sz w:val="14"/>
              </w:rPr>
              <w:t>Experimental</w:t>
            </w:r>
          </w:p>
        </w:tc>
        <w:tc>
          <w:tcPr>
            <w:tcW w:type="dxa" w:w="1987"/>
            <w:vAlign w:val="center"/>
          </w:tcPr>
          <w:p>
            <w:r/>
            <w:r>
              <w:rPr>
                <w:rFonts w:ascii="Times New Roman" w:hAnsi="Times New Roman"/>
                <w:b w:val="0"/>
                <w:sz w:val="14"/>
              </w:rPr>
              <w:t>Yes</w:t>
            </w:r>
          </w:p>
        </w:tc>
        <w:tc>
          <w:tcPr>
            <w:tcW w:type="dxa" w:w="1987"/>
            <w:vAlign w:val="center"/>
          </w:tcPr>
          <w:p>
            <w:r/>
            <w:r>
              <w:rPr>
                <w:rFonts w:ascii="Times New Roman" w:hAnsi="Times New Roman"/>
                <w:b w:val="0"/>
                <w:sz w:val="14"/>
              </w:rPr>
              <w:t>99.96% on 20 classes; 7.16e-07 s per flow</w:t>
            </w:r>
          </w:p>
        </w:tc>
      </w:tr>
      <w:tr>
        <w:tc>
          <w:tcPr>
            <w:tcW w:type="dxa" w:w="1987"/>
            <w:vAlign w:val="center"/>
          </w:tcPr>
          <w:p>
            <w:r/>
            <w:r>
              <w:rPr>
                <w:rFonts w:ascii="Times New Roman" w:hAnsi="Times New Roman"/>
                <w:b w:val="0"/>
                <w:sz w:val="14"/>
              </w:rPr>
              <w:t>8</w:t>
            </w:r>
          </w:p>
        </w:tc>
        <w:tc>
          <w:tcPr>
            <w:tcW w:type="dxa" w:w="1987"/>
            <w:vAlign w:val="center"/>
          </w:tcPr>
          <w:p>
            <w:r/>
            <w:r>
              <w:rPr>
                <w:rFonts w:ascii="Times New Roman" w:hAnsi="Times New Roman"/>
                <w:b w:val="0"/>
                <w:sz w:val="14"/>
              </w:rPr>
              <w:t>Winanto &amp; Idris (2026)</w:t>
            </w:r>
          </w:p>
        </w:tc>
        <w:tc>
          <w:tcPr>
            <w:tcW w:type="dxa" w:w="1987"/>
            <w:vAlign w:val="center"/>
          </w:tcPr>
          <w:p>
            <w:r/>
            <w:r>
              <w:rPr>
                <w:rFonts w:ascii="Times New Roman" w:hAnsi="Times New Roman"/>
                <w:b w:val="0"/>
                <w:sz w:val="14"/>
              </w:rPr>
              <w:t>Systematic review</w:t>
            </w:r>
          </w:p>
        </w:tc>
        <w:tc>
          <w:tcPr>
            <w:tcW w:type="dxa" w:w="1987"/>
            <w:vAlign w:val="center"/>
          </w:tcPr>
          <w:p>
            <w:r/>
            <w:r>
              <w:rPr>
                <w:rFonts w:ascii="Times New Roman" w:hAnsi="Times New Roman"/>
                <w:b w:val="0"/>
                <w:sz w:val="14"/>
              </w:rPr>
              <w:t>Discussed</w:t>
            </w:r>
          </w:p>
        </w:tc>
        <w:tc>
          <w:tcPr>
            <w:tcW w:type="dxa" w:w="1987"/>
            <w:vAlign w:val="center"/>
          </w:tcPr>
          <w:p>
            <w:r/>
            <w:r>
              <w:rPr>
                <w:rFonts w:ascii="Times New Roman" w:hAnsi="Times New Roman"/>
                <w:b w:val="0"/>
                <w:sz w:val="14"/>
              </w:rPr>
              <w:t>FGSM in 76.9% of studies; adversarial training 61.6%; CICIoT2023 under 5% of corpus</w:t>
            </w:r>
          </w:p>
        </w:tc>
      </w:tr>
      <w:tr>
        <w:tc>
          <w:tcPr>
            <w:tcW w:type="dxa" w:w="1987"/>
            <w:vAlign w:val="center"/>
          </w:tcPr>
          <w:p>
            <w:r/>
            <w:r>
              <w:rPr>
                <w:rFonts w:ascii="Times New Roman" w:hAnsi="Times New Roman"/>
                <w:b w:val="0"/>
                <w:sz w:val="14"/>
              </w:rPr>
              <w:t>9</w:t>
            </w:r>
          </w:p>
        </w:tc>
        <w:tc>
          <w:tcPr>
            <w:tcW w:type="dxa" w:w="1987"/>
            <w:vAlign w:val="center"/>
          </w:tcPr>
          <w:p>
            <w:r/>
            <w:r>
              <w:rPr>
                <w:rFonts w:ascii="Times New Roman" w:hAnsi="Times New Roman"/>
                <w:b w:val="0"/>
                <w:sz w:val="14"/>
              </w:rPr>
              <w:t>Erskine (2025)</w:t>
            </w:r>
          </w:p>
        </w:tc>
        <w:tc>
          <w:tcPr>
            <w:tcW w:type="dxa" w:w="1987"/>
            <w:vAlign w:val="center"/>
          </w:tcPr>
          <w:p>
            <w:r/>
            <w:r>
              <w:rPr>
                <w:rFonts w:ascii="Times New Roman" w:hAnsi="Times New Roman"/>
                <w:b w:val="0"/>
                <w:sz w:val="14"/>
              </w:rPr>
              <w:t>Experimental</w:t>
            </w:r>
          </w:p>
        </w:tc>
        <w:tc>
          <w:tcPr>
            <w:tcW w:type="dxa" w:w="1987"/>
            <w:vAlign w:val="center"/>
          </w:tcPr>
          <w:p>
            <w:r/>
            <w:r>
              <w:rPr>
                <w:rFonts w:ascii="Times New Roman" w:hAnsi="Times New Roman"/>
                <w:b w:val="0"/>
                <w:sz w:val="14"/>
              </w:rPr>
              <w:t>Yes</w:t>
            </w:r>
          </w:p>
        </w:tc>
        <w:tc>
          <w:tcPr>
            <w:tcW w:type="dxa" w:w="1987"/>
            <w:vAlign w:val="center"/>
          </w:tcPr>
          <w:p>
            <w:r/>
            <w:r>
              <w:rPr>
                <w:rFonts w:ascii="Times New Roman" w:hAnsi="Times New Roman"/>
                <w:b w:val="0"/>
                <w:sz w:val="14"/>
              </w:rPr>
              <w:t>Accuracy above 85%; 99% precision on Mirai</w:t>
            </w:r>
          </w:p>
        </w:tc>
      </w:tr>
      <w:tr>
        <w:tc>
          <w:tcPr>
            <w:tcW w:type="dxa" w:w="1987"/>
            <w:vAlign w:val="center"/>
          </w:tcPr>
          <w:p>
            <w:r/>
            <w:r>
              <w:rPr>
                <w:rFonts w:ascii="Times New Roman" w:hAnsi="Times New Roman"/>
                <w:b w:val="0"/>
                <w:sz w:val="14"/>
              </w:rPr>
              <w:t>10</w:t>
            </w:r>
          </w:p>
        </w:tc>
        <w:tc>
          <w:tcPr>
            <w:tcW w:type="dxa" w:w="1987"/>
            <w:vAlign w:val="center"/>
          </w:tcPr>
          <w:p>
            <w:r/>
            <w:r>
              <w:rPr>
                <w:rFonts w:ascii="Times New Roman" w:hAnsi="Times New Roman"/>
                <w:b w:val="0"/>
                <w:sz w:val="14"/>
              </w:rPr>
              <w:t>Diana et al. (2025)</w:t>
            </w:r>
          </w:p>
        </w:tc>
        <w:tc>
          <w:tcPr>
            <w:tcW w:type="dxa" w:w="1987"/>
            <w:vAlign w:val="center"/>
          </w:tcPr>
          <w:p>
            <w:r/>
            <w:r>
              <w:rPr>
                <w:rFonts w:ascii="Times New Roman" w:hAnsi="Times New Roman"/>
                <w:b w:val="0"/>
                <w:sz w:val="14"/>
              </w:rPr>
              <w:t>Review</w:t>
            </w:r>
          </w:p>
        </w:tc>
        <w:tc>
          <w:tcPr>
            <w:tcW w:type="dxa" w:w="1987"/>
            <w:vAlign w:val="center"/>
          </w:tcPr>
          <w:p>
            <w:r/>
            <w:r>
              <w:rPr>
                <w:rFonts w:ascii="Times New Roman" w:hAnsi="Times New Roman"/>
                <w:b w:val="0"/>
                <w:sz w:val="14"/>
              </w:rPr>
              <w:t>No</w:t>
            </w:r>
          </w:p>
        </w:tc>
        <w:tc>
          <w:tcPr>
            <w:tcW w:type="dxa" w:w="1987"/>
            <w:vAlign w:val="center"/>
          </w:tcPr>
          <w:p>
            <w:r/>
            <w:r>
              <w:rPr>
                <w:rFonts w:ascii="Times New Roman" w:hAnsi="Times New Roman"/>
                <w:b w:val="0"/>
                <w:sz w:val="14"/>
              </w:rPr>
              <w:t>Scalability and false positives/negatives remain open</w:t>
            </w:r>
          </w:p>
        </w:tc>
      </w:tr>
      <w:tr>
        <w:tc>
          <w:tcPr>
            <w:tcW w:type="dxa" w:w="1987"/>
            <w:vAlign w:val="center"/>
          </w:tcPr>
          <w:p>
            <w:r/>
            <w:r>
              <w:rPr>
                <w:rFonts w:ascii="Times New Roman" w:hAnsi="Times New Roman"/>
                <w:b w:val="0"/>
                <w:sz w:val="14"/>
              </w:rPr>
              <w:t>11</w:t>
            </w:r>
          </w:p>
        </w:tc>
        <w:tc>
          <w:tcPr>
            <w:tcW w:type="dxa" w:w="1987"/>
            <w:vAlign w:val="center"/>
          </w:tcPr>
          <w:p>
            <w:r/>
            <w:r>
              <w:rPr>
                <w:rFonts w:ascii="Times New Roman" w:hAnsi="Times New Roman"/>
                <w:b w:val="0"/>
                <w:sz w:val="14"/>
              </w:rPr>
              <w:t>Yaras &amp; Dener (2024)</w:t>
            </w:r>
          </w:p>
        </w:tc>
        <w:tc>
          <w:tcPr>
            <w:tcW w:type="dxa" w:w="1987"/>
            <w:vAlign w:val="center"/>
          </w:tcPr>
          <w:p>
            <w:r/>
            <w:r>
              <w:rPr>
                <w:rFonts w:ascii="Times New Roman" w:hAnsi="Times New Roman"/>
                <w:b w:val="0"/>
                <w:sz w:val="14"/>
              </w:rPr>
              <w:t>Experimental</w:t>
            </w:r>
          </w:p>
        </w:tc>
        <w:tc>
          <w:tcPr>
            <w:tcW w:type="dxa" w:w="1987"/>
            <w:vAlign w:val="center"/>
          </w:tcPr>
          <w:p>
            <w:r/>
            <w:r>
              <w:rPr>
                <w:rFonts w:ascii="Times New Roman" w:hAnsi="Times New Roman"/>
                <w:b w:val="0"/>
                <w:sz w:val="14"/>
              </w:rPr>
              <w:t>Yes</w:t>
            </w:r>
          </w:p>
        </w:tc>
        <w:tc>
          <w:tcPr>
            <w:tcW w:type="dxa" w:w="1987"/>
            <w:vAlign w:val="center"/>
          </w:tcPr>
          <w:p>
            <w:r/>
            <w:r>
              <w:rPr>
                <w:rFonts w:ascii="Times New Roman" w:hAnsi="Times New Roman"/>
                <w:b w:val="0"/>
                <w:sz w:val="14"/>
              </w:rPr>
              <w:t>99.995% binary and 99.96% multiclass on CICIoT2023; 98.75% binary on TON_IoT</w:t>
            </w:r>
          </w:p>
        </w:tc>
      </w:tr>
      <w:tr>
        <w:tc>
          <w:tcPr>
            <w:tcW w:type="dxa" w:w="1987"/>
            <w:vAlign w:val="center"/>
          </w:tcPr>
          <w:p>
            <w:r/>
            <w:r>
              <w:rPr>
                <w:rFonts w:ascii="Times New Roman" w:hAnsi="Times New Roman"/>
                <w:b w:val="0"/>
                <w:sz w:val="14"/>
              </w:rPr>
              <w:t>12</w:t>
            </w:r>
          </w:p>
        </w:tc>
        <w:tc>
          <w:tcPr>
            <w:tcW w:type="dxa" w:w="1987"/>
            <w:vAlign w:val="center"/>
          </w:tcPr>
          <w:p>
            <w:r/>
            <w:r>
              <w:rPr>
                <w:rFonts w:ascii="Times New Roman" w:hAnsi="Times New Roman"/>
                <w:b w:val="0"/>
                <w:sz w:val="14"/>
              </w:rPr>
              <w:t>Mughogho (2025)</w:t>
            </w:r>
          </w:p>
        </w:tc>
        <w:tc>
          <w:tcPr>
            <w:tcW w:type="dxa" w:w="1987"/>
            <w:vAlign w:val="center"/>
          </w:tcPr>
          <w:p>
            <w:r/>
            <w:r>
              <w:rPr>
                <w:rFonts w:ascii="Times New Roman" w:hAnsi="Times New Roman"/>
                <w:b w:val="0"/>
                <w:sz w:val="14"/>
              </w:rPr>
              <w:t>Experimental</w:t>
            </w:r>
          </w:p>
        </w:tc>
        <w:tc>
          <w:tcPr>
            <w:tcW w:type="dxa" w:w="1987"/>
            <w:vAlign w:val="center"/>
          </w:tcPr>
          <w:p>
            <w:r/>
            <w:r>
              <w:rPr>
                <w:rFonts w:ascii="Times New Roman" w:hAnsi="Times New Roman"/>
                <w:b w:val="0"/>
                <w:sz w:val="14"/>
              </w:rPr>
              <w:t>Yes</w:t>
            </w:r>
          </w:p>
        </w:tc>
        <w:tc>
          <w:tcPr>
            <w:tcW w:type="dxa" w:w="1987"/>
            <w:vAlign w:val="center"/>
          </w:tcPr>
          <w:p>
            <w:r/>
            <w:r>
              <w:rPr>
                <w:rFonts w:ascii="Times New Roman" w:hAnsi="Times New Roman"/>
                <w:b w:val="0"/>
                <w:sz w:val="14"/>
              </w:rPr>
              <w:t>99.80% binary; 99.25% multiclass</w:t>
            </w:r>
          </w:p>
        </w:tc>
      </w:tr>
      <w:tr>
        <w:tc>
          <w:tcPr>
            <w:tcW w:type="dxa" w:w="1987"/>
            <w:vAlign w:val="center"/>
          </w:tcPr>
          <w:p>
            <w:r/>
            <w:r>
              <w:rPr>
                <w:rFonts w:ascii="Times New Roman" w:hAnsi="Times New Roman"/>
                <w:b w:val="0"/>
                <w:sz w:val="14"/>
              </w:rPr>
              <w:t>13</w:t>
            </w:r>
          </w:p>
        </w:tc>
        <w:tc>
          <w:tcPr>
            <w:tcW w:type="dxa" w:w="1987"/>
            <w:vAlign w:val="center"/>
          </w:tcPr>
          <w:p>
            <w:r/>
            <w:r>
              <w:rPr>
                <w:rFonts w:ascii="Times New Roman" w:hAnsi="Times New Roman"/>
                <w:b w:val="0"/>
                <w:sz w:val="14"/>
              </w:rPr>
              <w:t>Ahmed et al. (2026)</w:t>
            </w:r>
          </w:p>
        </w:tc>
        <w:tc>
          <w:tcPr>
            <w:tcW w:type="dxa" w:w="1987"/>
            <w:vAlign w:val="center"/>
          </w:tcPr>
          <w:p>
            <w:r/>
            <w:r>
              <w:rPr>
                <w:rFonts w:ascii="Times New Roman" w:hAnsi="Times New Roman"/>
                <w:b w:val="0"/>
                <w:sz w:val="14"/>
              </w:rPr>
              <w:t>Systematic review</w:t>
            </w:r>
          </w:p>
        </w:tc>
        <w:tc>
          <w:tcPr>
            <w:tcW w:type="dxa" w:w="1987"/>
            <w:vAlign w:val="center"/>
          </w:tcPr>
          <w:p>
            <w:r/>
            <w:r>
              <w:rPr>
                <w:rFonts w:ascii="Times New Roman" w:hAnsi="Times New Roman"/>
                <w:b w:val="0"/>
                <w:sz w:val="14"/>
              </w:rPr>
              <w:t>Discussed</w:t>
            </w:r>
          </w:p>
        </w:tc>
        <w:tc>
          <w:tcPr>
            <w:tcW w:type="dxa" w:w="1987"/>
            <w:vAlign w:val="center"/>
          </w:tcPr>
          <w:p>
            <w:r/>
            <w:r>
              <w:rPr>
                <w:rFonts w:ascii="Times New Roman" w:hAnsi="Times New Roman"/>
                <w:b w:val="0"/>
                <w:sz w:val="14"/>
              </w:rPr>
              <w:t>About 2% use XAI, 4% test robustness, none validated in production</w:t>
            </w:r>
          </w:p>
        </w:tc>
      </w:tr>
      <w:tr>
        <w:tc>
          <w:tcPr>
            <w:tcW w:type="dxa" w:w="1987"/>
            <w:vAlign w:val="center"/>
          </w:tcPr>
          <w:p>
            <w:r/>
            <w:r>
              <w:rPr>
                <w:rFonts w:ascii="Times New Roman" w:hAnsi="Times New Roman"/>
                <w:b w:val="0"/>
                <w:sz w:val="14"/>
              </w:rPr>
              <w:t>14</w:t>
            </w:r>
          </w:p>
        </w:tc>
        <w:tc>
          <w:tcPr>
            <w:tcW w:type="dxa" w:w="1987"/>
            <w:vAlign w:val="center"/>
          </w:tcPr>
          <w:p>
            <w:r/>
            <w:r>
              <w:rPr>
                <w:rFonts w:ascii="Times New Roman" w:hAnsi="Times New Roman"/>
                <w:b w:val="0"/>
                <w:sz w:val="14"/>
              </w:rPr>
              <w:t>Bunko et al. (2026)</w:t>
            </w:r>
          </w:p>
        </w:tc>
        <w:tc>
          <w:tcPr>
            <w:tcW w:type="dxa" w:w="1987"/>
            <w:vAlign w:val="center"/>
          </w:tcPr>
          <w:p>
            <w:r/>
            <w:r>
              <w:rPr>
                <w:rFonts w:ascii="Times New Roman" w:hAnsi="Times New Roman"/>
                <w:b w:val="0"/>
                <w:sz w:val="14"/>
              </w:rPr>
              <w:t>Survey</w:t>
            </w:r>
          </w:p>
        </w:tc>
        <w:tc>
          <w:tcPr>
            <w:tcW w:type="dxa" w:w="1987"/>
            <w:vAlign w:val="center"/>
          </w:tcPr>
          <w:p>
            <w:r/>
            <w:r>
              <w:rPr>
                <w:rFonts w:ascii="Times New Roman" w:hAnsi="Times New Roman"/>
                <w:b w:val="0"/>
                <w:sz w:val="14"/>
              </w:rPr>
              <w:t>Discussed</w:t>
            </w:r>
          </w:p>
        </w:tc>
        <w:tc>
          <w:tcPr>
            <w:tcW w:type="dxa" w:w="1987"/>
            <w:vAlign w:val="center"/>
          </w:tcPr>
          <w:p>
            <w:r/>
            <w:r>
              <w:rPr>
                <w:rFonts w:ascii="Times New Roman" w:hAnsi="Times New Roman"/>
                <w:b w:val="0"/>
                <w:sz w:val="14"/>
              </w:rPr>
              <w:t>Most work only keeps data local; inference and poisoning risks remain</w:t>
            </w:r>
          </w:p>
        </w:tc>
      </w:tr>
      <w:tr>
        <w:tc>
          <w:tcPr>
            <w:tcW w:type="dxa" w:w="1987"/>
            <w:vAlign w:val="center"/>
          </w:tcPr>
          <w:p>
            <w:r/>
            <w:r>
              <w:rPr>
                <w:rFonts w:ascii="Times New Roman" w:hAnsi="Times New Roman"/>
                <w:b w:val="0"/>
                <w:sz w:val="14"/>
              </w:rPr>
              <w:t>15</w:t>
            </w:r>
          </w:p>
        </w:tc>
        <w:tc>
          <w:tcPr>
            <w:tcW w:type="dxa" w:w="1987"/>
            <w:vAlign w:val="center"/>
          </w:tcPr>
          <w:p>
            <w:r/>
            <w:r>
              <w:rPr>
                <w:rFonts w:ascii="Times New Roman" w:hAnsi="Times New Roman"/>
                <w:b w:val="0"/>
                <w:sz w:val="14"/>
              </w:rPr>
              <w:t>Mondragon et al. (2025)</w:t>
            </w:r>
          </w:p>
        </w:tc>
        <w:tc>
          <w:tcPr>
            <w:tcW w:type="dxa" w:w="1987"/>
            <w:vAlign w:val="center"/>
          </w:tcPr>
          <w:p>
            <w:r/>
            <w:r>
              <w:rPr>
                <w:rFonts w:ascii="Times New Roman" w:hAnsi="Times New Roman"/>
                <w:b w:val="0"/>
                <w:sz w:val="14"/>
              </w:rPr>
              <w:t>Benchmark</w:t>
            </w:r>
          </w:p>
        </w:tc>
        <w:tc>
          <w:tcPr>
            <w:tcW w:type="dxa" w:w="1987"/>
            <w:vAlign w:val="center"/>
          </w:tcPr>
          <w:p>
            <w:r/>
            <w:r>
              <w:rPr>
                <w:rFonts w:ascii="Times New Roman" w:hAnsi="Times New Roman"/>
                <w:b w:val="0"/>
                <w:sz w:val="14"/>
              </w:rPr>
              <w:t>Not recorded</w:t>
            </w:r>
          </w:p>
        </w:tc>
        <w:tc>
          <w:tcPr>
            <w:tcW w:type="dxa" w:w="1987"/>
            <w:vAlign w:val="center"/>
          </w:tcPr>
          <w:p>
            <w:r/>
            <w:r>
              <w:rPr>
                <w:rFonts w:ascii="Times New Roman" w:hAnsi="Times New Roman"/>
                <w:b w:val="0"/>
                <w:sz w:val="14"/>
              </w:rPr>
              <w:t>CFC best macro-F1; LITNET (real traffic) lowest</w:t>
            </w:r>
          </w:p>
        </w:tc>
      </w:tr>
      <w:tr>
        <w:tc>
          <w:tcPr>
            <w:tcW w:type="dxa" w:w="1987"/>
            <w:vAlign w:val="center"/>
          </w:tcPr>
          <w:p>
            <w:r/>
            <w:r>
              <w:rPr>
                <w:rFonts w:ascii="Times New Roman" w:hAnsi="Times New Roman"/>
                <w:b w:val="0"/>
                <w:sz w:val="14"/>
              </w:rPr>
              <w:t>16</w:t>
            </w:r>
          </w:p>
        </w:tc>
        <w:tc>
          <w:tcPr>
            <w:tcW w:type="dxa" w:w="1987"/>
            <w:vAlign w:val="center"/>
          </w:tcPr>
          <w:p>
            <w:r/>
            <w:r>
              <w:rPr>
                <w:rFonts w:ascii="Times New Roman" w:hAnsi="Times New Roman"/>
                <w:b w:val="0"/>
                <w:sz w:val="14"/>
              </w:rPr>
              <w:t>Almahaqeri et al. (2026)</w:t>
            </w:r>
          </w:p>
        </w:tc>
        <w:tc>
          <w:tcPr>
            <w:tcW w:type="dxa" w:w="1987"/>
            <w:vAlign w:val="center"/>
          </w:tcPr>
          <w:p>
            <w:r/>
            <w:r>
              <w:rPr>
                <w:rFonts w:ascii="Times New Roman" w:hAnsi="Times New Roman"/>
                <w:b w:val="0"/>
                <w:sz w:val="14"/>
              </w:rPr>
              <w:t>Experimental</w:t>
            </w:r>
          </w:p>
        </w:tc>
        <w:tc>
          <w:tcPr>
            <w:tcW w:type="dxa" w:w="1987"/>
            <w:vAlign w:val="center"/>
          </w:tcPr>
          <w:p>
            <w:r/>
            <w:r>
              <w:rPr>
                <w:rFonts w:ascii="Times New Roman" w:hAnsi="Times New Roman"/>
                <w:b w:val="0"/>
                <w:sz w:val="14"/>
              </w:rPr>
              <w:t>Yes</w:t>
            </w:r>
          </w:p>
        </w:tc>
        <w:tc>
          <w:tcPr>
            <w:tcW w:type="dxa" w:w="1987"/>
            <w:vAlign w:val="center"/>
          </w:tcPr>
          <w:p>
            <w:r/>
            <w:r>
              <w:rPr>
                <w:rFonts w:ascii="Times New Roman" w:hAnsi="Times New Roman"/>
                <w:b w:val="0"/>
                <w:sz w:val="14"/>
              </w:rPr>
              <w:t>XGBoost 99.61% binary; features 46 to 23 cut latency 30-51%</w:t>
            </w:r>
          </w:p>
        </w:tc>
      </w:tr>
      <w:tr>
        <w:tc>
          <w:tcPr>
            <w:tcW w:type="dxa" w:w="1987"/>
            <w:vAlign w:val="center"/>
          </w:tcPr>
          <w:p>
            <w:r/>
            <w:r>
              <w:rPr>
                <w:rFonts w:ascii="Times New Roman" w:hAnsi="Times New Roman"/>
                <w:b w:val="0"/>
                <w:sz w:val="14"/>
              </w:rPr>
              <w:t>17</w:t>
            </w:r>
          </w:p>
        </w:tc>
        <w:tc>
          <w:tcPr>
            <w:tcW w:type="dxa" w:w="1987"/>
            <w:vAlign w:val="center"/>
          </w:tcPr>
          <w:p>
            <w:r/>
            <w:r>
              <w:rPr>
                <w:rFonts w:ascii="Times New Roman" w:hAnsi="Times New Roman"/>
                <w:b w:val="0"/>
                <w:sz w:val="14"/>
              </w:rPr>
              <w:t>Khan et al. (2026)</w:t>
            </w:r>
          </w:p>
        </w:tc>
        <w:tc>
          <w:tcPr>
            <w:tcW w:type="dxa" w:w="1987"/>
            <w:vAlign w:val="center"/>
          </w:tcPr>
          <w:p>
            <w:r/>
            <w:r>
              <w:rPr>
                <w:rFonts w:ascii="Times New Roman" w:hAnsi="Times New Roman"/>
                <w:b w:val="0"/>
                <w:sz w:val="14"/>
              </w:rPr>
              <w:t>Experimental</w:t>
            </w:r>
          </w:p>
        </w:tc>
        <w:tc>
          <w:tcPr>
            <w:tcW w:type="dxa" w:w="1987"/>
            <w:vAlign w:val="center"/>
          </w:tcPr>
          <w:p>
            <w:r/>
            <w:r>
              <w:rPr>
                <w:rFonts w:ascii="Times New Roman" w:hAnsi="Times New Roman"/>
                <w:b w:val="0"/>
                <w:sz w:val="14"/>
              </w:rPr>
              <w:t>Yes</w:t>
            </w:r>
          </w:p>
        </w:tc>
        <w:tc>
          <w:tcPr>
            <w:tcW w:type="dxa" w:w="1987"/>
            <w:vAlign w:val="center"/>
          </w:tcPr>
          <w:p>
            <w:r/>
            <w:r>
              <w:rPr>
                <w:rFonts w:ascii="Times New Roman" w:hAnsi="Times New Roman"/>
                <w:b w:val="0"/>
                <w:sz w:val="14"/>
              </w:rPr>
              <w:t>98.88% on CICIoT2023; 99.94% on CICIDS2018</w:t>
            </w:r>
          </w:p>
        </w:tc>
      </w:tr>
      <w:tr>
        <w:tc>
          <w:tcPr>
            <w:tcW w:type="dxa" w:w="1987"/>
            <w:vAlign w:val="center"/>
          </w:tcPr>
          <w:p>
            <w:r/>
            <w:r>
              <w:rPr>
                <w:rFonts w:ascii="Times New Roman" w:hAnsi="Times New Roman"/>
                <w:b w:val="0"/>
                <w:sz w:val="14"/>
              </w:rPr>
              <w:t>18</w:t>
            </w:r>
          </w:p>
        </w:tc>
        <w:tc>
          <w:tcPr>
            <w:tcW w:type="dxa" w:w="1987"/>
            <w:vAlign w:val="center"/>
          </w:tcPr>
          <w:p>
            <w:r/>
            <w:r>
              <w:rPr>
                <w:rFonts w:ascii="Times New Roman" w:hAnsi="Times New Roman"/>
                <w:b w:val="0"/>
                <w:sz w:val="14"/>
              </w:rPr>
              <w:t>Mallidi &amp; Ramisetty (2025)</w:t>
            </w:r>
          </w:p>
        </w:tc>
        <w:tc>
          <w:tcPr>
            <w:tcW w:type="dxa" w:w="1987"/>
            <w:vAlign w:val="center"/>
          </w:tcPr>
          <w:p>
            <w:r/>
            <w:r>
              <w:rPr>
                <w:rFonts w:ascii="Times New Roman" w:hAnsi="Times New Roman"/>
                <w:b w:val="0"/>
                <w:sz w:val="14"/>
              </w:rPr>
              <w:t>Systematic review</w:t>
            </w:r>
          </w:p>
        </w:tc>
        <w:tc>
          <w:tcPr>
            <w:tcW w:type="dxa" w:w="1987"/>
            <w:vAlign w:val="center"/>
          </w:tcPr>
          <w:p>
            <w:r/>
            <w:r>
              <w:rPr>
                <w:rFonts w:ascii="Times New Roman" w:hAnsi="Times New Roman"/>
                <w:b w:val="0"/>
                <w:sz w:val="14"/>
              </w:rPr>
              <w:t>No</w:t>
            </w:r>
          </w:p>
        </w:tc>
        <w:tc>
          <w:tcPr>
            <w:tcW w:type="dxa" w:w="1987"/>
            <w:vAlign w:val="center"/>
          </w:tcPr>
          <w:p>
            <w:r/>
            <w:r>
              <w:rPr>
                <w:rFonts w:ascii="Times New Roman" w:hAnsi="Times New Roman"/>
                <w:b w:val="0"/>
                <w:sz w:val="14"/>
              </w:rPr>
              <w:t>FL improves scalability and privacy; hybrid deployment balances resources</w:t>
            </w:r>
          </w:p>
        </w:tc>
      </w:tr>
      <w:tr>
        <w:tc>
          <w:tcPr>
            <w:tcW w:type="dxa" w:w="1987"/>
            <w:vAlign w:val="center"/>
          </w:tcPr>
          <w:p>
            <w:r/>
            <w:r>
              <w:rPr>
                <w:rFonts w:ascii="Times New Roman" w:hAnsi="Times New Roman"/>
                <w:b w:val="0"/>
                <w:sz w:val="14"/>
              </w:rPr>
              <w:t>19</w:t>
            </w:r>
          </w:p>
        </w:tc>
        <w:tc>
          <w:tcPr>
            <w:tcW w:type="dxa" w:w="1987"/>
            <w:vAlign w:val="center"/>
          </w:tcPr>
          <w:p>
            <w:r/>
            <w:r>
              <w:rPr>
                <w:rFonts w:ascii="Times New Roman" w:hAnsi="Times New Roman"/>
                <w:b w:val="0"/>
                <w:sz w:val="14"/>
              </w:rPr>
              <w:t>Hozouri et al. (2025)</w:t>
            </w:r>
          </w:p>
        </w:tc>
        <w:tc>
          <w:tcPr>
            <w:tcW w:type="dxa" w:w="1987"/>
            <w:vAlign w:val="center"/>
          </w:tcPr>
          <w:p>
            <w:r/>
            <w:r>
              <w:rPr>
                <w:rFonts w:ascii="Times New Roman" w:hAnsi="Times New Roman"/>
                <w:b w:val="0"/>
                <w:sz w:val="14"/>
              </w:rPr>
              <w:t>Survey</w:t>
            </w:r>
          </w:p>
        </w:tc>
        <w:tc>
          <w:tcPr>
            <w:tcW w:type="dxa" w:w="1987"/>
            <w:vAlign w:val="center"/>
          </w:tcPr>
          <w:p>
            <w:r/>
            <w:r>
              <w:rPr>
                <w:rFonts w:ascii="Times New Roman" w:hAnsi="Times New Roman"/>
                <w:b w:val="0"/>
                <w:sz w:val="14"/>
              </w:rPr>
              <w:t>No</w:t>
            </w:r>
          </w:p>
        </w:tc>
        <w:tc>
          <w:tcPr>
            <w:tcW w:type="dxa" w:w="1987"/>
            <w:vAlign w:val="center"/>
          </w:tcPr>
          <w:p>
            <w:r/>
            <w:r>
              <w:rPr>
                <w:rFonts w:ascii="Times New Roman" w:hAnsi="Times New Roman"/>
                <w:b w:val="0"/>
                <w:sz w:val="14"/>
              </w:rPr>
              <w:t>Labelled-data dependence and imbalance are key limits</w:t>
            </w:r>
          </w:p>
        </w:tc>
      </w:tr>
      <w:tr>
        <w:tc>
          <w:tcPr>
            <w:tcW w:type="dxa" w:w="1987"/>
            <w:vAlign w:val="center"/>
          </w:tcPr>
          <w:p>
            <w:r/>
            <w:r>
              <w:rPr>
                <w:rFonts w:ascii="Times New Roman" w:hAnsi="Times New Roman"/>
                <w:b w:val="0"/>
                <w:sz w:val="14"/>
              </w:rPr>
              <w:t>20</w:t>
            </w:r>
          </w:p>
        </w:tc>
        <w:tc>
          <w:tcPr>
            <w:tcW w:type="dxa" w:w="1987"/>
            <w:vAlign w:val="center"/>
          </w:tcPr>
          <w:p>
            <w:r/>
            <w:r>
              <w:rPr>
                <w:rFonts w:ascii="Times New Roman" w:hAnsi="Times New Roman"/>
                <w:b w:val="0"/>
                <w:sz w:val="14"/>
              </w:rPr>
              <w:t>Mishra &amp; Reddy (2026)</w:t>
            </w:r>
          </w:p>
        </w:tc>
        <w:tc>
          <w:tcPr>
            <w:tcW w:type="dxa" w:w="1987"/>
            <w:vAlign w:val="center"/>
          </w:tcPr>
          <w:p>
            <w:r/>
            <w:r>
              <w:rPr>
                <w:rFonts w:ascii="Times New Roman" w:hAnsi="Times New Roman"/>
                <w:b w:val="0"/>
                <w:sz w:val="14"/>
              </w:rPr>
              <w:t>Experimental</w:t>
            </w:r>
          </w:p>
        </w:tc>
        <w:tc>
          <w:tcPr>
            <w:tcW w:type="dxa" w:w="1987"/>
            <w:vAlign w:val="center"/>
          </w:tcPr>
          <w:p>
            <w:r/>
            <w:r>
              <w:rPr>
                <w:rFonts w:ascii="Times New Roman" w:hAnsi="Times New Roman"/>
                <w:b w:val="0"/>
                <w:sz w:val="14"/>
              </w:rPr>
              <w:t>Yes</w:t>
            </w:r>
          </w:p>
        </w:tc>
        <w:tc>
          <w:tcPr>
            <w:tcW w:type="dxa" w:w="1987"/>
            <w:vAlign w:val="center"/>
          </w:tcPr>
          <w:p>
            <w:r/>
            <w:r>
              <w:rPr>
                <w:rFonts w:ascii="Times New Roman" w:hAnsi="Times New Roman"/>
                <w:b w:val="0"/>
                <w:sz w:val="14"/>
              </w:rPr>
              <w:t>XGBoost-based models strongest; CICIoT2023 hardest; macro avg 0.921 accuracy / 0.858 F1</w:t>
            </w:r>
          </w:p>
        </w:tc>
      </w:tr>
    </w:tbl>
    <w:p>
      <w:pPr>
        <w:pStyle w:val="Heading1"/>
      </w:pPr>
      <w:r>
        <w:t>8. Research Gaps</w:t>
      </w:r>
    </w:p>
    <w:p>
      <w:r>
        <w:t>1. Standardised CICIoT2023 protocol (label set, splits, metrics): Accuracy ranges from 76.88% to 99.995% depending on setup (raised by studies 1, 4, 15).</w:t>
      </w:r>
    </w:p>
    <w:p>
      <w:r>
        <w:t>2. Cross-dataset and cross-device generalisation: Best method changes by dataset; no study trains on one dataset and tests on another (raised by studies 1, 5, 15).</w:t>
      </w:r>
    </w:p>
    <w:p>
      <w:r>
        <w:t>3. Rare-class detection: Rare classes F1 0.00 without mitigation; rebalancing choices change results (raised by studies 1, 4, 13, 16).</w:t>
      </w:r>
    </w:p>
    <w:p>
      <w:r>
        <w:t>4. Fair deep vs tree comparisons: Two head-to-head studies disagree (raised by studies 6, 15, 20).</w:t>
      </w:r>
    </w:p>
    <w:p>
      <w:r>
        <w:t>5. Quantified explainability: SHAP/LIME used qualitatively; top features differ between studies (raised by studies 1, 5, 6, 7, 13).</w:t>
      </w:r>
    </w:p>
    <w:p>
      <w:r>
        <w:t>6. Resource-aware evaluation on edge hardware: Memory, energy and edge tests rarely reported (raised by studies 1, 5, 16, 17).</w:t>
      </w:r>
    </w:p>
    <w:p>
      <w:r>
        <w:t>7. Concept drift and adversarial robustness: Few studies test robustness; CICIoT2023 under 5% of robustness corpus (raised by studies 1, 5, 8, 13).</w:t>
      </w:r>
    </w:p>
    <w:p>
      <w:r>
        <w:t>8. Privacy beyond data locality in federated IDS: Differential privacy and secure aggregation rare; federated stage of one preprint not run (raised by studies 5, 14, 18, 20).</w:t>
      </w:r>
    </w:p>
    <w:p>
      <w:r>
        <w:t>9. Production and streaming validation: None of 125 reviewed papers validates in production (raised by studies 13, 16).</w:t>
      </w:r>
    </w:p>
    <w:p>
      <w:r>
        <w:t>10. Measured prevention/response: Prevention claims judged only by classification metrics (raised by studies 9).</w:t>
      </w:r>
    </w:p>
    <w:p>
      <w:r>
        <w:t>11. Realistic operational benchmarks: Real-traffic LITNET gives lowest macro-F1 (raised by studies 15).</w:t>
      </w:r>
    </w:p>
    <w:p>
      <w:r>
        <w:t>Taken together, the corpus suggests that the field has moved toward larger and more realistic IoT datasets but has not converged on a standard evaluation protocol. The most important gaps are not simply architectural. They concern comparability, rare-class detection, cross-dataset generalisation, explainability, robustness, privacy, and deployment constraints. These gaps motivate experiments that document data preparation and evaluate several model families under the same test distribution.</w:t>
      </w:r>
    </w:p>
    <w:p>
      <w:pPr>
        <w:pStyle w:val="Heading1"/>
      </w:pPr>
      <w:r>
        <w:t>9. Positioning of the Present Experimental Study</w:t>
      </w:r>
    </w:p>
    <w:p>
      <w:r>
        <w:t>The accompanying experimental study addresses a narrower question: how do plain and regularised feed-forward networks compare with recurrent and attention-based architectures for an eight-class CICIoT2023 intrusion-detection task? The study uses the supplied CICIoT2023 train and test files, with 1,073,851 training flows and 268,463 test flows in the recorded setup. It uses 39 numeric flow features and eight classes: Benign, BruteForce, DDoS, DoS, Mirai, Recon, Spoofing and Web-based.</w:t>
      </w:r>
    </w:p>
    <w:p>
      <w:r>
        <w:t>The recorded preparation removes 84,370 exact duplicates from training, balances the training data to 10,000 flows per class, applies an 80/20 stratified train/validation split, and fits StandardScaler on the training portion. The test set is retained as supplied. The evaluated models are DNN, DNN with dropout, DNN with L2 regularisation, a combined regularised DNN, GRU, LSTM, and a feature-token Transformer encoder.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Times New Roman" w:hAnsi="Times New Roman"/>
                <w:b/>
                <w:sz w:val="16"/>
              </w:rPr>
              <w:t>Model</w:t>
            </w:r>
          </w:p>
        </w:tc>
        <w:tc>
          <w:tcPr>
            <w:tcW w:type="dxa" w:w="2484"/>
            <w:vAlign w:val="center"/>
            <w:shd w:fill="D9EAF7"/>
          </w:tcPr>
          <w:p>
            <w:r/>
            <w:r>
              <w:rPr>
                <w:rFonts w:ascii="Times New Roman" w:hAnsi="Times New Roman"/>
                <w:b/>
                <w:sz w:val="16"/>
              </w:rPr>
              <w:t>Accuracy</w:t>
            </w:r>
          </w:p>
        </w:tc>
        <w:tc>
          <w:tcPr>
            <w:tcW w:type="dxa" w:w="2484"/>
            <w:vAlign w:val="center"/>
            <w:shd w:fill="D9EAF7"/>
          </w:tcPr>
          <w:p>
            <w:r/>
            <w:r>
              <w:rPr>
                <w:rFonts w:ascii="Times New Roman" w:hAnsi="Times New Roman"/>
                <w:b/>
                <w:sz w:val="16"/>
              </w:rPr>
              <w:t>Macro-F1</w:t>
            </w:r>
          </w:p>
        </w:tc>
        <w:tc>
          <w:tcPr>
            <w:tcW w:type="dxa" w:w="2484"/>
            <w:vAlign w:val="center"/>
            <w:shd w:fill="D9EAF7"/>
          </w:tcPr>
          <w:p>
            <w:r/>
            <w:r>
              <w:rPr>
                <w:rFonts w:ascii="Times New Roman" w:hAnsi="Times New Roman"/>
                <w:b/>
                <w:sz w:val="16"/>
              </w:rPr>
              <w:t>Interpretation</w:t>
            </w:r>
          </w:p>
        </w:tc>
      </w:tr>
      <w:tr>
        <w:tc>
          <w:tcPr>
            <w:tcW w:type="dxa" w:w="2484"/>
            <w:vAlign w:val="center"/>
          </w:tcPr>
          <w:p>
            <w:r/>
            <w:r>
              <w:rPr>
                <w:rFonts w:ascii="Times New Roman" w:hAnsi="Times New Roman"/>
                <w:b w:val="0"/>
                <w:sz w:val="16"/>
              </w:rPr>
              <w:t>DNN</w:t>
            </w:r>
          </w:p>
        </w:tc>
        <w:tc>
          <w:tcPr>
            <w:tcW w:type="dxa" w:w="2484"/>
            <w:vAlign w:val="center"/>
          </w:tcPr>
          <w:p>
            <w:r/>
            <w:r>
              <w:rPr>
                <w:rFonts w:ascii="Times New Roman" w:hAnsi="Times New Roman"/>
                <w:b w:val="0"/>
                <w:sz w:val="16"/>
              </w:rPr>
              <w:t>75.44%</w:t>
            </w:r>
          </w:p>
        </w:tc>
        <w:tc>
          <w:tcPr>
            <w:tcW w:type="dxa" w:w="2484"/>
            <w:vAlign w:val="center"/>
          </w:tcPr>
          <w:p>
            <w:r/>
            <w:r>
              <w:rPr>
                <w:rFonts w:ascii="Times New Roman" w:hAnsi="Times New Roman"/>
                <w:b w:val="0"/>
                <w:sz w:val="16"/>
              </w:rPr>
              <w:t>63.46%</w:t>
            </w:r>
          </w:p>
        </w:tc>
        <w:tc>
          <w:tcPr>
            <w:tcW w:type="dxa" w:w="2484"/>
            <w:vAlign w:val="center"/>
          </w:tcPr>
          <w:p>
            <w:r/>
            <w:r>
              <w:rPr>
                <w:rFonts w:ascii="Times New Roman" w:hAnsi="Times New Roman"/>
                <w:b w:val="0"/>
                <w:sz w:val="16"/>
              </w:rPr>
              <w:t>Best overall accuracy and macro-F1 in this experiment</w:t>
            </w:r>
          </w:p>
        </w:tc>
      </w:tr>
      <w:tr>
        <w:tc>
          <w:tcPr>
            <w:tcW w:type="dxa" w:w="2484"/>
            <w:vAlign w:val="center"/>
          </w:tcPr>
          <w:p>
            <w:r/>
            <w:r>
              <w:rPr>
                <w:rFonts w:ascii="Times New Roman" w:hAnsi="Times New Roman"/>
                <w:b w:val="0"/>
                <w:sz w:val="16"/>
              </w:rPr>
              <w:t>DNN + Dropout</w:t>
            </w:r>
          </w:p>
        </w:tc>
        <w:tc>
          <w:tcPr>
            <w:tcW w:type="dxa" w:w="2484"/>
            <w:vAlign w:val="center"/>
          </w:tcPr>
          <w:p>
            <w:r/>
            <w:r>
              <w:rPr>
                <w:rFonts w:ascii="Times New Roman" w:hAnsi="Times New Roman"/>
                <w:b w:val="0"/>
                <w:sz w:val="16"/>
              </w:rPr>
              <w:t>73.73%</w:t>
            </w:r>
          </w:p>
        </w:tc>
        <w:tc>
          <w:tcPr>
            <w:tcW w:type="dxa" w:w="2484"/>
            <w:vAlign w:val="center"/>
          </w:tcPr>
          <w:p>
            <w:r/>
            <w:r>
              <w:rPr>
                <w:rFonts w:ascii="Times New Roman" w:hAnsi="Times New Roman"/>
                <w:b w:val="0"/>
                <w:sz w:val="16"/>
              </w:rPr>
              <w:t>62.10%</w:t>
            </w:r>
          </w:p>
        </w:tc>
        <w:tc>
          <w:tcPr>
            <w:tcW w:type="dxa" w:w="2484"/>
            <w:vAlign w:val="center"/>
          </w:tcPr>
          <w:p>
            <w:r/>
            <w:r>
              <w:rPr>
                <w:rFonts w:ascii="Times New Roman" w:hAnsi="Times New Roman"/>
                <w:b w:val="0"/>
                <w:sz w:val="16"/>
              </w:rPr>
              <w:t>Regularisation did not improve baseline</w:t>
            </w:r>
          </w:p>
        </w:tc>
      </w:tr>
      <w:tr>
        <w:tc>
          <w:tcPr>
            <w:tcW w:type="dxa" w:w="2484"/>
            <w:vAlign w:val="center"/>
          </w:tcPr>
          <w:p>
            <w:r/>
            <w:r>
              <w:rPr>
                <w:rFonts w:ascii="Times New Roman" w:hAnsi="Times New Roman"/>
                <w:b w:val="0"/>
                <w:sz w:val="16"/>
              </w:rPr>
              <w:t>DNN + L2</w:t>
            </w:r>
          </w:p>
        </w:tc>
        <w:tc>
          <w:tcPr>
            <w:tcW w:type="dxa" w:w="2484"/>
            <w:vAlign w:val="center"/>
          </w:tcPr>
          <w:p>
            <w:r/>
            <w:r>
              <w:rPr>
                <w:rFonts w:ascii="Times New Roman" w:hAnsi="Times New Roman"/>
                <w:b w:val="0"/>
                <w:sz w:val="16"/>
              </w:rPr>
              <w:t>75.08%</w:t>
            </w:r>
          </w:p>
        </w:tc>
        <w:tc>
          <w:tcPr>
            <w:tcW w:type="dxa" w:w="2484"/>
            <w:vAlign w:val="center"/>
          </w:tcPr>
          <w:p>
            <w:r/>
            <w:r>
              <w:rPr>
                <w:rFonts w:ascii="Times New Roman" w:hAnsi="Times New Roman"/>
                <w:b w:val="0"/>
                <w:sz w:val="16"/>
              </w:rPr>
              <w:t>63.05%</w:t>
            </w:r>
          </w:p>
        </w:tc>
        <w:tc>
          <w:tcPr>
            <w:tcW w:type="dxa" w:w="2484"/>
            <w:vAlign w:val="center"/>
          </w:tcPr>
          <w:p>
            <w:r/>
            <w:r>
              <w:rPr>
                <w:rFonts w:ascii="Times New Roman" w:hAnsi="Times New Roman"/>
                <w:b w:val="0"/>
                <w:sz w:val="16"/>
              </w:rPr>
              <w:t>Very close to baseline</w:t>
            </w:r>
          </w:p>
        </w:tc>
      </w:tr>
      <w:tr>
        <w:tc>
          <w:tcPr>
            <w:tcW w:type="dxa" w:w="2484"/>
            <w:vAlign w:val="center"/>
          </w:tcPr>
          <w:p>
            <w:r/>
            <w:r>
              <w:rPr>
                <w:rFonts w:ascii="Times New Roman" w:hAnsi="Times New Roman"/>
                <w:b w:val="0"/>
                <w:sz w:val="16"/>
              </w:rPr>
              <w:t>Proposed DNN</w:t>
            </w:r>
          </w:p>
        </w:tc>
        <w:tc>
          <w:tcPr>
            <w:tcW w:type="dxa" w:w="2484"/>
            <w:vAlign w:val="center"/>
          </w:tcPr>
          <w:p>
            <w:r/>
            <w:r>
              <w:rPr>
                <w:rFonts w:ascii="Times New Roman" w:hAnsi="Times New Roman"/>
                <w:b w:val="0"/>
                <w:sz w:val="16"/>
              </w:rPr>
              <w:t>74.07%</w:t>
            </w:r>
          </w:p>
        </w:tc>
        <w:tc>
          <w:tcPr>
            <w:tcW w:type="dxa" w:w="2484"/>
            <w:vAlign w:val="center"/>
          </w:tcPr>
          <w:p>
            <w:r/>
            <w:r>
              <w:rPr>
                <w:rFonts w:ascii="Times New Roman" w:hAnsi="Times New Roman"/>
                <w:b w:val="0"/>
                <w:sz w:val="16"/>
              </w:rPr>
              <w:t>62.26%</w:t>
            </w:r>
          </w:p>
        </w:tc>
        <w:tc>
          <w:tcPr>
            <w:tcW w:type="dxa" w:w="2484"/>
            <w:vAlign w:val="center"/>
          </w:tcPr>
          <w:p>
            <w:r/>
            <w:r>
              <w:rPr>
                <w:rFonts w:ascii="Times New Roman" w:hAnsi="Times New Roman"/>
                <w:b w:val="0"/>
                <w:sz w:val="16"/>
              </w:rPr>
              <w:t>Combined regularisation remained competitive</w:t>
            </w:r>
          </w:p>
        </w:tc>
      </w:tr>
      <w:tr>
        <w:tc>
          <w:tcPr>
            <w:tcW w:type="dxa" w:w="2484"/>
            <w:vAlign w:val="center"/>
          </w:tcPr>
          <w:p>
            <w:r/>
            <w:r>
              <w:rPr>
                <w:rFonts w:ascii="Times New Roman" w:hAnsi="Times New Roman"/>
                <w:b w:val="0"/>
                <w:sz w:val="16"/>
              </w:rPr>
              <w:t>GRU</w:t>
            </w:r>
          </w:p>
        </w:tc>
        <w:tc>
          <w:tcPr>
            <w:tcW w:type="dxa" w:w="2484"/>
            <w:vAlign w:val="center"/>
          </w:tcPr>
          <w:p>
            <w:r/>
            <w:r>
              <w:rPr>
                <w:rFonts w:ascii="Times New Roman" w:hAnsi="Times New Roman"/>
                <w:b w:val="0"/>
                <w:sz w:val="16"/>
              </w:rPr>
              <w:t>69.82%</w:t>
            </w:r>
          </w:p>
        </w:tc>
        <w:tc>
          <w:tcPr>
            <w:tcW w:type="dxa" w:w="2484"/>
            <w:vAlign w:val="center"/>
          </w:tcPr>
          <w:p>
            <w:r/>
            <w:r>
              <w:rPr>
                <w:rFonts w:ascii="Times New Roman" w:hAnsi="Times New Roman"/>
                <w:b w:val="0"/>
                <w:sz w:val="16"/>
              </w:rPr>
              <w:t>58.68%</w:t>
            </w:r>
          </w:p>
        </w:tc>
        <w:tc>
          <w:tcPr>
            <w:tcW w:type="dxa" w:w="2484"/>
            <w:vAlign w:val="center"/>
          </w:tcPr>
          <w:p>
            <w:r/>
            <w:r>
              <w:rPr>
                <w:rFonts w:ascii="Times New Roman" w:hAnsi="Times New Roman"/>
                <w:b w:val="0"/>
                <w:sz w:val="16"/>
              </w:rPr>
              <w:t>Below DNN variants</w:t>
            </w:r>
          </w:p>
        </w:tc>
      </w:tr>
      <w:tr>
        <w:tc>
          <w:tcPr>
            <w:tcW w:type="dxa" w:w="2484"/>
            <w:vAlign w:val="center"/>
          </w:tcPr>
          <w:p>
            <w:r/>
            <w:r>
              <w:rPr>
                <w:rFonts w:ascii="Times New Roman" w:hAnsi="Times New Roman"/>
                <w:b w:val="0"/>
                <w:sz w:val="16"/>
              </w:rPr>
              <w:t>LSTM</w:t>
            </w:r>
          </w:p>
        </w:tc>
        <w:tc>
          <w:tcPr>
            <w:tcW w:type="dxa" w:w="2484"/>
            <w:vAlign w:val="center"/>
          </w:tcPr>
          <w:p>
            <w:r/>
            <w:r>
              <w:rPr>
                <w:rFonts w:ascii="Times New Roman" w:hAnsi="Times New Roman"/>
                <w:b w:val="0"/>
                <w:sz w:val="16"/>
              </w:rPr>
              <w:t>55.24%</w:t>
            </w:r>
          </w:p>
        </w:tc>
        <w:tc>
          <w:tcPr>
            <w:tcW w:type="dxa" w:w="2484"/>
            <w:vAlign w:val="center"/>
          </w:tcPr>
          <w:p>
            <w:r/>
            <w:r>
              <w:rPr>
                <w:rFonts w:ascii="Times New Roman" w:hAnsi="Times New Roman"/>
                <w:b w:val="0"/>
                <w:sz w:val="16"/>
              </w:rPr>
              <w:t>45.71%</w:t>
            </w:r>
          </w:p>
        </w:tc>
        <w:tc>
          <w:tcPr>
            <w:tcW w:type="dxa" w:w="2484"/>
            <w:vAlign w:val="center"/>
          </w:tcPr>
          <w:p>
            <w:r/>
            <w:r>
              <w:rPr>
                <w:rFonts w:ascii="Times New Roman" w:hAnsi="Times New Roman"/>
                <w:b w:val="0"/>
                <w:sz w:val="16"/>
              </w:rPr>
              <w:t>Lowest overall performance</w:t>
            </w:r>
          </w:p>
        </w:tc>
      </w:tr>
      <w:tr>
        <w:tc>
          <w:tcPr>
            <w:tcW w:type="dxa" w:w="2484"/>
            <w:vAlign w:val="center"/>
          </w:tcPr>
          <w:p>
            <w:r/>
            <w:r>
              <w:rPr>
                <w:rFonts w:ascii="Times New Roman" w:hAnsi="Times New Roman"/>
                <w:b w:val="0"/>
                <w:sz w:val="16"/>
              </w:rPr>
              <w:t>Transformer</w:t>
            </w:r>
          </w:p>
        </w:tc>
        <w:tc>
          <w:tcPr>
            <w:tcW w:type="dxa" w:w="2484"/>
            <w:vAlign w:val="center"/>
          </w:tcPr>
          <w:p>
            <w:r/>
            <w:r>
              <w:rPr>
                <w:rFonts w:ascii="Times New Roman" w:hAnsi="Times New Roman"/>
                <w:b w:val="0"/>
                <w:sz w:val="16"/>
              </w:rPr>
              <w:t>72.53%</w:t>
            </w:r>
          </w:p>
        </w:tc>
        <w:tc>
          <w:tcPr>
            <w:tcW w:type="dxa" w:w="2484"/>
            <w:vAlign w:val="center"/>
          </w:tcPr>
          <w:p>
            <w:r/>
            <w:r>
              <w:rPr>
                <w:rFonts w:ascii="Times New Roman" w:hAnsi="Times New Roman"/>
                <w:b w:val="0"/>
                <w:sz w:val="16"/>
              </w:rPr>
              <w:t>62.63%</w:t>
            </w:r>
          </w:p>
        </w:tc>
        <w:tc>
          <w:tcPr>
            <w:tcW w:type="dxa" w:w="2484"/>
            <w:vAlign w:val="center"/>
          </w:tcPr>
          <w:p>
            <w:r/>
            <w:r>
              <w:rPr>
                <w:rFonts w:ascii="Times New Roman" w:hAnsi="Times New Roman"/>
                <w:b w:val="0"/>
                <w:sz w:val="16"/>
              </w:rPr>
              <w:t>Competitive; higher macro precision/recall than DNN</w:t>
            </w:r>
          </w:p>
        </w:tc>
      </w:tr>
    </w:tbl>
    <w:p>
      <w:r>
        <w:t>The results should be interpreted as one experimental run rather than a definitive ranking. Recorded limitations include the absence of a tree-based baseline, one dataset, no inference-latency measurement, and incomplete training logs for some recurrent models. The GRU and Transformer reached their epoch limits while validation loss was still falling, so additional tuning could change their performance. These limitations are reported rather than hidden because transparent limitations strengthen the validity of the study.</w:t>
      </w:r>
    </w:p>
    <w:p>
      <w:r>
        <w:t>Most importantly, the Transformer is not forced to be the best model. Its value in this study is comparative: it provides a modern attention-based reference point and demonstrates that precision and recall can improve even when overall accuracy does not. This is consistent with the literature's broader warning that architecture choice alone does not determine IDS performance.</w:t>
      </w:r>
    </w:p>
    <w:p>
      <w:pPr>
        <w:pStyle w:val="Heading1"/>
      </w:pPr>
      <w:r>
        <w:t>10. Discussion</w:t>
      </w:r>
    </w:p>
    <w:p>
      <w:r>
        <w:t>Three broad conclusions emerge. First, the literature demonstrates that high benchmark accuracy is common, but high accuracy is not sufficient evidence of robust multiclass intrusion detection. Results above 99% frequently occur in binary settings, restricted attack families, selected subsets, or undersampled data [7,11,16]. Second, the strongest methods depend on the evaluation context. Tree-based ensembles can outperform deep models on tabular flow features, while recurrent and hybrid models can be highly effective in other settings [3,6,11,17]. Third, research maturity increasingly depends on properties beyond predictive accuracy: explainability, adversarial robustness, privacy, cross-dataset generalisation, and edge efficiency.</w:t>
      </w:r>
    </w:p>
    <w:p>
      <w:r>
        <w:t>The present experiment reinforces these conclusions. Its plain DNN reaches 75.44% accuracy, while the Transformer reaches 72.53% but improves macro precision and macro recall. This is not a contradiction of the literature; rather, it demonstrates why architecture comparisons should be conducted under clearly specified protocols. It also suggests that a Transformer should not be justified solely because it is newer. Its adoption should be tied to a measurable advantage such as recall, robustness, calibration, transferability, or deployment performance.</w:t>
      </w:r>
    </w:p>
    <w:p>
      <w:r>
        <w:t>For future experiments, the most valuable improvement would be a standardised benchmark protocol: fixed class definitions, fixed train/validation/test splits, explicit treatment of duplicates and imbalance, identical preprocessing rules, multiple random seeds, macro-F1 and MCC in addition to accuracy, per-class confusion matrices, inference latency, parameter count, and cross-dataset testing. Such a protocol would make architectural comparisons more meaningful than isolated headline accuracy values.</w:t>
      </w:r>
    </w:p>
    <w:p>
      <w:pPr>
        <w:pStyle w:val="Heading1"/>
      </w:pPr>
      <w:r>
        <w:t>11. Threats to Validity</w:t>
      </w:r>
    </w:p>
    <w:p>
      <w:r>
        <w:t>This review is bounded by the 20 studies captured in the supplied workbook and therefore should not be interpreted as an exhaustive database search of all IoT IDS literature. Some records were reviewed from abstracts or key sections, and some studies have incomplete venue or methodological details in the workbook. Reported figures may also contain inconsistencies; the workbook flags differing figures in Meena and Indian [3] and an abstract/conclusion mismatch in Khan et al. [17]. The experimental perspective is likewise limited by one run per model, one dataset, and the absence of some baseline and deployment measurements. These constraints are explicitly retained to avoid creating unsupported certainty.</w:t>
      </w:r>
    </w:p>
    <w:p>
      <w:pPr>
        <w:pStyle w:val="Heading1"/>
      </w:pPr>
      <w:r>
        <w:t>12. Conclusion</w:t>
      </w:r>
    </w:p>
    <w:p>
      <w:r>
        <w:t>This structured review of 20 studies shows that ML and DL-based IoT intrusion detection is progressing rapidly, particularly around contemporary datasets such as CICIoT2023. Nevertheless, the literature remains difficult to compare because datasets, class scopes, sampling strategies and evaluation metrics vary substantially. Class imbalance is a recurring weakness, and rare-class performance can be poor even when accuracy is high. Tree-based ensembles remain strong competitors for tabular flow data, while recurrent, hybrid and Transformer architectures provide alternative modelling capabilities.</w:t>
      </w:r>
    </w:p>
    <w:p>
      <w:r>
        <w:t>The literature also reveals important non-accuracy gaps. Explainability is often qualitative, adversarial robustness is uncommon, federated approaches face privacy and poisoning risks, and production validation remains limited. The accompanying CICIoT2023 experiment supports a cautious interpretation: the DNN achieves the best overall accuracy and macro-F1 in the tested configuration, while the Transformer remains competitive and obtains stronger macro precision and recall. Therefore, the appropriate conclusion is not that the Transformer must outperform the DNN, but that contemporary attention-based IDS models should be evaluated alongside strong tabular baselines using standardised, class-sensitive and operationally relevant metrics.</w:t>
      </w:r>
    </w:p>
    <w:p>
      <w:pPr>
        <w:pStyle w:val="Heading1"/>
      </w:pPr>
      <w:r>
        <w:t>References</w:t>
      </w:r>
    </w:p>
    <w:p>
      <w:r>
        <w:t>[1] Poltoratskyi, V., &amp; Gavrylenko, S. (2026). The Evolution of Intrusion Detection Systems: A Comprehensive Review of Modern Datasets, Deep Learning Approaches, and Architectural Challenges. Advanced Information Systems, 10(2), 100-116. DOI: 10.20998/2522-9052.2026.2.11</w:t>
      </w:r>
    </w:p>
    <w:p>
      <w:r>
        <w:t>[2] Rivandi, E., &amp; Oskouei, R. J. (2025). A Novel Approach for Developing Intrusion Detection Systems in Mobile Social Networks. J. Soft Computing and Decision Analytics, 3(1), 158-170. DOI: 10.31181/jscda31202576</w:t>
      </w:r>
    </w:p>
    <w:p>
      <w:r>
        <w:t>[3] Meena, G., &amp; Indian, A. (2025). IDS-IoT: Intrusion Detection System for the Internet of Things Using Enhanced Long-Short Term Memory. Artificial Intelligence and Applications. DOI: 10.47852/bonviewAIA52025066</w:t>
      </w:r>
    </w:p>
    <w:p>
      <w:r>
        <w:t>[4] Kwari, M. I., &amp; Rajkumar, N. (2025). An Enhanced Voting Ensemble Model for IoT Intrusion Detection Using the CICIoT2023 Dataset. IGCAI 2025, 67-77. DOI: 10.63169/IGCAI2025.p9</w:t>
      </w:r>
    </w:p>
    <w:p>
      <w:r>
        <w:t>[5] Salakhutdinov, R. (n.d.). Artificial Intelligence and Deep Learning for Network Intrusion Detection in Internet of Things Environments. Venue not stated.</w:t>
      </w:r>
    </w:p>
    <w:p>
      <w:r>
        <w:t>[6] Imran, S., Yousaf, M., Shabeer, Z., Sarwar, M., &amp; Zainab, N. (2026). An Explainable AI-Driven Intrusion Detection Framework for IoT Networks Using Deep Learning and Machine Learning Models. J. Computers and Intelligent Systems, 4(2), 99-116.</w:t>
      </w:r>
    </w:p>
    <w:p>
      <w:r>
        <w:t>[7] Hajjouz, A., &amp; Avksentieva, E. (2024). Optimizing Intrusion Detection for DoS, DDoS, and Mirai Attacks Subtypes Using Hierarchical Feature Selection and CatBoost on the CICIoT2023 Dataset. Data and Metadata, 3, 577. DOI: 10.56294/dm2024.577</w:t>
      </w:r>
    </w:p>
    <w:p>
      <w:r>
        <w:t>[8] Winanto, E. A., &amp; Idris, M. Y. (2026). Adversarial Robustness of Deep Learning-Based Intrusion Detection Systems: A Systematic Literature Review. IEEE Access, 14. DOI: 10.1109/ACCESS.2026.3733985</w:t>
      </w:r>
    </w:p>
    <w:p>
      <w:r>
        <w:t>[9] Erskine, S. K. (2025). Real-Time Large-Scale Intrusion Detection and Prevention System (IDPS) CICIoT Dataset Traffic Assessment Based on Deep Learning. Applied System Innovation, 8, 52. DOI: 10.3390/asi8020052</w:t>
      </w:r>
    </w:p>
    <w:p>
      <w:r>
        <w:t>[10] Diana, L., Dini, P., &amp; Paolini, D. (2025). Overview on Intrusion Detection Systems for Computers Networking Security. Computers, 14, 87. DOI: 10.3390/computers14030087</w:t>
      </w:r>
    </w:p>
    <w:p>
      <w:r>
        <w:t>[11] Yaras, S., &amp; Dener, M. (2024). IoT-Based Intrusion Detection System Using New Hybrid Deep Learning Algorithm. Electronics, 13, 1053. DOI: 10.3390/electronics13061053</w:t>
      </w:r>
    </w:p>
    <w:p>
      <w:r>
        <w:t>[12] Mughogho, E. (2025). Enhancing IoT Network Security Through Intrusion Detection Using Machine Learning. MSc research project, National College of Ireland. DOI: Not applicable</w:t>
      </w:r>
    </w:p>
    <w:p>
      <w:r>
        <w:t>[13] Ahmed, A., Mostafa, R., Qutqut, M. H., &amp; Ragab, N. (2026). A Systematic Literature Review on Machine Learning for Intrusion Detection Systems. Future Internet, 18, 470. DOI: 10.3390/fi18090470</w:t>
      </w:r>
    </w:p>
    <w:p>
      <w:r>
        <w:t>[14] Bunko, T., Johnstone, M. N., Yang, W., &amp; Scott, B. A. (2026). A survey of privacy-preserving federated learning for intrusion detection systems. Artificial Intelligence Review, 59, 125. DOI: 10.1007/s10462-026-11519-4</w:t>
      </w:r>
    </w:p>
    <w:p>
      <w:r>
        <w:t>[15] Mondragon, J. C., et al. (2025). Advanced IDS: a comparative study of datasets and machine learning algorithms for network flow-based intrusion detection systems. Applied Intelligence, 55, 608. DOI: 10.1007/s10489-025-06422-4</w:t>
      </w:r>
    </w:p>
    <w:p>
      <w:r>
        <w:t>[16] Almahaqeri, S. A., et al. (2026). An optimized gradient boosting framework for IoT intrusion detection: a comprehensive evaluation on the CICIoT2023 dataset. Scientific Reports. DOI: 10.1038/s41598-026-47399-5</w:t>
      </w:r>
    </w:p>
    <w:p>
      <w:r>
        <w:t>[17] Khan, M. Z., et al. (2026). A resource efficient IoT intrusion detection model using hybrid feature selection for edge computing. Scientific Reports. DOI: 10.1038/s41598-026-59156-9</w:t>
      </w:r>
    </w:p>
    <w:p>
      <w:r>
        <w:t>[18] Mallidi, S. K. R., &amp; Ramisetty, R. R. (2025). Advancements in training and deployment strategies for AI-based intrusion detection systems in IoT: a systematic literature review. Discover Internet of Things, 5, 8. DOI: 10.1007/s43926-025-00099-4</w:t>
      </w:r>
    </w:p>
    <w:p>
      <w:r>
        <w:t>[19] Hozouri, A., Mirzaei, A., &amp; Effatparvar, M. (2025). A comprehensive survey on intrusion detection systems with advances in machine learning, deep learning and emerging cybersecurity challenges. Discover Artificial Intelligence, 5, 314. DOI: 10.1007/s44163-025-00578-1</w:t>
      </w:r>
    </w:p>
    <w:p>
      <w:r>
        <w:t>[20] Mishra, S., &amp; Reddy, R. V. S. (2026). Federated Hybrid Deep Learning Framework for IoT Intrusion Detection Using N-BaIoT, CICIoT2023, and BoT-IoT Datasets (preprint). Research Square. DOI: 10.21203/rs.3.rs-10580856/v1</w:t>
      </w:r>
    </w:p>
    <w:p>
      <w:pPr>
        <w:pStyle w:val="Heading1"/>
      </w:pPr>
      <w:r>
        <w:t>Appendix A. Study-Level Evidence Map</w:t>
      </w:r>
    </w:p>
    <w:p>
      <w:r>
        <w:t>[1] Poltoratskyi &amp; Gavrylenko (2026) — Evolution of IDS: datasets, DL approaches, architectural challenges. Dataset(s): Many (ROAD, Edge-IIoT-2022, CICIoT2023, etc.). Method/focus: Taxonomy, dataset analysis, ML/DL/FL/XAI synthesis 2020-2025. Limitation: Narrative synthesis; screening counts not reported</w:t>
      </w:r>
    </w:p>
    <w:p>
      <w:r>
        <w:t>[2] Rivandi &amp; Oskouei (2025) — Novel IDS for mobile social networks. Dataset(s): NS2 simulation (30 nodes). Method/focus: Social-network metrics (betweenness, degree) with normal-profile thresholds. Limitation: Small simulation; not IoT benchmark data; unrelated citations in reference list</w:t>
      </w:r>
    </w:p>
    <w:p>
      <w:r>
        <w:t>[3] Meena &amp; Indian (2025) — IDS-IoT with enhanced LSTM. Dataset(s): KDD-Cup'99, NSL-KDD, UNSW-NB15, CICIoT2023. Method/focus: Two-layer LSTM vs LR, AdaBoost, DNN, RNN. Limitation: Inconsistent figures across tables; small margin over DNN and RNN</w:t>
      </w:r>
    </w:p>
    <w:p>
      <w:r>
        <w:t>[4] Kwari &amp; Rajkumar (2025) — Enhanced voting ensemble on CICIoT2023. Dataset(s): CICIoT2023. Method/focus: Soft voting of LR, RF, AdaBoost; no rebalancing. Limitation: 100,000-sample subset; single split; no mitigation tested</w:t>
      </w:r>
    </w:p>
    <w:p>
      <w:r>
        <w:t>[5] Salakhutdinov (n.d.) — AI and DL for network intrusion detection in IoT. Dataset(s): IoT datasets (N-BaIoT, Bot-IoT, TON_IoT, Edge-IIoTset, CICIoT2023). Method/focus: Critical review and conceptual framework. Limitation: Framework not validated; reference list irregularities</w:t>
      </w:r>
    </w:p>
    <w:p>
      <w:r>
        <w:t>[6] Imran et al. (2026) — Explainable AI-driven IDS for IoT. Dataset(s): CICIoT2023, IoT-23. Method/focus: DT, RF, XGBoost, CNN, LSTM, Transformer with SHAP and LIME. Limitation: 18,000-sample, 6-class set; abstract names LR which was not evaluated; qualitative XAI evaluation</w:t>
      </w:r>
    </w:p>
    <w:p>
      <w:r>
        <w:t>[7] Hajjouz &amp; Avksentieva (2024) — Hierarchical feature selection and CatBoost for DoS/DDoS/Mirai subtypes. Dataset(s): CICIoT2023. Method/focus: Spearman clustering to 23 features; CatBoost; stratified six-fold CV; SHAP. Limitation: Excludes other attack families; macro-F1 not reported</w:t>
      </w:r>
    </w:p>
    <w:p>
      <w:r>
        <w:t>[8] Winanto &amp; Idris (2026) — Adversarial robustness of DL-based IDS: systematic review. Dataset(s): 216 studies. Method/focus: PRISMA 2020 review of attacks, defences, datasets. Limitation: Single-reviewer screening (kappa 0.81 on 50-record sample)</w:t>
      </w:r>
    </w:p>
    <w:p>
      <w:r>
        <w:t>[9] Erskine (2025) — Real-time IDPS on CICIoT dataset based on deep learning. Dataset(s): CICIoT2023. Method/focus: DLMLP detection and prevention model. Limitation: Prevention judged by confusion matrix; modest accuracy</w:t>
      </w:r>
    </w:p>
    <w:p>
      <w:r>
        <w:t>[10] Diana et al. (2025) — Overview on IDS for computer networking security. Dataset(s): General. Method/focus: Architectures, detection techniques, environments; AI/ML and blockchain. Limitation: Read from abstract and key sections</w:t>
      </w:r>
    </w:p>
    <w:p>
      <w:r>
        <w:t>[11] Yaras &amp; Dener (2024) — IoT-based IDS using a new hybrid DL algorithm. Dataset(s): CICIoT2023, TON_IoT. Method/focus: 1D-CNN + LSTM in PySpark; compared with ten algorithms. Limitation: Long training on large data; balancing not recorded</w:t>
      </w:r>
    </w:p>
    <w:p>
      <w:r>
        <w:t>[12] Mughogho (2025) — Enhancing IoT network security with ML. Dataset(s): CICIoT2023. Method/focus: Mutual-information selection; DT, RF, XGBoost, soft voting. Limitation: Benign true-negative rate 89-93% for members; ensemble gains 0.1-0.3 points</w:t>
      </w:r>
    </w:p>
    <w:p>
      <w:r>
        <w:t>[13] Ahmed et al. (2026) — Systematic literature review on ML for IDS. Dataset(s): 125 studies. Method/focus: PRISMA review, five themes. Limitation: Three databases searched</w:t>
      </w:r>
    </w:p>
    <w:p>
      <w:r>
        <w:t>[14] Bunko et al. (2026) — Privacy-preserving federated learning for IDS. Dataset(s): FL-IDS literature. Method/focus: Encryption, differential privacy, secure aggregation. Limitation: Read from abstract and key sections</w:t>
      </w:r>
    </w:p>
    <w:p>
      <w:r>
        <w:t>[15] Mondragon et al. (2025) — Advanced IDS: comparative study of datasets and ML algorithms. Dataset(s): 14 flow datasets. Method/focus: Seven algorithm categories compared by macro-F1. Limitation: RBM and GNN methods limited by tuning cost</w:t>
      </w:r>
    </w:p>
    <w:p>
      <w:r>
        <w:t>[16] Almahaqeri et al. (2026) — Optimized gradient boosting for IoT IDS on CICIoT2023. Dataset(s): CICIoT2023. Method/focus: XGBoost, LightGBM, CatBoost; undersampling; gain-based selection. Limitation: Undersampled evaluation; single dataset; flow-level only</w:t>
      </w:r>
    </w:p>
    <w:p>
      <w:r>
        <w:t>[17] Khan et al. (2026) — Resource-efficient IoT IDS with hybrid feature selection. Dataset(s): TON_IoT, Raspberry Pi, CICIDS2018, CICIoT2023. Method/focus: BGL-RID (Boruta, greedy selection, SMOTE, LightGBM). Limitation: SMOTE; abstract/conclusion mismatch (98.94 vs 98.93)</w:t>
      </w:r>
    </w:p>
    <w:p>
      <w:r>
        <w:t>[18] Mallidi &amp; Ramisetty (2025) — Training and deployment strategies for AI-based IDS in IoT. Dataset(s): IoT IDS literature. Method/focus: Centralised, distributed, federated training; cloud/fog/edge. Limitation: Read from abstract and key sections</w:t>
      </w:r>
    </w:p>
    <w:p>
      <w:r>
        <w:t>[19] Hozouri et al. (2025) — Survey of IDS with advances in ML, DL and emerging challenges. Dataset(s): CIC-IDS2017, KDD-Cup'99, UNSW-NB15. Method/focus: IDS types, ML/DL techniques. Limitation: Legacy datasets; read from abstract and key sections</w:t>
      </w:r>
    </w:p>
    <w:p>
      <w:r>
        <w:t>[20] Mishra &amp; Reddy (2026) — Federated hybrid DL framework for IoT IDS. Dataset(s): N-BaIoT, CICIoT2023, BoT-IoT. Method/focus: Hybrid deep models, XGBoost, deep-feature XGBoost; federated planned. Limitation: Federated stage not run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Times New Roman" w:hAnsi="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