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CICIoT2023 SOTA / Literature Comparison</w:t>
      </w:r>
    </w:p>
    <w:p>
      <w:pPr>
        <w:jc w:val="center"/>
      </w:pPr>
      <w:r>
        <w:t>Detailed comparison prepared for CO4 – Comparative Analysis</w:t>
      </w:r>
    </w:p>
    <w:p>
      <w:pPr>
        <w:pStyle w:val="Heading1"/>
      </w:pPr>
      <w:r>
        <w:t>1. Why the SOTA Comparison is Structured This Way</w:t>
      </w:r>
    </w:p>
    <w:p>
      <w:r>
        <w:t>CICIoT2023 papers do not all use the same task definition. Some report binary attack detection, some use 8 grouped attack classes, some use 9 classes, and others use the fine-grained 34/35-class setting. They also use different sampling and preprocessing procedures. Therefore, the comparison below separates reported results by task and clearly marks whether a result is directly comparable to the present 8-class experiment.</w:t>
      </w:r>
    </w:p>
    <w:p>
      <w:pPr>
        <w:pStyle w:val="Heading1"/>
      </w:pPr>
      <w:r>
        <w:t>2. Core SOTA Comparison – CICIoT2023 Multiclass Results</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rPr>
                <w:b/>
                <w:sz w:val="17"/>
              </w:rPr>
              <w:t>Study / Model</w:t>
            </w:r>
          </w:p>
        </w:tc>
        <w:tc>
          <w:tcPr>
            <w:tcW w:type="dxa" w:w="1080"/>
          </w:tcPr>
          <w:p>
            <w:r>
              <w:rPr>
                <w:b/>
                <w:sz w:val="17"/>
              </w:rPr>
              <w:t>Year</w:t>
            </w:r>
          </w:p>
        </w:tc>
        <w:tc>
          <w:tcPr>
            <w:tcW w:type="dxa" w:w="1080"/>
          </w:tcPr>
          <w:p>
            <w:r>
              <w:rPr>
                <w:b/>
                <w:sz w:val="17"/>
              </w:rPr>
              <w:t>CICIoT2023 Task</w:t>
            </w:r>
          </w:p>
        </w:tc>
        <w:tc>
          <w:tcPr>
            <w:tcW w:type="dxa" w:w="1080"/>
          </w:tcPr>
          <w:p>
            <w:r>
              <w:rPr>
                <w:b/>
                <w:sz w:val="17"/>
              </w:rPr>
              <w:t>Accuracy</w:t>
            </w:r>
          </w:p>
        </w:tc>
        <w:tc>
          <w:tcPr>
            <w:tcW w:type="dxa" w:w="1080"/>
          </w:tcPr>
          <w:p>
            <w:r>
              <w:rPr>
                <w:b/>
                <w:sz w:val="17"/>
              </w:rPr>
              <w:t>Precision</w:t>
            </w:r>
          </w:p>
        </w:tc>
        <w:tc>
          <w:tcPr>
            <w:tcW w:type="dxa" w:w="1080"/>
          </w:tcPr>
          <w:p>
            <w:r>
              <w:rPr>
                <w:b/>
                <w:sz w:val="17"/>
              </w:rPr>
              <w:t>Recall</w:t>
            </w:r>
          </w:p>
        </w:tc>
        <w:tc>
          <w:tcPr>
            <w:tcW w:type="dxa" w:w="1080"/>
          </w:tcPr>
          <w:p>
            <w:r>
              <w:rPr>
                <w:b/>
                <w:sz w:val="17"/>
              </w:rPr>
              <w:t>F1</w:t>
            </w:r>
          </w:p>
        </w:tc>
        <w:tc>
          <w:tcPr>
            <w:tcW w:type="dxa" w:w="1080"/>
          </w:tcPr>
          <w:p>
            <w:r>
              <w:rPr>
                <w:b/>
                <w:sz w:val="17"/>
              </w:rPr>
              <w:t>Same task as ours?</w:t>
            </w:r>
          </w:p>
        </w:tc>
      </w:tr>
      <w:tr>
        <w:tc>
          <w:tcPr>
            <w:tcW w:type="dxa" w:w="1080"/>
          </w:tcPr>
          <w:p>
            <w:r>
              <w:rPr>
                <w:sz w:val="17"/>
              </w:rPr>
              <w:t>Neto et al. – Random Forest</w:t>
            </w:r>
          </w:p>
        </w:tc>
        <w:tc>
          <w:tcPr>
            <w:tcW w:type="dxa" w:w="1080"/>
          </w:tcPr>
          <w:p>
            <w:r>
              <w:rPr>
                <w:sz w:val="17"/>
              </w:rPr>
              <w:t>2023</w:t>
            </w:r>
          </w:p>
        </w:tc>
        <w:tc>
          <w:tcPr>
            <w:tcW w:type="dxa" w:w="1080"/>
          </w:tcPr>
          <w:p>
            <w:r>
              <w:rPr>
                <w:sz w:val="17"/>
              </w:rPr>
              <w:t>8-class</w:t>
            </w:r>
          </w:p>
        </w:tc>
        <w:tc>
          <w:tcPr>
            <w:tcW w:type="dxa" w:w="1080"/>
          </w:tcPr>
          <w:p>
            <w:r>
              <w:rPr>
                <w:sz w:val="17"/>
              </w:rPr>
              <w:t>99.43%</w:t>
            </w:r>
          </w:p>
        </w:tc>
        <w:tc>
          <w:tcPr>
            <w:tcW w:type="dxa" w:w="1080"/>
          </w:tcPr>
          <w:p>
            <w:r>
              <w:rPr>
                <w:sz w:val="17"/>
              </w:rPr>
              <w:t>—</w:t>
            </w:r>
          </w:p>
        </w:tc>
        <w:tc>
          <w:tcPr>
            <w:tcW w:type="dxa" w:w="1080"/>
          </w:tcPr>
          <w:p>
            <w:r>
              <w:rPr>
                <w:sz w:val="17"/>
              </w:rPr>
              <w:t>—</w:t>
            </w:r>
          </w:p>
        </w:tc>
        <w:tc>
          <w:tcPr>
            <w:tcW w:type="dxa" w:w="1080"/>
          </w:tcPr>
          <w:p>
            <w:r>
              <w:rPr>
                <w:sz w:val="17"/>
              </w:rPr>
              <w:t>—</w:t>
            </w:r>
          </w:p>
        </w:tc>
        <w:tc>
          <w:tcPr>
            <w:tcW w:type="dxa" w:w="1080"/>
          </w:tcPr>
          <w:p>
            <w:r>
              <w:rPr>
                <w:sz w:val="17"/>
              </w:rPr>
              <w:t>Yes*</w:t>
            </w:r>
          </w:p>
        </w:tc>
      </w:tr>
      <w:tr>
        <w:tc>
          <w:tcPr>
            <w:tcW w:type="dxa" w:w="1080"/>
          </w:tcPr>
          <w:p>
            <w:r>
              <w:rPr>
                <w:sz w:val="17"/>
              </w:rPr>
              <w:t>Neto et al. – DNN</w:t>
            </w:r>
          </w:p>
        </w:tc>
        <w:tc>
          <w:tcPr>
            <w:tcW w:type="dxa" w:w="1080"/>
          </w:tcPr>
          <w:p>
            <w:r>
              <w:rPr>
                <w:sz w:val="17"/>
              </w:rPr>
              <w:t>2023</w:t>
            </w:r>
          </w:p>
        </w:tc>
        <w:tc>
          <w:tcPr>
            <w:tcW w:type="dxa" w:w="1080"/>
          </w:tcPr>
          <w:p>
            <w:r>
              <w:rPr>
                <w:sz w:val="17"/>
              </w:rPr>
              <w:t>8-class</w:t>
            </w:r>
          </w:p>
        </w:tc>
        <w:tc>
          <w:tcPr>
            <w:tcW w:type="dxa" w:w="1080"/>
          </w:tcPr>
          <w:p>
            <w:r>
              <w:rPr>
                <w:sz w:val="17"/>
              </w:rPr>
              <w:t>99.11%</w:t>
            </w:r>
          </w:p>
        </w:tc>
        <w:tc>
          <w:tcPr>
            <w:tcW w:type="dxa" w:w="1080"/>
          </w:tcPr>
          <w:p>
            <w:r>
              <w:rPr>
                <w:sz w:val="17"/>
              </w:rPr>
              <w:t>—</w:t>
            </w:r>
          </w:p>
        </w:tc>
        <w:tc>
          <w:tcPr>
            <w:tcW w:type="dxa" w:w="1080"/>
          </w:tcPr>
          <w:p>
            <w:r>
              <w:rPr>
                <w:sz w:val="17"/>
              </w:rPr>
              <w:t>—</w:t>
            </w:r>
          </w:p>
        </w:tc>
        <w:tc>
          <w:tcPr>
            <w:tcW w:type="dxa" w:w="1080"/>
          </w:tcPr>
          <w:p>
            <w:r>
              <w:rPr>
                <w:sz w:val="17"/>
              </w:rPr>
              <w:t>—</w:t>
            </w:r>
          </w:p>
        </w:tc>
        <w:tc>
          <w:tcPr>
            <w:tcW w:type="dxa" w:w="1080"/>
          </w:tcPr>
          <w:p>
            <w:r>
              <w:rPr>
                <w:sz w:val="17"/>
              </w:rPr>
              <w:t>Yes*</w:t>
            </w:r>
          </w:p>
        </w:tc>
      </w:tr>
      <w:tr>
        <w:tc>
          <w:tcPr>
            <w:tcW w:type="dxa" w:w="1080"/>
          </w:tcPr>
          <w:p>
            <w:r>
              <w:rPr>
                <w:sz w:val="17"/>
              </w:rPr>
              <w:t>Wang et al. – DL-BiLSTM</w:t>
            </w:r>
          </w:p>
        </w:tc>
        <w:tc>
          <w:tcPr>
            <w:tcW w:type="dxa" w:w="1080"/>
          </w:tcPr>
          <w:p>
            <w:r>
              <w:rPr>
                <w:sz w:val="17"/>
              </w:rPr>
              <w:t>2023</w:t>
            </w:r>
          </w:p>
        </w:tc>
        <w:tc>
          <w:tcPr>
            <w:tcW w:type="dxa" w:w="1080"/>
          </w:tcPr>
          <w:p>
            <w:r>
              <w:rPr>
                <w:sz w:val="17"/>
              </w:rPr>
              <w:t>Multiclass</w:t>
            </w:r>
          </w:p>
        </w:tc>
        <w:tc>
          <w:tcPr>
            <w:tcW w:type="dxa" w:w="1080"/>
          </w:tcPr>
          <w:p>
            <w:r>
              <w:rPr>
                <w:sz w:val="17"/>
              </w:rPr>
              <w:t>93.13%</w:t>
            </w:r>
          </w:p>
        </w:tc>
        <w:tc>
          <w:tcPr>
            <w:tcW w:type="dxa" w:w="1080"/>
          </w:tcPr>
          <w:p>
            <w:r>
              <w:rPr>
                <w:sz w:val="17"/>
              </w:rPr>
              <w:t>—</w:t>
            </w:r>
          </w:p>
        </w:tc>
        <w:tc>
          <w:tcPr>
            <w:tcW w:type="dxa" w:w="1080"/>
          </w:tcPr>
          <w:p>
            <w:r>
              <w:rPr>
                <w:sz w:val="17"/>
              </w:rPr>
              <w:t>—</w:t>
            </w:r>
          </w:p>
        </w:tc>
        <w:tc>
          <w:tcPr>
            <w:tcW w:type="dxa" w:w="1080"/>
          </w:tcPr>
          <w:p>
            <w:r>
              <w:rPr>
                <w:sz w:val="17"/>
              </w:rPr>
              <w:t>—</w:t>
            </w:r>
          </w:p>
        </w:tc>
        <w:tc>
          <w:tcPr>
            <w:tcW w:type="dxa" w:w="1080"/>
          </w:tcPr>
          <w:p>
            <w:r>
              <w:rPr>
                <w:sz w:val="17"/>
              </w:rPr>
              <w:t>Not fully specified</w:t>
            </w:r>
          </w:p>
        </w:tc>
      </w:tr>
      <w:tr>
        <w:tc>
          <w:tcPr>
            <w:tcW w:type="dxa" w:w="1080"/>
          </w:tcPr>
          <w:p>
            <w:r>
              <w:rPr>
                <w:sz w:val="17"/>
              </w:rPr>
              <w:t>Yaras &amp; Dener – RF</w:t>
            </w:r>
          </w:p>
        </w:tc>
        <w:tc>
          <w:tcPr>
            <w:tcW w:type="dxa" w:w="1080"/>
          </w:tcPr>
          <w:p>
            <w:r>
              <w:rPr>
                <w:sz w:val="17"/>
              </w:rPr>
              <w:t>2024</w:t>
            </w:r>
          </w:p>
        </w:tc>
        <w:tc>
          <w:tcPr>
            <w:tcW w:type="dxa" w:w="1080"/>
          </w:tcPr>
          <w:p>
            <w:r>
              <w:rPr>
                <w:sz w:val="17"/>
              </w:rPr>
              <w:t>Multiclass</w:t>
            </w:r>
          </w:p>
        </w:tc>
        <w:tc>
          <w:tcPr>
            <w:tcW w:type="dxa" w:w="1080"/>
          </w:tcPr>
          <w:p>
            <w:r>
              <w:rPr>
                <w:sz w:val="17"/>
              </w:rPr>
              <w:t>96.58%</w:t>
            </w:r>
          </w:p>
        </w:tc>
        <w:tc>
          <w:tcPr>
            <w:tcW w:type="dxa" w:w="1080"/>
          </w:tcPr>
          <w:p>
            <w:r>
              <w:rPr>
                <w:sz w:val="17"/>
              </w:rPr>
              <w:t>96.98%</w:t>
            </w:r>
          </w:p>
        </w:tc>
        <w:tc>
          <w:tcPr>
            <w:tcW w:type="dxa" w:w="1080"/>
          </w:tcPr>
          <w:p>
            <w:r>
              <w:rPr>
                <w:sz w:val="17"/>
              </w:rPr>
              <w:t>96.58%</w:t>
            </w:r>
          </w:p>
        </w:tc>
        <w:tc>
          <w:tcPr>
            <w:tcW w:type="dxa" w:w="1080"/>
          </w:tcPr>
          <w:p>
            <w:r>
              <w:rPr>
                <w:sz w:val="17"/>
              </w:rPr>
              <w:t>96.51%</w:t>
            </w:r>
          </w:p>
        </w:tc>
        <w:tc>
          <w:tcPr>
            <w:tcW w:type="dxa" w:w="1080"/>
          </w:tcPr>
          <w:p>
            <w:r>
              <w:rPr>
                <w:sz w:val="17"/>
              </w:rPr>
              <w:t>No*</w:t>
            </w:r>
          </w:p>
        </w:tc>
      </w:tr>
      <w:tr>
        <w:tc>
          <w:tcPr>
            <w:tcW w:type="dxa" w:w="1080"/>
          </w:tcPr>
          <w:p>
            <w:r>
              <w:rPr>
                <w:sz w:val="17"/>
              </w:rPr>
              <w:t>Yaras &amp; Dener – MLP</w:t>
            </w:r>
          </w:p>
        </w:tc>
        <w:tc>
          <w:tcPr>
            <w:tcW w:type="dxa" w:w="1080"/>
          </w:tcPr>
          <w:p>
            <w:r>
              <w:rPr>
                <w:sz w:val="17"/>
              </w:rPr>
              <w:t>2024</w:t>
            </w:r>
          </w:p>
        </w:tc>
        <w:tc>
          <w:tcPr>
            <w:tcW w:type="dxa" w:w="1080"/>
          </w:tcPr>
          <w:p>
            <w:r>
              <w:rPr>
                <w:sz w:val="17"/>
              </w:rPr>
              <w:t>Multiclass</w:t>
            </w:r>
          </w:p>
        </w:tc>
        <w:tc>
          <w:tcPr>
            <w:tcW w:type="dxa" w:w="1080"/>
          </w:tcPr>
          <w:p>
            <w:r>
              <w:rPr>
                <w:sz w:val="17"/>
              </w:rPr>
              <w:t>99.91%</w:t>
            </w:r>
          </w:p>
        </w:tc>
        <w:tc>
          <w:tcPr>
            <w:tcW w:type="dxa" w:w="1080"/>
          </w:tcPr>
          <w:p>
            <w:r>
              <w:rPr>
                <w:sz w:val="17"/>
              </w:rPr>
              <w:t>99.91%</w:t>
            </w:r>
          </w:p>
        </w:tc>
        <w:tc>
          <w:tcPr>
            <w:tcW w:type="dxa" w:w="1080"/>
          </w:tcPr>
          <w:p>
            <w:r>
              <w:rPr>
                <w:sz w:val="17"/>
              </w:rPr>
              <w:t>99.91%</w:t>
            </w:r>
          </w:p>
        </w:tc>
        <w:tc>
          <w:tcPr>
            <w:tcW w:type="dxa" w:w="1080"/>
          </w:tcPr>
          <w:p>
            <w:r>
              <w:rPr>
                <w:sz w:val="17"/>
              </w:rPr>
              <w:t>99.91%</w:t>
            </w:r>
          </w:p>
        </w:tc>
        <w:tc>
          <w:tcPr>
            <w:tcW w:type="dxa" w:w="1080"/>
          </w:tcPr>
          <w:p>
            <w:r>
              <w:rPr>
                <w:sz w:val="17"/>
              </w:rPr>
              <w:t>No*</w:t>
            </w:r>
          </w:p>
        </w:tc>
      </w:tr>
      <w:tr>
        <w:tc>
          <w:tcPr>
            <w:tcW w:type="dxa" w:w="1080"/>
          </w:tcPr>
          <w:p>
            <w:r>
              <w:rPr>
                <w:sz w:val="17"/>
              </w:rPr>
              <w:t>Yaras &amp; Dener – CNN</w:t>
            </w:r>
          </w:p>
        </w:tc>
        <w:tc>
          <w:tcPr>
            <w:tcW w:type="dxa" w:w="1080"/>
          </w:tcPr>
          <w:p>
            <w:r>
              <w:rPr>
                <w:sz w:val="17"/>
              </w:rPr>
              <w:t>2024</w:t>
            </w:r>
          </w:p>
        </w:tc>
        <w:tc>
          <w:tcPr>
            <w:tcW w:type="dxa" w:w="1080"/>
          </w:tcPr>
          <w:p>
            <w:r>
              <w:rPr>
                <w:sz w:val="17"/>
              </w:rPr>
              <w:t>Multiclass</w:t>
            </w:r>
          </w:p>
        </w:tc>
        <w:tc>
          <w:tcPr>
            <w:tcW w:type="dxa" w:w="1080"/>
          </w:tcPr>
          <w:p>
            <w:r>
              <w:rPr>
                <w:sz w:val="17"/>
              </w:rPr>
              <w:t>99.90%</w:t>
            </w:r>
          </w:p>
        </w:tc>
        <w:tc>
          <w:tcPr>
            <w:tcW w:type="dxa" w:w="1080"/>
          </w:tcPr>
          <w:p>
            <w:r>
              <w:rPr>
                <w:sz w:val="17"/>
              </w:rPr>
              <w:t>99.93%</w:t>
            </w:r>
          </w:p>
        </w:tc>
        <w:tc>
          <w:tcPr>
            <w:tcW w:type="dxa" w:w="1080"/>
          </w:tcPr>
          <w:p>
            <w:r>
              <w:rPr>
                <w:sz w:val="17"/>
              </w:rPr>
              <w:t>99.90%</w:t>
            </w:r>
          </w:p>
        </w:tc>
        <w:tc>
          <w:tcPr>
            <w:tcW w:type="dxa" w:w="1080"/>
          </w:tcPr>
          <w:p>
            <w:r>
              <w:rPr>
                <w:sz w:val="17"/>
              </w:rPr>
              <w:t>99.91%</w:t>
            </w:r>
          </w:p>
        </w:tc>
        <w:tc>
          <w:tcPr>
            <w:tcW w:type="dxa" w:w="1080"/>
          </w:tcPr>
          <w:p>
            <w:r>
              <w:rPr>
                <w:sz w:val="17"/>
              </w:rPr>
              <w:t>No*</w:t>
            </w:r>
          </w:p>
        </w:tc>
      </w:tr>
      <w:tr>
        <w:tc>
          <w:tcPr>
            <w:tcW w:type="dxa" w:w="1080"/>
          </w:tcPr>
          <w:p>
            <w:r>
              <w:rPr>
                <w:sz w:val="17"/>
              </w:rPr>
              <w:t>Yaras &amp; Dener – LSTM</w:t>
            </w:r>
          </w:p>
        </w:tc>
        <w:tc>
          <w:tcPr>
            <w:tcW w:type="dxa" w:w="1080"/>
          </w:tcPr>
          <w:p>
            <w:r>
              <w:rPr>
                <w:sz w:val="17"/>
              </w:rPr>
              <w:t>2024</w:t>
            </w:r>
          </w:p>
        </w:tc>
        <w:tc>
          <w:tcPr>
            <w:tcW w:type="dxa" w:w="1080"/>
          </w:tcPr>
          <w:p>
            <w:r>
              <w:rPr>
                <w:sz w:val="17"/>
              </w:rPr>
              <w:t>Multiclass</w:t>
            </w:r>
          </w:p>
        </w:tc>
        <w:tc>
          <w:tcPr>
            <w:tcW w:type="dxa" w:w="1080"/>
          </w:tcPr>
          <w:p>
            <w:r>
              <w:rPr>
                <w:sz w:val="17"/>
              </w:rPr>
              <w:t>98.66%</w:t>
            </w:r>
          </w:p>
        </w:tc>
        <w:tc>
          <w:tcPr>
            <w:tcW w:type="dxa" w:w="1080"/>
          </w:tcPr>
          <w:p>
            <w:r>
              <w:rPr>
                <w:sz w:val="17"/>
              </w:rPr>
              <w:t>98.71%</w:t>
            </w:r>
          </w:p>
        </w:tc>
        <w:tc>
          <w:tcPr>
            <w:tcW w:type="dxa" w:w="1080"/>
          </w:tcPr>
          <w:p>
            <w:r>
              <w:rPr>
                <w:sz w:val="17"/>
              </w:rPr>
              <w:t>98.63%</w:t>
            </w:r>
          </w:p>
        </w:tc>
        <w:tc>
          <w:tcPr>
            <w:tcW w:type="dxa" w:w="1080"/>
          </w:tcPr>
          <w:p>
            <w:r>
              <w:rPr>
                <w:sz w:val="17"/>
              </w:rPr>
              <w:t>98.67%</w:t>
            </w:r>
          </w:p>
        </w:tc>
        <w:tc>
          <w:tcPr>
            <w:tcW w:type="dxa" w:w="1080"/>
          </w:tcPr>
          <w:p>
            <w:r>
              <w:rPr>
                <w:sz w:val="17"/>
              </w:rPr>
              <w:t>No*</w:t>
            </w:r>
          </w:p>
        </w:tc>
      </w:tr>
      <w:tr>
        <w:tc>
          <w:tcPr>
            <w:tcW w:type="dxa" w:w="1080"/>
          </w:tcPr>
          <w:p>
            <w:r>
              <w:rPr>
                <w:sz w:val="17"/>
              </w:rPr>
              <w:t>Yaras &amp; Dener – Proposed CNN-LSTM</w:t>
            </w:r>
          </w:p>
        </w:tc>
        <w:tc>
          <w:tcPr>
            <w:tcW w:type="dxa" w:w="1080"/>
          </w:tcPr>
          <w:p>
            <w:r>
              <w:rPr>
                <w:sz w:val="17"/>
              </w:rPr>
              <w:t>2024</w:t>
            </w:r>
          </w:p>
        </w:tc>
        <w:tc>
          <w:tcPr>
            <w:tcW w:type="dxa" w:w="1080"/>
          </w:tcPr>
          <w:p>
            <w:r>
              <w:rPr>
                <w:sz w:val="17"/>
              </w:rPr>
              <w:t>9-class</w:t>
            </w:r>
          </w:p>
        </w:tc>
        <w:tc>
          <w:tcPr>
            <w:tcW w:type="dxa" w:w="1080"/>
          </w:tcPr>
          <w:p>
            <w:r>
              <w:rPr>
                <w:sz w:val="17"/>
              </w:rPr>
              <w:t>99.96%</w:t>
            </w:r>
          </w:p>
        </w:tc>
        <w:tc>
          <w:tcPr>
            <w:tcW w:type="dxa" w:w="1080"/>
          </w:tcPr>
          <w:p>
            <w:r>
              <w:rPr>
                <w:sz w:val="17"/>
              </w:rPr>
              <w:t>99.96%</w:t>
            </w:r>
          </w:p>
        </w:tc>
        <w:tc>
          <w:tcPr>
            <w:tcW w:type="dxa" w:w="1080"/>
          </w:tcPr>
          <w:p>
            <w:r>
              <w:rPr>
                <w:sz w:val="17"/>
              </w:rPr>
              <w:t>99.96%</w:t>
            </w:r>
          </w:p>
        </w:tc>
        <w:tc>
          <w:tcPr>
            <w:tcW w:type="dxa" w:w="1080"/>
          </w:tcPr>
          <w:p>
            <w:r>
              <w:rPr>
                <w:sz w:val="17"/>
              </w:rPr>
              <w:t>99.96%</w:t>
            </w:r>
          </w:p>
        </w:tc>
        <w:tc>
          <w:tcPr>
            <w:tcW w:type="dxa" w:w="1080"/>
          </w:tcPr>
          <w:p>
            <w:r>
              <w:rPr>
                <w:sz w:val="17"/>
              </w:rPr>
              <w:t>No</w:t>
            </w:r>
          </w:p>
        </w:tc>
      </w:tr>
      <w:tr>
        <w:tc>
          <w:tcPr>
            <w:tcW w:type="dxa" w:w="1080"/>
          </w:tcPr>
          <w:p>
            <w:r>
              <w:rPr>
                <w:sz w:val="17"/>
              </w:rPr>
              <w:t>Becerra-Suarez et al. – CNN</w:t>
            </w:r>
          </w:p>
        </w:tc>
        <w:tc>
          <w:tcPr>
            <w:tcW w:type="dxa" w:w="1080"/>
          </w:tcPr>
          <w:p>
            <w:r>
              <w:rPr>
                <w:sz w:val="17"/>
              </w:rPr>
              <w:t>2024</w:t>
            </w:r>
          </w:p>
        </w:tc>
        <w:tc>
          <w:tcPr>
            <w:tcW w:type="dxa" w:w="1080"/>
          </w:tcPr>
          <w:p>
            <w:r>
              <w:rPr>
                <w:sz w:val="17"/>
              </w:rPr>
              <w:t>Multiclass</w:t>
            </w:r>
          </w:p>
        </w:tc>
        <w:tc>
          <w:tcPr>
            <w:tcW w:type="dxa" w:w="1080"/>
          </w:tcPr>
          <w:p>
            <w:r>
              <w:rPr>
                <w:sz w:val="17"/>
              </w:rPr>
              <w:t>≈99.10%</w:t>
            </w:r>
          </w:p>
        </w:tc>
        <w:tc>
          <w:tcPr>
            <w:tcW w:type="dxa" w:w="1080"/>
          </w:tcPr>
          <w:p>
            <w:r>
              <w:rPr>
                <w:sz w:val="17"/>
              </w:rPr>
              <w:t>—</w:t>
            </w:r>
          </w:p>
        </w:tc>
        <w:tc>
          <w:tcPr>
            <w:tcW w:type="dxa" w:w="1080"/>
          </w:tcPr>
          <w:p>
            <w:r>
              <w:rPr>
                <w:sz w:val="17"/>
              </w:rPr>
              <w:t>—</w:t>
            </w:r>
          </w:p>
        </w:tc>
        <w:tc>
          <w:tcPr>
            <w:tcW w:type="dxa" w:w="1080"/>
          </w:tcPr>
          <w:p>
            <w:r>
              <w:rPr>
                <w:sz w:val="17"/>
              </w:rPr>
              <w:t>—</w:t>
            </w:r>
          </w:p>
        </w:tc>
        <w:tc>
          <w:tcPr>
            <w:tcW w:type="dxa" w:w="1080"/>
          </w:tcPr>
          <w:p>
            <w:r>
              <w:rPr>
                <w:sz w:val="17"/>
              </w:rPr>
              <w:t>Contextual</w:t>
            </w:r>
          </w:p>
        </w:tc>
      </w:tr>
      <w:tr>
        <w:tc>
          <w:tcPr>
            <w:tcW w:type="dxa" w:w="1080"/>
          </w:tcPr>
          <w:p>
            <w:r>
              <w:rPr>
                <w:sz w:val="17"/>
              </w:rPr>
              <w:t>Ahmad et al. – Extra Trees + GRU + SHAP</w:t>
            </w:r>
          </w:p>
        </w:tc>
        <w:tc>
          <w:tcPr>
            <w:tcW w:type="dxa" w:w="1080"/>
          </w:tcPr>
          <w:p>
            <w:r>
              <w:rPr>
                <w:sz w:val="17"/>
              </w:rPr>
              <w:t>2025</w:t>
            </w:r>
          </w:p>
        </w:tc>
        <w:tc>
          <w:tcPr>
            <w:tcW w:type="dxa" w:w="1080"/>
          </w:tcPr>
          <w:p>
            <w:r>
              <w:rPr>
                <w:sz w:val="17"/>
              </w:rPr>
              <w:t>Multiclass</w:t>
            </w:r>
          </w:p>
        </w:tc>
        <w:tc>
          <w:tcPr>
            <w:tcW w:type="dxa" w:w="1080"/>
          </w:tcPr>
          <w:p>
            <w:r>
              <w:rPr>
                <w:sz w:val="17"/>
              </w:rPr>
              <w:t>97.56%</w:t>
            </w:r>
          </w:p>
        </w:tc>
        <w:tc>
          <w:tcPr>
            <w:tcW w:type="dxa" w:w="1080"/>
          </w:tcPr>
          <w:p>
            <w:r>
              <w:rPr>
                <w:sz w:val="17"/>
              </w:rPr>
              <w:t>—</w:t>
            </w:r>
          </w:p>
        </w:tc>
        <w:tc>
          <w:tcPr>
            <w:tcW w:type="dxa" w:w="1080"/>
          </w:tcPr>
          <w:p>
            <w:r>
              <w:rPr>
                <w:sz w:val="17"/>
              </w:rPr>
              <w:t>—</w:t>
            </w:r>
          </w:p>
        </w:tc>
        <w:tc>
          <w:tcPr>
            <w:tcW w:type="dxa" w:w="1080"/>
          </w:tcPr>
          <w:p>
            <w:r>
              <w:rPr>
                <w:sz w:val="17"/>
              </w:rPr>
              <w:t>—</w:t>
            </w:r>
          </w:p>
        </w:tc>
        <w:tc>
          <w:tcPr>
            <w:tcW w:type="dxa" w:w="1080"/>
          </w:tcPr>
          <w:p>
            <w:r>
              <w:rPr>
                <w:sz w:val="17"/>
              </w:rPr>
              <w:t>Contextual</w:t>
            </w:r>
          </w:p>
        </w:tc>
      </w:tr>
      <w:tr>
        <w:tc>
          <w:tcPr>
            <w:tcW w:type="dxa" w:w="1080"/>
          </w:tcPr>
          <w:p>
            <w:r>
              <w:rPr>
                <w:sz w:val="17"/>
              </w:rPr>
              <w:t>Federated XAI IDS – ANN + FedAvg + SHAP</w:t>
            </w:r>
          </w:p>
        </w:tc>
        <w:tc>
          <w:tcPr>
            <w:tcW w:type="dxa" w:w="1080"/>
          </w:tcPr>
          <w:p>
            <w:r>
              <w:rPr>
                <w:sz w:val="17"/>
              </w:rPr>
              <w:t>2025</w:t>
            </w:r>
          </w:p>
        </w:tc>
        <w:tc>
          <w:tcPr>
            <w:tcW w:type="dxa" w:w="1080"/>
          </w:tcPr>
          <w:p>
            <w:r>
              <w:rPr>
                <w:sz w:val="17"/>
              </w:rPr>
              <w:t>CICIoT2023</w:t>
            </w:r>
          </w:p>
        </w:tc>
        <w:tc>
          <w:tcPr>
            <w:tcW w:type="dxa" w:w="1080"/>
          </w:tcPr>
          <w:p>
            <w:r>
              <w:rPr>
                <w:sz w:val="17"/>
              </w:rPr>
              <w:t>88.2%</w:t>
            </w:r>
          </w:p>
        </w:tc>
        <w:tc>
          <w:tcPr>
            <w:tcW w:type="dxa" w:w="1080"/>
          </w:tcPr>
          <w:p>
            <w:r>
              <w:rPr>
                <w:sz w:val="17"/>
              </w:rPr>
              <w:t>—</w:t>
            </w:r>
          </w:p>
        </w:tc>
        <w:tc>
          <w:tcPr>
            <w:tcW w:type="dxa" w:w="1080"/>
          </w:tcPr>
          <w:p>
            <w:r>
              <w:rPr>
                <w:sz w:val="17"/>
              </w:rPr>
              <w:t>—</w:t>
            </w:r>
          </w:p>
        </w:tc>
        <w:tc>
          <w:tcPr>
            <w:tcW w:type="dxa" w:w="1080"/>
          </w:tcPr>
          <w:p>
            <w:r>
              <w:rPr>
                <w:sz w:val="17"/>
              </w:rPr>
              <w:t>—</w:t>
            </w:r>
          </w:p>
        </w:tc>
        <w:tc>
          <w:tcPr>
            <w:tcW w:type="dxa" w:w="1080"/>
          </w:tcPr>
          <w:p>
            <w:r>
              <w:rPr>
                <w:sz w:val="17"/>
              </w:rPr>
              <w:t>Contextual</w:t>
            </w:r>
          </w:p>
        </w:tc>
      </w:tr>
      <w:tr>
        <w:tc>
          <w:tcPr>
            <w:tcW w:type="dxa" w:w="1080"/>
          </w:tcPr>
          <w:p>
            <w:r>
              <w:rPr>
                <w:sz w:val="17"/>
              </w:rPr>
              <w:t>Our DNN</w:t>
            </w:r>
          </w:p>
        </w:tc>
        <w:tc>
          <w:tcPr>
            <w:tcW w:type="dxa" w:w="1080"/>
          </w:tcPr>
          <w:p>
            <w:r>
              <w:rPr>
                <w:sz w:val="17"/>
              </w:rPr>
              <w:t>2026</w:t>
            </w:r>
          </w:p>
        </w:tc>
        <w:tc>
          <w:tcPr>
            <w:tcW w:type="dxa" w:w="1080"/>
          </w:tcPr>
          <w:p>
            <w:r>
              <w:rPr>
                <w:sz w:val="17"/>
              </w:rPr>
              <w:t>8-class</w:t>
            </w:r>
          </w:p>
        </w:tc>
        <w:tc>
          <w:tcPr>
            <w:tcW w:type="dxa" w:w="1080"/>
          </w:tcPr>
          <w:p>
            <w:r>
              <w:rPr>
                <w:sz w:val="17"/>
              </w:rPr>
              <w:t>75.79%</w:t>
            </w:r>
          </w:p>
        </w:tc>
        <w:tc>
          <w:tcPr>
            <w:tcW w:type="dxa" w:w="1080"/>
          </w:tcPr>
          <w:p>
            <w:r>
              <w:rPr>
                <w:sz w:val="17"/>
              </w:rPr>
              <w:t>64.65%</w:t>
            </w:r>
          </w:p>
        </w:tc>
        <w:tc>
          <w:tcPr>
            <w:tcW w:type="dxa" w:w="1080"/>
          </w:tcPr>
          <w:p>
            <w:r>
              <w:rPr>
                <w:sz w:val="17"/>
              </w:rPr>
              <w:t>69.70%</w:t>
            </w:r>
          </w:p>
        </w:tc>
        <w:tc>
          <w:tcPr>
            <w:tcW w:type="dxa" w:w="1080"/>
          </w:tcPr>
          <w:p>
            <w:r>
              <w:rPr>
                <w:sz w:val="17"/>
              </w:rPr>
              <w:t>63.44%</w:t>
            </w:r>
          </w:p>
        </w:tc>
        <w:tc>
          <w:tcPr>
            <w:tcW w:type="dxa" w:w="1080"/>
          </w:tcPr>
          <w:p>
            <w:r>
              <w:rPr>
                <w:sz w:val="17"/>
              </w:rPr>
              <w:t>Controlled</w:t>
            </w:r>
          </w:p>
        </w:tc>
      </w:tr>
      <w:tr>
        <w:tc>
          <w:tcPr>
            <w:tcW w:type="dxa" w:w="1080"/>
          </w:tcPr>
          <w:p>
            <w:r>
              <w:rPr>
                <w:sz w:val="17"/>
              </w:rPr>
              <w:t>Our 1D CNN</w:t>
            </w:r>
          </w:p>
        </w:tc>
        <w:tc>
          <w:tcPr>
            <w:tcW w:type="dxa" w:w="1080"/>
          </w:tcPr>
          <w:p>
            <w:r>
              <w:rPr>
                <w:sz w:val="17"/>
              </w:rPr>
              <w:t>2026</w:t>
            </w:r>
          </w:p>
        </w:tc>
        <w:tc>
          <w:tcPr>
            <w:tcW w:type="dxa" w:w="1080"/>
          </w:tcPr>
          <w:p>
            <w:r>
              <w:rPr>
                <w:sz w:val="17"/>
              </w:rPr>
              <w:t>8-class</w:t>
            </w:r>
          </w:p>
        </w:tc>
        <w:tc>
          <w:tcPr>
            <w:tcW w:type="dxa" w:w="1080"/>
          </w:tcPr>
          <w:p>
            <w:r>
              <w:rPr>
                <w:sz w:val="17"/>
              </w:rPr>
              <w:t>75.63%</w:t>
            </w:r>
          </w:p>
        </w:tc>
        <w:tc>
          <w:tcPr>
            <w:tcW w:type="dxa" w:w="1080"/>
          </w:tcPr>
          <w:p>
            <w:r>
              <w:rPr>
                <w:sz w:val="17"/>
              </w:rPr>
              <w:t>63.98%</w:t>
            </w:r>
          </w:p>
        </w:tc>
        <w:tc>
          <w:tcPr>
            <w:tcW w:type="dxa" w:w="1080"/>
          </w:tcPr>
          <w:p>
            <w:r>
              <w:rPr>
                <w:sz w:val="17"/>
              </w:rPr>
              <w:t>70.41%</w:t>
            </w:r>
          </w:p>
        </w:tc>
        <w:tc>
          <w:tcPr>
            <w:tcW w:type="dxa" w:w="1080"/>
          </w:tcPr>
          <w:p>
            <w:r>
              <w:rPr>
                <w:sz w:val="17"/>
              </w:rPr>
              <w:t>63.56%</w:t>
            </w:r>
          </w:p>
        </w:tc>
        <w:tc>
          <w:tcPr>
            <w:tcW w:type="dxa" w:w="1080"/>
          </w:tcPr>
          <w:p>
            <w:r>
              <w:rPr>
                <w:sz w:val="17"/>
              </w:rPr>
              <w:t>Controlled</w:t>
            </w:r>
          </w:p>
        </w:tc>
      </w:tr>
    </w:tbl>
    <w:p>
      <w:r>
        <w:t>*Although these studies use an 8-class or multiclass CICIoT2023 setting, their preprocessing, sampling, split strategy and/or experimental protocol differs from this project. Therefore, the values are not a strict head-to-head benchmark. The present project uses a balanced 80,000-row training pool and the original imbalanced 268,463-row held-out test set.</w:t>
      </w:r>
    </w:p>
    <w:p>
      <w:pPr>
        <w:pStyle w:val="Heading1"/>
      </w:pPr>
      <w:r>
        <w:t>3. Detailed Multiclass Benchmark from Yaras &amp; Dener (2024)</w:t>
      </w:r>
    </w:p>
    <w:p>
      <w:r>
        <w:t>This is especially useful for comparison because the paper reports Accuracy, Precision, Recall and F1 for multiple ML and DL models on CICIoT2023. The table below reproduces the reported multiclass values from the paper's CICIoT2023 results table.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r>
              <w:rPr>
                <w:b/>
                <w:sz w:val="17"/>
              </w:rPr>
              <w:t>Model</w:t>
            </w:r>
          </w:p>
        </w:tc>
        <w:tc>
          <w:tcPr>
            <w:tcW w:type="dxa" w:w="1728"/>
          </w:tcPr>
          <w:p>
            <w:r>
              <w:rPr>
                <w:b/>
                <w:sz w:val="17"/>
              </w:rPr>
              <w:t>Accuracy %</w:t>
            </w:r>
          </w:p>
        </w:tc>
        <w:tc>
          <w:tcPr>
            <w:tcW w:type="dxa" w:w="1728"/>
          </w:tcPr>
          <w:p>
            <w:r>
              <w:rPr>
                <w:b/>
                <w:sz w:val="17"/>
              </w:rPr>
              <w:t>Precision %</w:t>
            </w:r>
          </w:p>
        </w:tc>
        <w:tc>
          <w:tcPr>
            <w:tcW w:type="dxa" w:w="1728"/>
          </w:tcPr>
          <w:p>
            <w:r>
              <w:rPr>
                <w:b/>
                <w:sz w:val="17"/>
              </w:rPr>
              <w:t>Recall %</w:t>
            </w:r>
          </w:p>
        </w:tc>
        <w:tc>
          <w:tcPr>
            <w:tcW w:type="dxa" w:w="1728"/>
          </w:tcPr>
          <w:p>
            <w:r>
              <w:rPr>
                <w:b/>
                <w:sz w:val="17"/>
              </w:rPr>
              <w:t>F1 %</w:t>
            </w:r>
          </w:p>
        </w:tc>
      </w:tr>
      <w:tr>
        <w:tc>
          <w:tcPr>
            <w:tcW w:type="dxa" w:w="1728"/>
          </w:tcPr>
          <w:p>
            <w:r>
              <w:rPr>
                <w:sz w:val="17"/>
              </w:rPr>
              <w:t>Decision Tree</w:t>
            </w:r>
          </w:p>
        </w:tc>
        <w:tc>
          <w:tcPr>
            <w:tcW w:type="dxa" w:w="1728"/>
          </w:tcPr>
          <w:p>
            <w:r>
              <w:rPr>
                <w:sz w:val="17"/>
              </w:rPr>
              <w:t>86.34</w:t>
            </w:r>
          </w:p>
        </w:tc>
        <w:tc>
          <w:tcPr>
            <w:tcW w:type="dxa" w:w="1728"/>
          </w:tcPr>
          <w:p>
            <w:r>
              <w:rPr>
                <w:sz w:val="17"/>
              </w:rPr>
              <w:t>82.39</w:t>
            </w:r>
          </w:p>
        </w:tc>
        <w:tc>
          <w:tcPr>
            <w:tcW w:type="dxa" w:w="1728"/>
          </w:tcPr>
          <w:p>
            <w:r>
              <w:rPr>
                <w:sz w:val="17"/>
              </w:rPr>
              <w:t>86.34</w:t>
            </w:r>
          </w:p>
        </w:tc>
        <w:tc>
          <w:tcPr>
            <w:tcW w:type="dxa" w:w="1728"/>
          </w:tcPr>
          <w:p>
            <w:r>
              <w:rPr>
                <w:sz w:val="17"/>
              </w:rPr>
              <w:t>82.69</w:t>
            </w:r>
          </w:p>
        </w:tc>
      </w:tr>
      <w:tr>
        <w:tc>
          <w:tcPr>
            <w:tcW w:type="dxa" w:w="1728"/>
          </w:tcPr>
          <w:p>
            <w:r>
              <w:rPr>
                <w:sz w:val="17"/>
              </w:rPr>
              <w:t>Random Forest</w:t>
            </w:r>
          </w:p>
        </w:tc>
        <w:tc>
          <w:tcPr>
            <w:tcW w:type="dxa" w:w="1728"/>
          </w:tcPr>
          <w:p>
            <w:r>
              <w:rPr>
                <w:sz w:val="17"/>
              </w:rPr>
              <w:t>96.58</w:t>
            </w:r>
          </w:p>
        </w:tc>
        <w:tc>
          <w:tcPr>
            <w:tcW w:type="dxa" w:w="1728"/>
          </w:tcPr>
          <w:p>
            <w:r>
              <w:rPr>
                <w:sz w:val="17"/>
              </w:rPr>
              <w:t>96.98</w:t>
            </w:r>
          </w:p>
        </w:tc>
        <w:tc>
          <w:tcPr>
            <w:tcW w:type="dxa" w:w="1728"/>
          </w:tcPr>
          <w:p>
            <w:r>
              <w:rPr>
                <w:sz w:val="17"/>
              </w:rPr>
              <w:t>96.58</w:t>
            </w:r>
          </w:p>
        </w:tc>
        <w:tc>
          <w:tcPr>
            <w:tcW w:type="dxa" w:w="1728"/>
          </w:tcPr>
          <w:p>
            <w:r>
              <w:rPr>
                <w:sz w:val="17"/>
              </w:rPr>
              <w:t>96.51</w:t>
            </w:r>
          </w:p>
        </w:tc>
      </w:tr>
      <w:tr>
        <w:tc>
          <w:tcPr>
            <w:tcW w:type="dxa" w:w="1728"/>
          </w:tcPr>
          <w:p>
            <w:r>
              <w:rPr>
                <w:sz w:val="17"/>
              </w:rPr>
              <w:t>Logistic Regression</w:t>
            </w:r>
          </w:p>
        </w:tc>
        <w:tc>
          <w:tcPr>
            <w:tcW w:type="dxa" w:w="1728"/>
          </w:tcPr>
          <w:p>
            <w:r>
              <w:rPr>
                <w:sz w:val="17"/>
              </w:rPr>
              <w:t>99.43</w:t>
            </w:r>
          </w:p>
        </w:tc>
        <w:tc>
          <w:tcPr>
            <w:tcW w:type="dxa" w:w="1728"/>
          </w:tcPr>
          <w:p>
            <w:r>
              <w:rPr>
                <w:sz w:val="17"/>
              </w:rPr>
              <w:t>99.44</w:t>
            </w:r>
          </w:p>
        </w:tc>
        <w:tc>
          <w:tcPr>
            <w:tcW w:type="dxa" w:w="1728"/>
          </w:tcPr>
          <w:p>
            <w:r>
              <w:rPr>
                <w:sz w:val="17"/>
              </w:rPr>
              <w:t>99.43</w:t>
            </w:r>
          </w:p>
        </w:tc>
        <w:tc>
          <w:tcPr>
            <w:tcW w:type="dxa" w:w="1728"/>
          </w:tcPr>
          <w:p>
            <w:r>
              <w:rPr>
                <w:sz w:val="17"/>
              </w:rPr>
              <w:t>99.43</w:t>
            </w:r>
          </w:p>
        </w:tc>
      </w:tr>
      <w:tr>
        <w:tc>
          <w:tcPr>
            <w:tcW w:type="dxa" w:w="1728"/>
          </w:tcPr>
          <w:p>
            <w:r>
              <w:rPr>
                <w:sz w:val="17"/>
              </w:rPr>
              <w:t>Gradient Boosting</w:t>
            </w:r>
          </w:p>
        </w:tc>
        <w:tc>
          <w:tcPr>
            <w:tcW w:type="dxa" w:w="1728"/>
          </w:tcPr>
          <w:p>
            <w:r>
              <w:rPr>
                <w:sz w:val="17"/>
              </w:rPr>
              <w:t>99.88</w:t>
            </w:r>
          </w:p>
        </w:tc>
        <w:tc>
          <w:tcPr>
            <w:tcW w:type="dxa" w:w="1728"/>
          </w:tcPr>
          <w:p>
            <w:r>
              <w:rPr>
                <w:sz w:val="17"/>
              </w:rPr>
              <w:t>99.88</w:t>
            </w:r>
          </w:p>
        </w:tc>
        <w:tc>
          <w:tcPr>
            <w:tcW w:type="dxa" w:w="1728"/>
          </w:tcPr>
          <w:p>
            <w:r>
              <w:rPr>
                <w:sz w:val="17"/>
              </w:rPr>
              <w:t>99.88</w:t>
            </w:r>
          </w:p>
        </w:tc>
        <w:tc>
          <w:tcPr>
            <w:tcW w:type="dxa" w:w="1728"/>
          </w:tcPr>
          <w:p>
            <w:r>
              <w:rPr>
                <w:sz w:val="17"/>
              </w:rPr>
              <w:t>99.88</w:t>
            </w:r>
          </w:p>
        </w:tc>
      </w:tr>
      <w:tr>
        <w:tc>
          <w:tcPr>
            <w:tcW w:type="dxa" w:w="1728"/>
          </w:tcPr>
          <w:p>
            <w:r>
              <w:rPr>
                <w:sz w:val="17"/>
              </w:rPr>
              <w:t>AdaBoost</w:t>
            </w:r>
          </w:p>
        </w:tc>
        <w:tc>
          <w:tcPr>
            <w:tcW w:type="dxa" w:w="1728"/>
          </w:tcPr>
          <w:p>
            <w:r>
              <w:rPr>
                <w:sz w:val="17"/>
              </w:rPr>
              <w:t>86.14</w:t>
            </w:r>
          </w:p>
        </w:tc>
        <w:tc>
          <w:tcPr>
            <w:tcW w:type="dxa" w:w="1728"/>
          </w:tcPr>
          <w:p>
            <w:r>
              <w:rPr>
                <w:sz w:val="17"/>
              </w:rPr>
              <w:t>79.44</w:t>
            </w:r>
          </w:p>
        </w:tc>
        <w:tc>
          <w:tcPr>
            <w:tcW w:type="dxa" w:w="1728"/>
          </w:tcPr>
          <w:p>
            <w:r>
              <w:rPr>
                <w:sz w:val="17"/>
              </w:rPr>
              <w:t>86.14</w:t>
            </w:r>
          </w:p>
        </w:tc>
        <w:tc>
          <w:tcPr>
            <w:tcW w:type="dxa" w:w="1728"/>
          </w:tcPr>
          <w:p>
            <w:r>
              <w:rPr>
                <w:sz w:val="17"/>
              </w:rPr>
              <w:t>81.91</w:t>
            </w:r>
          </w:p>
        </w:tc>
      </w:tr>
      <w:tr>
        <w:tc>
          <w:tcPr>
            <w:tcW w:type="dxa" w:w="1728"/>
          </w:tcPr>
          <w:p>
            <w:r>
              <w:rPr>
                <w:sz w:val="17"/>
              </w:rPr>
              <w:t>KNN</w:t>
            </w:r>
          </w:p>
        </w:tc>
        <w:tc>
          <w:tcPr>
            <w:tcW w:type="dxa" w:w="1728"/>
          </w:tcPr>
          <w:p>
            <w:r>
              <w:rPr>
                <w:sz w:val="17"/>
              </w:rPr>
              <w:t>99.86</w:t>
            </w:r>
          </w:p>
        </w:tc>
        <w:tc>
          <w:tcPr>
            <w:tcW w:type="dxa" w:w="1728"/>
          </w:tcPr>
          <w:p>
            <w:r>
              <w:rPr>
                <w:sz w:val="17"/>
              </w:rPr>
              <w:t>99.86</w:t>
            </w:r>
          </w:p>
        </w:tc>
        <w:tc>
          <w:tcPr>
            <w:tcW w:type="dxa" w:w="1728"/>
          </w:tcPr>
          <w:p>
            <w:r>
              <w:rPr>
                <w:sz w:val="17"/>
              </w:rPr>
              <w:t>99.86</w:t>
            </w:r>
          </w:p>
        </w:tc>
        <w:tc>
          <w:tcPr>
            <w:tcW w:type="dxa" w:w="1728"/>
          </w:tcPr>
          <w:p>
            <w:r>
              <w:rPr>
                <w:sz w:val="17"/>
              </w:rPr>
              <w:t>99.86</w:t>
            </w:r>
          </w:p>
        </w:tc>
      </w:tr>
      <w:tr>
        <w:tc>
          <w:tcPr>
            <w:tcW w:type="dxa" w:w="1728"/>
          </w:tcPr>
          <w:p>
            <w:r>
              <w:rPr>
                <w:sz w:val="17"/>
              </w:rPr>
              <w:t>MLP</w:t>
            </w:r>
          </w:p>
        </w:tc>
        <w:tc>
          <w:tcPr>
            <w:tcW w:type="dxa" w:w="1728"/>
          </w:tcPr>
          <w:p>
            <w:r>
              <w:rPr>
                <w:sz w:val="17"/>
              </w:rPr>
              <w:t>99.91</w:t>
            </w:r>
          </w:p>
        </w:tc>
        <w:tc>
          <w:tcPr>
            <w:tcW w:type="dxa" w:w="1728"/>
          </w:tcPr>
          <w:p>
            <w:r>
              <w:rPr>
                <w:sz w:val="17"/>
              </w:rPr>
              <w:t>99.91</w:t>
            </w:r>
          </w:p>
        </w:tc>
        <w:tc>
          <w:tcPr>
            <w:tcW w:type="dxa" w:w="1728"/>
          </w:tcPr>
          <w:p>
            <w:r>
              <w:rPr>
                <w:sz w:val="17"/>
              </w:rPr>
              <w:t>99.91</w:t>
            </w:r>
          </w:p>
        </w:tc>
        <w:tc>
          <w:tcPr>
            <w:tcW w:type="dxa" w:w="1728"/>
          </w:tcPr>
          <w:p>
            <w:r>
              <w:rPr>
                <w:sz w:val="17"/>
              </w:rPr>
              <w:t>99.91</w:t>
            </w:r>
          </w:p>
        </w:tc>
      </w:tr>
      <w:tr>
        <w:tc>
          <w:tcPr>
            <w:tcW w:type="dxa" w:w="1728"/>
          </w:tcPr>
          <w:p>
            <w:r>
              <w:rPr>
                <w:sz w:val="17"/>
              </w:rPr>
              <w:t>Naive Bayes</w:t>
            </w:r>
          </w:p>
        </w:tc>
        <w:tc>
          <w:tcPr>
            <w:tcW w:type="dxa" w:w="1728"/>
          </w:tcPr>
          <w:p>
            <w:r>
              <w:rPr>
                <w:sz w:val="17"/>
              </w:rPr>
              <w:t>99.09</w:t>
            </w:r>
          </w:p>
        </w:tc>
        <w:tc>
          <w:tcPr>
            <w:tcW w:type="dxa" w:w="1728"/>
          </w:tcPr>
          <w:p>
            <w:r>
              <w:rPr>
                <w:sz w:val="17"/>
              </w:rPr>
              <w:t>99.13</w:t>
            </w:r>
          </w:p>
        </w:tc>
        <w:tc>
          <w:tcPr>
            <w:tcW w:type="dxa" w:w="1728"/>
          </w:tcPr>
          <w:p>
            <w:r>
              <w:rPr>
                <w:sz w:val="17"/>
              </w:rPr>
              <w:t>99.09</w:t>
            </w:r>
          </w:p>
        </w:tc>
        <w:tc>
          <w:tcPr>
            <w:tcW w:type="dxa" w:w="1728"/>
          </w:tcPr>
          <w:p>
            <w:r>
              <w:rPr>
                <w:sz w:val="17"/>
              </w:rPr>
              <w:t>99.10</w:t>
            </w:r>
          </w:p>
        </w:tc>
      </w:tr>
      <w:tr>
        <w:tc>
          <w:tcPr>
            <w:tcW w:type="dxa" w:w="1728"/>
          </w:tcPr>
          <w:p>
            <w:r>
              <w:rPr>
                <w:sz w:val="17"/>
              </w:rPr>
              <w:t>CNN</w:t>
            </w:r>
          </w:p>
        </w:tc>
        <w:tc>
          <w:tcPr>
            <w:tcW w:type="dxa" w:w="1728"/>
          </w:tcPr>
          <w:p>
            <w:r>
              <w:rPr>
                <w:sz w:val="17"/>
              </w:rPr>
              <w:t>99.90</w:t>
            </w:r>
          </w:p>
        </w:tc>
        <w:tc>
          <w:tcPr>
            <w:tcW w:type="dxa" w:w="1728"/>
          </w:tcPr>
          <w:p>
            <w:r>
              <w:rPr>
                <w:sz w:val="17"/>
              </w:rPr>
              <w:t>99.93</w:t>
            </w:r>
          </w:p>
        </w:tc>
        <w:tc>
          <w:tcPr>
            <w:tcW w:type="dxa" w:w="1728"/>
          </w:tcPr>
          <w:p>
            <w:r>
              <w:rPr>
                <w:sz w:val="17"/>
              </w:rPr>
              <w:t>99.90</w:t>
            </w:r>
          </w:p>
        </w:tc>
        <w:tc>
          <w:tcPr>
            <w:tcW w:type="dxa" w:w="1728"/>
          </w:tcPr>
          <w:p>
            <w:r>
              <w:rPr>
                <w:sz w:val="17"/>
              </w:rPr>
              <w:t>99.91</w:t>
            </w:r>
          </w:p>
        </w:tc>
      </w:tr>
      <w:tr>
        <w:tc>
          <w:tcPr>
            <w:tcW w:type="dxa" w:w="1728"/>
          </w:tcPr>
          <w:p>
            <w:r>
              <w:rPr>
                <w:sz w:val="17"/>
              </w:rPr>
              <w:t>LSTM</w:t>
            </w:r>
          </w:p>
        </w:tc>
        <w:tc>
          <w:tcPr>
            <w:tcW w:type="dxa" w:w="1728"/>
          </w:tcPr>
          <w:p>
            <w:r>
              <w:rPr>
                <w:sz w:val="17"/>
              </w:rPr>
              <w:t>98.66</w:t>
            </w:r>
          </w:p>
        </w:tc>
        <w:tc>
          <w:tcPr>
            <w:tcW w:type="dxa" w:w="1728"/>
          </w:tcPr>
          <w:p>
            <w:r>
              <w:rPr>
                <w:sz w:val="17"/>
              </w:rPr>
              <w:t>98.71</w:t>
            </w:r>
          </w:p>
        </w:tc>
        <w:tc>
          <w:tcPr>
            <w:tcW w:type="dxa" w:w="1728"/>
          </w:tcPr>
          <w:p>
            <w:r>
              <w:rPr>
                <w:sz w:val="17"/>
              </w:rPr>
              <w:t>98.63</w:t>
            </w:r>
          </w:p>
        </w:tc>
        <w:tc>
          <w:tcPr>
            <w:tcW w:type="dxa" w:w="1728"/>
          </w:tcPr>
          <w:p>
            <w:r>
              <w:rPr>
                <w:sz w:val="17"/>
              </w:rPr>
              <w:t>98.67</w:t>
            </w:r>
          </w:p>
        </w:tc>
      </w:tr>
      <w:tr>
        <w:tc>
          <w:tcPr>
            <w:tcW w:type="dxa" w:w="1728"/>
          </w:tcPr>
          <w:p>
            <w:r>
              <w:rPr>
                <w:sz w:val="17"/>
              </w:rPr>
              <w:t>Proposed Hybrid</w:t>
            </w:r>
          </w:p>
        </w:tc>
        <w:tc>
          <w:tcPr>
            <w:tcW w:type="dxa" w:w="1728"/>
          </w:tcPr>
          <w:p>
            <w:r>
              <w:rPr>
                <w:sz w:val="17"/>
              </w:rPr>
              <w:t>99.96</w:t>
            </w:r>
          </w:p>
        </w:tc>
        <w:tc>
          <w:tcPr>
            <w:tcW w:type="dxa" w:w="1728"/>
          </w:tcPr>
          <w:p>
            <w:r>
              <w:rPr>
                <w:sz w:val="17"/>
              </w:rPr>
              <w:t>99.96</w:t>
            </w:r>
          </w:p>
        </w:tc>
        <w:tc>
          <w:tcPr>
            <w:tcW w:type="dxa" w:w="1728"/>
          </w:tcPr>
          <w:p>
            <w:r>
              <w:rPr>
                <w:sz w:val="17"/>
              </w:rPr>
              <w:t>99.96</w:t>
            </w:r>
          </w:p>
        </w:tc>
        <w:tc>
          <w:tcPr>
            <w:tcW w:type="dxa" w:w="1728"/>
          </w:tcPr>
          <w:p>
            <w:r>
              <w:rPr>
                <w:sz w:val="17"/>
              </w:rPr>
              <w:t>99.96</w:t>
            </w:r>
          </w:p>
        </w:tc>
      </w:tr>
    </w:tbl>
    <w:p>
      <w:r>
        <w:t>This benchmark shows that published results can be extremely high, but the paper uses its own preprocessing and experimental setup. It should therefore be used as an external SOTA reference, not as a direct replacement for the controlled experiment in this project.</w:t>
      </w:r>
    </w:p>
    <w:p>
      <w:pPr>
        <w:pStyle w:val="Heading1"/>
      </w:pPr>
      <w:r>
        <w:t>4. Direct Comparison with Our Models</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sz w:val="17"/>
              </w:rPr>
              <w:t>Model</w:t>
            </w:r>
          </w:p>
        </w:tc>
        <w:tc>
          <w:tcPr>
            <w:tcW w:type="dxa" w:w="1234"/>
          </w:tcPr>
          <w:p>
            <w:r>
              <w:rPr>
                <w:b/>
                <w:sz w:val="17"/>
              </w:rPr>
              <w:t>Accuracy</w:t>
            </w:r>
          </w:p>
        </w:tc>
        <w:tc>
          <w:tcPr>
            <w:tcW w:type="dxa" w:w="1234"/>
          </w:tcPr>
          <w:p>
            <w:r>
              <w:rPr>
                <w:b/>
                <w:sz w:val="17"/>
              </w:rPr>
              <w:t>Macro Precision</w:t>
            </w:r>
          </w:p>
        </w:tc>
        <w:tc>
          <w:tcPr>
            <w:tcW w:type="dxa" w:w="1234"/>
          </w:tcPr>
          <w:p>
            <w:r>
              <w:rPr>
                <w:b/>
                <w:sz w:val="17"/>
              </w:rPr>
              <w:t>Macro Recall</w:t>
            </w:r>
          </w:p>
        </w:tc>
        <w:tc>
          <w:tcPr>
            <w:tcW w:type="dxa" w:w="1234"/>
          </w:tcPr>
          <w:p>
            <w:r>
              <w:rPr>
                <w:b/>
                <w:sz w:val="17"/>
              </w:rPr>
              <w:t>Macro F1</w:t>
            </w:r>
          </w:p>
        </w:tc>
        <w:tc>
          <w:tcPr>
            <w:tcW w:type="dxa" w:w="1234"/>
          </w:tcPr>
          <w:p>
            <w:r>
              <w:rPr>
                <w:b/>
                <w:sz w:val="17"/>
              </w:rPr>
              <w:t>Training Time (s)</w:t>
            </w:r>
          </w:p>
        </w:tc>
        <w:tc>
          <w:tcPr>
            <w:tcW w:type="dxa" w:w="1234"/>
          </w:tcPr>
          <w:p>
            <w:r>
              <w:rPr>
                <w:b/>
                <w:sz w:val="17"/>
              </w:rPr>
              <w:t>Parameters</w:t>
            </w:r>
          </w:p>
        </w:tc>
      </w:tr>
      <w:tr>
        <w:tc>
          <w:tcPr>
            <w:tcW w:type="dxa" w:w="1234"/>
          </w:tcPr>
          <w:p>
            <w:r>
              <w:rPr>
                <w:sz w:val="17"/>
              </w:rPr>
              <w:t>DNN</w:t>
            </w:r>
          </w:p>
        </w:tc>
        <w:tc>
          <w:tcPr>
            <w:tcW w:type="dxa" w:w="1234"/>
          </w:tcPr>
          <w:p>
            <w:r>
              <w:rPr>
                <w:sz w:val="17"/>
              </w:rPr>
              <w:t>75.79%</w:t>
            </w:r>
          </w:p>
        </w:tc>
        <w:tc>
          <w:tcPr>
            <w:tcW w:type="dxa" w:w="1234"/>
          </w:tcPr>
          <w:p>
            <w:r>
              <w:rPr>
                <w:sz w:val="17"/>
              </w:rPr>
              <w:t>0.6465</w:t>
            </w:r>
          </w:p>
        </w:tc>
        <w:tc>
          <w:tcPr>
            <w:tcW w:type="dxa" w:w="1234"/>
          </w:tcPr>
          <w:p>
            <w:r>
              <w:rPr>
                <w:sz w:val="17"/>
              </w:rPr>
              <w:t>0.6970</w:t>
            </w:r>
          </w:p>
        </w:tc>
        <w:tc>
          <w:tcPr>
            <w:tcW w:type="dxa" w:w="1234"/>
          </w:tcPr>
          <w:p>
            <w:r>
              <w:rPr>
                <w:sz w:val="17"/>
              </w:rPr>
              <w:t>0.6344</w:t>
            </w:r>
          </w:p>
        </w:tc>
        <w:tc>
          <w:tcPr>
            <w:tcW w:type="dxa" w:w="1234"/>
          </w:tcPr>
          <w:p>
            <w:r>
              <w:rPr>
                <w:sz w:val="17"/>
              </w:rPr>
              <w:t>33.96</w:t>
            </w:r>
          </w:p>
        </w:tc>
        <w:tc>
          <w:tcPr>
            <w:tcW w:type="dxa" w:w="1234"/>
          </w:tcPr>
          <w:p>
            <w:r>
              <w:rPr>
                <w:sz w:val="17"/>
              </w:rPr>
              <w:t>15,720</w:t>
            </w:r>
          </w:p>
        </w:tc>
      </w:tr>
      <w:tr>
        <w:tc>
          <w:tcPr>
            <w:tcW w:type="dxa" w:w="1234"/>
          </w:tcPr>
          <w:p>
            <w:r>
              <w:rPr>
                <w:sz w:val="17"/>
              </w:rPr>
              <w:t>DNN + Dropout</w:t>
            </w:r>
          </w:p>
        </w:tc>
        <w:tc>
          <w:tcPr>
            <w:tcW w:type="dxa" w:w="1234"/>
          </w:tcPr>
          <w:p>
            <w:r>
              <w:rPr>
                <w:sz w:val="17"/>
              </w:rPr>
              <w:t>71.82%</w:t>
            </w:r>
          </w:p>
        </w:tc>
        <w:tc>
          <w:tcPr>
            <w:tcW w:type="dxa" w:w="1234"/>
          </w:tcPr>
          <w:p>
            <w:r>
              <w:rPr>
                <w:sz w:val="17"/>
              </w:rPr>
              <w:t>0.6301</w:t>
            </w:r>
          </w:p>
        </w:tc>
        <w:tc>
          <w:tcPr>
            <w:tcW w:type="dxa" w:w="1234"/>
          </w:tcPr>
          <w:p>
            <w:r>
              <w:rPr>
                <w:sz w:val="17"/>
              </w:rPr>
              <w:t>0.6851</w:t>
            </w:r>
          </w:p>
        </w:tc>
        <w:tc>
          <w:tcPr>
            <w:tcW w:type="dxa" w:w="1234"/>
          </w:tcPr>
          <w:p>
            <w:r>
              <w:rPr>
                <w:sz w:val="17"/>
              </w:rPr>
              <w:t>0.6114</w:t>
            </w:r>
          </w:p>
        </w:tc>
        <w:tc>
          <w:tcPr>
            <w:tcW w:type="dxa" w:w="1234"/>
          </w:tcPr>
          <w:p>
            <w:r>
              <w:rPr>
                <w:sz w:val="17"/>
              </w:rPr>
              <w:t>36.51</w:t>
            </w:r>
          </w:p>
        </w:tc>
        <w:tc>
          <w:tcPr>
            <w:tcW w:type="dxa" w:w="1234"/>
          </w:tcPr>
          <w:p>
            <w:r>
              <w:rPr>
                <w:sz w:val="17"/>
              </w:rPr>
              <w:t>15,720</w:t>
            </w:r>
          </w:p>
        </w:tc>
      </w:tr>
      <w:tr>
        <w:tc>
          <w:tcPr>
            <w:tcW w:type="dxa" w:w="1234"/>
          </w:tcPr>
          <w:p>
            <w:r>
              <w:rPr>
                <w:sz w:val="17"/>
              </w:rPr>
              <w:t>DNN + L2</w:t>
            </w:r>
          </w:p>
        </w:tc>
        <w:tc>
          <w:tcPr>
            <w:tcW w:type="dxa" w:w="1234"/>
          </w:tcPr>
          <w:p>
            <w:r>
              <w:rPr>
                <w:sz w:val="17"/>
              </w:rPr>
              <w:t>74.18%</w:t>
            </w:r>
          </w:p>
        </w:tc>
        <w:tc>
          <w:tcPr>
            <w:tcW w:type="dxa" w:w="1234"/>
          </w:tcPr>
          <w:p>
            <w:r>
              <w:rPr>
                <w:sz w:val="17"/>
              </w:rPr>
              <w:t>0.6371</w:t>
            </w:r>
          </w:p>
        </w:tc>
        <w:tc>
          <w:tcPr>
            <w:tcW w:type="dxa" w:w="1234"/>
          </w:tcPr>
          <w:p>
            <w:r>
              <w:rPr>
                <w:sz w:val="17"/>
              </w:rPr>
              <w:t>0.6961</w:t>
            </w:r>
          </w:p>
        </w:tc>
        <w:tc>
          <w:tcPr>
            <w:tcW w:type="dxa" w:w="1234"/>
          </w:tcPr>
          <w:p>
            <w:r>
              <w:rPr>
                <w:sz w:val="17"/>
              </w:rPr>
              <w:t>0.6280</w:t>
            </w:r>
          </w:p>
        </w:tc>
        <w:tc>
          <w:tcPr>
            <w:tcW w:type="dxa" w:w="1234"/>
          </w:tcPr>
          <w:p>
            <w:r>
              <w:rPr>
                <w:sz w:val="17"/>
              </w:rPr>
              <w:t>31.42</w:t>
            </w:r>
          </w:p>
        </w:tc>
        <w:tc>
          <w:tcPr>
            <w:tcW w:type="dxa" w:w="1234"/>
          </w:tcPr>
          <w:p>
            <w:r>
              <w:rPr>
                <w:sz w:val="17"/>
              </w:rPr>
              <w:t>15,720</w:t>
            </w:r>
          </w:p>
        </w:tc>
      </w:tr>
      <w:tr>
        <w:tc>
          <w:tcPr>
            <w:tcW w:type="dxa" w:w="1234"/>
          </w:tcPr>
          <w:p>
            <w:r>
              <w:rPr>
                <w:sz w:val="17"/>
              </w:rPr>
              <w:t>Proposed DNN</w:t>
            </w:r>
          </w:p>
        </w:tc>
        <w:tc>
          <w:tcPr>
            <w:tcW w:type="dxa" w:w="1234"/>
          </w:tcPr>
          <w:p>
            <w:r>
              <w:rPr>
                <w:sz w:val="17"/>
              </w:rPr>
              <w:t>73.00%</w:t>
            </w:r>
          </w:p>
        </w:tc>
        <w:tc>
          <w:tcPr>
            <w:tcW w:type="dxa" w:w="1234"/>
          </w:tcPr>
          <w:p>
            <w:r>
              <w:rPr>
                <w:sz w:val="17"/>
              </w:rPr>
              <w:t>0.6378</w:t>
            </w:r>
          </w:p>
        </w:tc>
        <w:tc>
          <w:tcPr>
            <w:tcW w:type="dxa" w:w="1234"/>
          </w:tcPr>
          <w:p>
            <w:r>
              <w:rPr>
                <w:sz w:val="17"/>
              </w:rPr>
              <w:t>0.6857</w:t>
            </w:r>
          </w:p>
        </w:tc>
        <w:tc>
          <w:tcPr>
            <w:tcW w:type="dxa" w:w="1234"/>
          </w:tcPr>
          <w:p>
            <w:r>
              <w:rPr>
                <w:sz w:val="17"/>
              </w:rPr>
              <w:t>0.6210</w:t>
            </w:r>
          </w:p>
        </w:tc>
        <w:tc>
          <w:tcPr>
            <w:tcW w:type="dxa" w:w="1234"/>
          </w:tcPr>
          <w:p>
            <w:r>
              <w:rPr>
                <w:sz w:val="17"/>
              </w:rPr>
              <w:t>44.22</w:t>
            </w:r>
          </w:p>
        </w:tc>
        <w:tc>
          <w:tcPr>
            <w:tcW w:type="dxa" w:w="1234"/>
          </w:tcPr>
          <w:p>
            <w:r>
              <w:rPr>
                <w:sz w:val="17"/>
              </w:rPr>
              <w:t>16,232</w:t>
            </w:r>
          </w:p>
        </w:tc>
      </w:tr>
      <w:tr>
        <w:tc>
          <w:tcPr>
            <w:tcW w:type="dxa" w:w="1234"/>
          </w:tcPr>
          <w:p>
            <w:r>
              <w:rPr>
                <w:sz w:val="17"/>
              </w:rPr>
              <w:t>1D CNN</w:t>
            </w:r>
          </w:p>
        </w:tc>
        <w:tc>
          <w:tcPr>
            <w:tcW w:type="dxa" w:w="1234"/>
          </w:tcPr>
          <w:p>
            <w:r>
              <w:rPr>
                <w:sz w:val="17"/>
              </w:rPr>
              <w:t>75.63%</w:t>
            </w:r>
          </w:p>
        </w:tc>
        <w:tc>
          <w:tcPr>
            <w:tcW w:type="dxa" w:w="1234"/>
          </w:tcPr>
          <w:p>
            <w:r>
              <w:rPr>
                <w:sz w:val="17"/>
              </w:rPr>
              <w:t>0.6398</w:t>
            </w:r>
          </w:p>
        </w:tc>
        <w:tc>
          <w:tcPr>
            <w:tcW w:type="dxa" w:w="1234"/>
          </w:tcPr>
          <w:p>
            <w:r>
              <w:rPr>
                <w:sz w:val="17"/>
              </w:rPr>
              <w:t>0.7041</w:t>
            </w:r>
          </w:p>
        </w:tc>
        <w:tc>
          <w:tcPr>
            <w:tcW w:type="dxa" w:w="1234"/>
          </w:tcPr>
          <w:p>
            <w:r>
              <w:rPr>
                <w:sz w:val="17"/>
              </w:rPr>
              <w:t>0.6356</w:t>
            </w:r>
          </w:p>
        </w:tc>
        <w:tc>
          <w:tcPr>
            <w:tcW w:type="dxa" w:w="1234"/>
          </w:tcPr>
          <w:p>
            <w:r>
              <w:rPr>
                <w:sz w:val="17"/>
              </w:rPr>
              <w:t>326.86</w:t>
            </w:r>
          </w:p>
        </w:tc>
        <w:tc>
          <w:tcPr>
            <w:tcW w:type="dxa" w:w="1234"/>
          </w:tcPr>
          <w:p>
            <w:r>
              <w:rPr>
                <w:sz w:val="17"/>
              </w:rPr>
              <w:t>157,448</w:t>
            </w:r>
          </w:p>
        </w:tc>
      </w:tr>
      <w:tr>
        <w:tc>
          <w:tcPr>
            <w:tcW w:type="dxa" w:w="1234"/>
          </w:tcPr>
          <w:p>
            <w:r>
              <w:rPr>
                <w:sz w:val="17"/>
              </w:rPr>
              <w:t>LSTM</w:t>
            </w:r>
          </w:p>
        </w:tc>
        <w:tc>
          <w:tcPr>
            <w:tcW w:type="dxa" w:w="1234"/>
          </w:tcPr>
          <w:p>
            <w:r>
              <w:rPr>
                <w:sz w:val="17"/>
              </w:rPr>
              <w:t>51.48%</w:t>
            </w:r>
          </w:p>
        </w:tc>
        <w:tc>
          <w:tcPr>
            <w:tcW w:type="dxa" w:w="1234"/>
          </w:tcPr>
          <w:p>
            <w:r>
              <w:rPr>
                <w:sz w:val="17"/>
              </w:rPr>
              <w:t>0.4865</w:t>
            </w:r>
          </w:p>
        </w:tc>
        <w:tc>
          <w:tcPr>
            <w:tcW w:type="dxa" w:w="1234"/>
          </w:tcPr>
          <w:p>
            <w:r>
              <w:rPr>
                <w:sz w:val="17"/>
              </w:rPr>
              <w:t>0.4840</w:t>
            </w:r>
          </w:p>
        </w:tc>
        <w:tc>
          <w:tcPr>
            <w:tcW w:type="dxa" w:w="1234"/>
          </w:tcPr>
          <w:p>
            <w:r>
              <w:rPr>
                <w:sz w:val="17"/>
              </w:rPr>
              <w:t>0.4271</w:t>
            </w:r>
          </w:p>
        </w:tc>
        <w:tc>
          <w:tcPr>
            <w:tcW w:type="dxa" w:w="1234"/>
          </w:tcPr>
          <w:p>
            <w:r>
              <w:rPr>
                <w:sz w:val="17"/>
              </w:rPr>
              <w:t>244.20</w:t>
            </w:r>
          </w:p>
        </w:tc>
        <w:tc>
          <w:tcPr>
            <w:tcW w:type="dxa" w:w="1234"/>
          </w:tcPr>
          <w:p>
            <w:r>
              <w:rPr>
                <w:sz w:val="17"/>
              </w:rPr>
              <w:t>31,944</w:t>
            </w:r>
          </w:p>
        </w:tc>
      </w:tr>
    </w:tbl>
    <w:p>
      <w:pPr>
        <w:pStyle w:val="Heading1"/>
      </w:pPr>
      <w:r>
        <w:t>5. Interpretation of the SOTA Gap</w:t>
      </w:r>
    </w:p>
    <w:p>
      <w:pPr>
        <w:pStyle w:val="ListBullet"/>
      </w:pPr>
      <w:r>
        <w:t>Published CICIoT2023 studies often report &gt;90% and, in some settings, &gt;99% accuracy.</w:t>
      </w:r>
    </w:p>
    <w:p>
      <w:pPr>
        <w:pStyle w:val="ListBullet"/>
      </w:pPr>
      <w:r>
        <w:t>Our controlled experiment obtains 75.79% accuracy for the best model and 0.6356 macro-F1 for the best model.</w:t>
      </w:r>
    </w:p>
    <w:p>
      <w:pPr>
        <w:pStyle w:val="ListBullet"/>
      </w:pPr>
      <w:r>
        <w:t>The difference should not be described simply as 'our model is worse'. The experimental protocols are different.</w:t>
      </w:r>
    </w:p>
    <w:p>
      <w:pPr>
        <w:pStyle w:val="ListBullet"/>
      </w:pPr>
      <w:r>
        <w:t>Our test set retains the original highly imbalanced distribution, making minority classes difficult.</w:t>
      </w:r>
    </w:p>
    <w:p>
      <w:pPr>
        <w:pStyle w:val="ListBullet"/>
      </w:pPr>
      <w:r>
        <w:t>Our training data is restricted to 10,000 samples per class to keep the experiment computationally manageable.</w:t>
      </w:r>
    </w:p>
    <w:p>
      <w:pPr>
        <w:pStyle w:val="ListBullet"/>
      </w:pPr>
      <w:r>
        <w:t>Macro-F1 is substantially more informative than accuracy for our setting because BruteForce and Web-based attacks are minority classes.</w:t>
      </w:r>
    </w:p>
    <w:p>
      <w:pPr>
        <w:pStyle w:val="ListBullet"/>
      </w:pPr>
      <w:r>
        <w:t>The purpose of the project is therefore a controlled internal comparison and ablation study, with external SOTA used as contextual evidence.</w:t>
      </w:r>
    </w:p>
    <w:p>
      <w:pPr>
        <w:pStyle w:val="Heading1"/>
      </w:pPr>
      <w:r>
        <w:t>6. Research Gap Derived from the SOTA Comparison</w:t>
      </w:r>
    </w:p>
    <w:p>
      <w:r>
        <w:t>The literature demonstrates that simply achieving a high accuracy value on CICIoT2023 is no longer a sufficient research contribution. Existing studies use different preprocessing, class definitions, sampling strategies and evaluation settings. In addition, accuracy can hide poor minority-class performance. A controlled experiment that fixes the data preparation and evaluates macro-level performance, model size and computational cost provides a more reproducible basis for comparison.</w:t>
      </w:r>
    </w:p>
    <w:p>
      <w:r>
        <w:t>Selected gap: controlled and reproducible evaluation of representative DL architectures on the same CICIoT2023 8-class setup, with explicit analysis of class imbalance, regularization effects, macro-F1 and computational cost.</w:t>
      </w:r>
    </w:p>
    <w:p>
      <w:pPr>
        <w:pStyle w:val="Heading1"/>
      </w:pPr>
      <w:r>
        <w:t>7. References Used for the Comparison</w:t>
      </w:r>
    </w:p>
    <w:p>
      <w:pPr>
        <w:pStyle w:val="ListNumber"/>
      </w:pPr>
      <w:r>
        <w:t>Neto, E. C. P., et al. (2023). CICIoT2023: A Real-Time Dataset and Benchmark for Large-Scale Attacks in IoT Environment. Sensors, 23(13), 5941.</w:t>
      </w:r>
    </w:p>
    <w:p>
      <w:pPr>
        <w:pStyle w:val="ListNumber"/>
      </w:pPr>
      <w:r>
        <w:t>Wang et al. (2023). DL-BiLSTM approach evaluated on CICIoT2023.</w:t>
      </w:r>
    </w:p>
    <w:p>
      <w:pPr>
        <w:pStyle w:val="ListNumber"/>
      </w:pPr>
      <w:r>
        <w:t>Yaras, S., &amp; Dener, M. (2024). IoT-Based Intrusion Detection System Using New Hybrid Deep Learning Algorithm. Electronics, 13(6), 1053.</w:t>
      </w:r>
    </w:p>
    <w:p>
      <w:pPr>
        <w:pStyle w:val="ListNumber"/>
      </w:pPr>
      <w:r>
        <w:t>Becerra-Suarez, F. L., et al. (2024). Performance Evaluation of Deep Learning Models for Classifying Cybersecurity Attacks in IoT Networks.</w:t>
      </w:r>
    </w:p>
    <w:p>
      <w:pPr>
        <w:pStyle w:val="ListNumber"/>
      </w:pPr>
      <w:r>
        <w:t>Ahmad et al. (2025). Interpretable Deep Learning Framework for IDS in IIoT using Extra Trees, GRU and SHAP.</w:t>
      </w:r>
    </w:p>
    <w:p>
      <w:pPr>
        <w:pStyle w:val="ListNumber"/>
      </w:pPr>
      <w:r>
        <w:t>Federated XAI IDS study (2025), ANN + FedAvg + SHAP on CICIoT2023.</w:t>
      </w:r>
    </w:p>
    <w:p>
      <w:pPr>
        <w:pStyle w:val="ListNumber"/>
      </w:pPr>
      <w:r>
        <w:t>Additional 2025–2026 CICIoT2023/XAI/efficiency studies are discussed in the accompanying literature review.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Arial" w:hAnsi="Arial"/>
    </w:rPr>
  </w:style>
  <w:style w:type="character" w:customStyle="1" w:styleId="HeaderChar">
    <w:name w:val="Header Char"/>
    <w:basedOn w:val="DefaultParagraphFont"/>
    <w:link w:val="Header"/>
    <w:uiPriority w:val="99"/>
    <w:rsid w:val="00E618BF"/>
    <w:rPr>
      <w:rFonts w:ascii="Arial" w:hAnsi="Arial"/>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Arial" w:hAnsi="Arial"/>
    </w:rPr>
  </w:style>
  <w:style w:type="character" w:customStyle="1" w:styleId="FooterChar">
    <w:name w:val="Footer Char"/>
    <w:basedOn w:val="DefaultParagraphFont"/>
    <w:link w:val="Footer"/>
    <w:uiPriority w:val="99"/>
    <w:rsid w:val="00E618B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Arial" w:hAnsi="Arial"/>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Arial" w:hAnsi="Arial"/>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Arial" w:hAnsi="Arial"/>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Arial" w:hAnsi="Arial"/>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Arial" w:hAnsi="Arial"/>
      <w:i/>
      <w:iCs/>
      <w:color w:val="404040" w:themeColor="text1" w:themeTint="BF"/>
      <w:sz w:val="20"/>
      <w:szCs w:val="20"/>
    </w:rPr>
  </w:style>
  <w:style w:type="character" w:default="1" w:styleId="DefaultParagraphFont">
    <w:name w:val="Default Paragraph Font"/>
    <w:uiPriority w:val="1"/>
    <w:semiHidden/>
    <w:unhideWhenUsed/>
    <w:rPr>
      <w:rFonts w:ascii="Arial" w:hAnsi="Arial"/>
    </w:rPr>
  </w:style>
  <w:style w:type="table" w:default="1" w:styleId="TableNormal">
    <w:name w:val="Normal Table"/>
    <w:uiPriority w:val="99"/>
    <w:semiHidden/>
    <w:unhideWhenUsed/>
    <w:rPr>
      <w:rFonts w:ascii="Arial" w:hAnsi="Arial"/>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Arial" w:hAnsi="Arial"/>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Arial" w:hAnsi="Arial"/>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Arial" w:hAnsi="Arial"/>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Arial" w:hAnsi="Arial"/>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Arial" w:hAnsi="Arial"/>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Arial" w:hAnsi="Arial"/>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Arial" w:hAnsi="Arial"/>
    </w:rPr>
  </w:style>
  <w:style w:type="paragraph" w:styleId="BodyText">
    <w:name w:val="Body Text"/>
    <w:basedOn w:val="Normal"/>
    <w:link w:val="BodyTextChar"/>
    <w:uiPriority w:val="99"/>
    <w:unhideWhenUsed/>
    <w:rsid w:val="00AA1D8D"/>
    <w:pPr>
      <w:spacing w:after="120"/>
    </w:pPr>
    <w:rPr>
      <w:rFonts w:ascii="Arial" w:hAnsi="Arial"/>
    </w:rPr>
  </w:style>
  <w:style w:type="character" w:customStyle="1" w:styleId="BodyTextChar">
    <w:name w:val="Body Text Char"/>
    <w:basedOn w:val="DefaultParagraphFont"/>
    <w:link w:val="BodyText"/>
    <w:uiPriority w:val="99"/>
    <w:rsid w:val="00AA1D8D"/>
    <w:rPr>
      <w:rFonts w:ascii="Arial" w:hAnsi="Arial"/>
    </w:rPr>
  </w:style>
  <w:style w:type="paragraph" w:styleId="BodyText2">
    <w:name w:val="Body Text 2"/>
    <w:basedOn w:val="Normal"/>
    <w:link w:val="BodyText2Char"/>
    <w:uiPriority w:val="99"/>
    <w:unhideWhenUsed/>
    <w:rsid w:val="00AA1D8D"/>
    <w:pPr>
      <w:spacing w:after="120" w:line="480" w:lineRule="auto"/>
    </w:pPr>
    <w:rPr>
      <w:rFonts w:ascii="Arial" w:hAnsi="Arial"/>
    </w:rPr>
  </w:style>
  <w:style w:type="character" w:customStyle="1" w:styleId="BodyText2Char">
    <w:name w:val="Body Text 2 Char"/>
    <w:basedOn w:val="DefaultParagraphFont"/>
    <w:link w:val="BodyText2"/>
    <w:uiPriority w:val="99"/>
    <w:rsid w:val="00AA1D8D"/>
    <w:rPr>
      <w:rFonts w:ascii="Arial" w:hAnsi="Arial"/>
    </w:rPr>
  </w:style>
  <w:style w:type="paragraph" w:styleId="BodyText3">
    <w:name w:val="Body Text 3"/>
    <w:basedOn w:val="Normal"/>
    <w:link w:val="BodyText3Char"/>
    <w:uiPriority w:val="99"/>
    <w:unhideWhenUsed/>
    <w:rsid w:val="00AA1D8D"/>
    <w:pPr>
      <w:spacing w:after="120"/>
    </w:pPr>
    <w:rPr>
      <w:rFonts w:ascii="Arial" w:hAnsi="Arial"/>
      <w:sz w:val="16"/>
      <w:szCs w:val="16"/>
    </w:rPr>
  </w:style>
  <w:style w:type="character" w:customStyle="1" w:styleId="BodyText3Char">
    <w:name w:val="Body Text 3 Char"/>
    <w:basedOn w:val="DefaultParagraphFont"/>
    <w:link w:val="BodyText3"/>
    <w:uiPriority w:val="99"/>
    <w:rsid w:val="00AA1D8D"/>
    <w:rPr>
      <w:rFonts w:ascii="Arial" w:hAnsi="Arial"/>
      <w:sz w:val="16"/>
      <w:szCs w:val="16"/>
    </w:rPr>
  </w:style>
  <w:style w:type="paragraph" w:styleId="List">
    <w:name w:val="List"/>
    <w:basedOn w:val="Normal"/>
    <w:uiPriority w:val="99"/>
    <w:unhideWhenUsed/>
    <w:rsid w:val="00AA1D8D"/>
    <w:pPr>
      <w:ind w:left="360" w:hanging="360"/>
      <w:contextualSpacing/>
    </w:pPr>
    <w:rPr>
      <w:rFonts w:ascii="Arial" w:hAnsi="Arial"/>
    </w:rPr>
  </w:style>
  <w:style w:type="paragraph" w:styleId="List2">
    <w:name w:val="List 2"/>
    <w:basedOn w:val="Normal"/>
    <w:uiPriority w:val="99"/>
    <w:unhideWhenUsed/>
    <w:rsid w:val="00326F90"/>
    <w:pPr>
      <w:ind w:left="720" w:hanging="360"/>
      <w:contextualSpacing/>
    </w:pPr>
    <w:rPr>
      <w:rFonts w:ascii="Arial" w:hAnsi="Arial"/>
    </w:rPr>
  </w:style>
  <w:style w:type="paragraph" w:styleId="List3">
    <w:name w:val="List 3"/>
    <w:basedOn w:val="Normal"/>
    <w:uiPriority w:val="99"/>
    <w:unhideWhenUsed/>
    <w:rsid w:val="00326F90"/>
    <w:pPr>
      <w:ind w:left="1080" w:hanging="360"/>
      <w:contextualSpacing/>
    </w:pPr>
    <w:rPr>
      <w:rFonts w:ascii="Arial" w:hAnsi="Arial"/>
    </w:rPr>
  </w:style>
  <w:style w:type="paragraph" w:styleId="ListBullet">
    <w:name w:val="List Bullet"/>
    <w:basedOn w:val="Normal"/>
    <w:uiPriority w:val="99"/>
    <w:unhideWhenUsed/>
    <w:rsid w:val="00326F90"/>
    <w:pPr>
      <w:numPr>
        <w:numId w:val="1"/>
      </w:numPr>
      <w:contextualSpacing/>
    </w:pPr>
    <w:rPr>
      <w:rFonts w:ascii="Arial" w:hAnsi="Arial"/>
    </w:rPr>
  </w:style>
  <w:style w:type="paragraph" w:styleId="ListBullet2">
    <w:name w:val="List Bullet 2"/>
    <w:basedOn w:val="Normal"/>
    <w:uiPriority w:val="99"/>
    <w:unhideWhenUsed/>
    <w:rsid w:val="00326F90"/>
    <w:pPr>
      <w:numPr>
        <w:numId w:val="2"/>
      </w:numPr>
      <w:contextualSpacing/>
    </w:pPr>
    <w:rPr>
      <w:rFonts w:ascii="Arial" w:hAnsi="Arial"/>
    </w:rPr>
  </w:style>
  <w:style w:type="paragraph" w:styleId="ListBullet3">
    <w:name w:val="List Bullet 3"/>
    <w:basedOn w:val="Normal"/>
    <w:uiPriority w:val="99"/>
    <w:unhideWhenUsed/>
    <w:rsid w:val="00326F90"/>
    <w:pPr>
      <w:numPr>
        <w:numId w:val="3"/>
      </w:numPr>
      <w:contextualSpacing/>
    </w:pPr>
    <w:rPr>
      <w:rFonts w:ascii="Arial" w:hAnsi="Arial"/>
    </w:rPr>
  </w:style>
  <w:style w:type="paragraph" w:styleId="ListNumber">
    <w:name w:val="List Number"/>
    <w:basedOn w:val="Normal"/>
    <w:uiPriority w:val="99"/>
    <w:unhideWhenUsed/>
    <w:rsid w:val="00326F90"/>
    <w:pPr>
      <w:numPr>
        <w:numId w:val="5"/>
      </w:numPr>
      <w:contextualSpacing/>
    </w:pPr>
    <w:rPr>
      <w:rFonts w:ascii="Arial" w:hAnsi="Arial"/>
    </w:rPr>
  </w:style>
  <w:style w:type="paragraph" w:styleId="ListNumber2">
    <w:name w:val="List Number 2"/>
    <w:basedOn w:val="Normal"/>
    <w:uiPriority w:val="99"/>
    <w:unhideWhenUsed/>
    <w:rsid w:val="0029639D"/>
    <w:pPr>
      <w:numPr>
        <w:numId w:val="6"/>
      </w:numPr>
      <w:contextualSpacing/>
    </w:pPr>
    <w:rPr>
      <w:rFonts w:ascii="Arial" w:hAnsi="Arial"/>
    </w:rPr>
  </w:style>
  <w:style w:type="paragraph" w:styleId="ListNumber3">
    <w:name w:val="List Number 3"/>
    <w:basedOn w:val="Normal"/>
    <w:uiPriority w:val="99"/>
    <w:unhideWhenUsed/>
    <w:rsid w:val="0029639D"/>
    <w:pPr>
      <w:numPr>
        <w:numId w:val="7"/>
      </w:numPr>
      <w:contextualSpacing/>
    </w:pPr>
    <w:rPr>
      <w:rFonts w:ascii="Arial" w:hAnsi="Arial"/>
    </w:rPr>
  </w:style>
  <w:style w:type="paragraph" w:styleId="ListContinue">
    <w:name w:val="List Continue"/>
    <w:basedOn w:val="Normal"/>
    <w:uiPriority w:val="99"/>
    <w:unhideWhenUsed/>
    <w:rsid w:val="0029639D"/>
    <w:pPr>
      <w:spacing w:after="120"/>
      <w:ind w:left="360"/>
      <w:contextualSpacing/>
    </w:pPr>
    <w:rPr>
      <w:rFonts w:ascii="Arial" w:hAnsi="Arial"/>
    </w:rPr>
  </w:style>
  <w:style w:type="paragraph" w:styleId="ListContinue2">
    <w:name w:val="List Continue 2"/>
    <w:basedOn w:val="Normal"/>
    <w:uiPriority w:val="99"/>
    <w:unhideWhenUsed/>
    <w:rsid w:val="0029639D"/>
    <w:pPr>
      <w:spacing w:after="120"/>
      <w:ind w:left="720"/>
      <w:contextualSpacing/>
    </w:pPr>
    <w:rPr>
      <w:rFonts w:ascii="Arial" w:hAnsi="Arial"/>
    </w:rPr>
  </w:style>
  <w:style w:type="paragraph" w:styleId="ListContinue3">
    <w:name w:val="List Continue 3"/>
    <w:basedOn w:val="Normal"/>
    <w:uiPriority w:val="99"/>
    <w:unhideWhenUsed/>
    <w:rsid w:val="0029639D"/>
    <w:pPr>
      <w:spacing w:after="120"/>
      <w:ind w:left="1080"/>
      <w:contextualSpacing/>
    </w:pPr>
    <w:rPr>
      <w:rFonts w:ascii="Arial" w:hAnsi="Arial"/>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rFonts w:ascii="Arial" w:hAnsi="Arial"/>
      <w:i/>
      <w:iCs/>
      <w:color w:val="000000" w:themeColor="text1"/>
    </w:rPr>
  </w:style>
  <w:style w:type="character" w:customStyle="1" w:styleId="QuoteChar">
    <w:name w:val="Quote Char"/>
    <w:basedOn w:val="DefaultParagraphFont"/>
    <w:link w:val="Quote"/>
    <w:uiPriority w:val="29"/>
    <w:rsid w:val="00FC693F"/>
    <w:rPr>
      <w:rFonts w:ascii="Arial" w:hAnsi="Arial"/>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Arial" w:hAnsi="Arial"/>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Arial" w:hAnsi="Arial"/>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Arial" w:hAnsi="Arial"/>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Arial" w:hAnsi="Arial"/>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Arial" w:hAnsi="Arial"/>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Arial" w:hAnsi="Arial"/>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4F81BD" w:themeColor="accent1"/>
      <w:sz w:val="18"/>
      <w:szCs w:val="18"/>
    </w:rPr>
  </w:style>
  <w:style w:type="character" w:styleId="Strong">
    <w:name w:val="Strong"/>
    <w:basedOn w:val="DefaultParagraphFont"/>
    <w:uiPriority w:val="22"/>
    <w:qFormat/>
    <w:rsid w:val="00FC693F"/>
    <w:rPr>
      <w:rFonts w:ascii="Arial" w:hAnsi="Arial"/>
      <w:b/>
      <w:bCs/>
    </w:rPr>
  </w:style>
  <w:style w:type="character" w:styleId="Emphasis">
    <w:name w:val="Emphasis"/>
    <w:basedOn w:val="DefaultParagraphFont"/>
    <w:uiPriority w:val="20"/>
    <w:qFormat/>
    <w:rsid w:val="00FC693F"/>
    <w:rPr>
      <w:rFonts w:ascii="Arial" w:hAnsi="Arial"/>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Arial" w:hAnsi="Arial"/>
      <w:b/>
      <w:bCs/>
      <w:i/>
      <w:iCs/>
      <w:color w:val="4F81BD" w:themeColor="accent1"/>
    </w:rPr>
  </w:style>
  <w:style w:type="character" w:customStyle="1" w:styleId="IntenseQuoteChar">
    <w:name w:val="Intense Quote Char"/>
    <w:basedOn w:val="DefaultParagraphFont"/>
    <w:link w:val="IntenseQuote"/>
    <w:uiPriority w:val="30"/>
    <w:rsid w:val="00FC693F"/>
    <w:rPr>
      <w:rFonts w:ascii="Arial" w:hAnsi="Arial"/>
      <w:b/>
      <w:bCs/>
      <w:i/>
      <w:iCs/>
      <w:color w:val="4F81BD" w:themeColor="accent1"/>
    </w:rPr>
  </w:style>
  <w:style w:type="character" w:styleId="SubtleEmphasis">
    <w:name w:val="Subtle Emphasis"/>
    <w:basedOn w:val="DefaultParagraphFont"/>
    <w:uiPriority w:val="19"/>
    <w:qFormat/>
    <w:rsid w:val="00FC693F"/>
    <w:rPr>
      <w:rFonts w:ascii="Arial" w:hAnsi="Arial"/>
      <w:i/>
      <w:iCs/>
      <w:color w:val="808080" w:themeColor="text1" w:themeTint="7F"/>
    </w:rPr>
  </w:style>
  <w:style w:type="character" w:styleId="IntenseEmphasis">
    <w:name w:val="Intense Emphasis"/>
    <w:basedOn w:val="DefaultParagraphFont"/>
    <w:uiPriority w:val="21"/>
    <w:qFormat/>
    <w:rsid w:val="00FC693F"/>
    <w:rPr>
      <w:rFonts w:ascii="Arial" w:hAnsi="Arial"/>
      <w:b/>
      <w:bCs/>
      <w:i/>
      <w:iCs/>
      <w:color w:val="4F81BD" w:themeColor="accent1"/>
    </w:rPr>
  </w:style>
  <w:style w:type="character" w:styleId="SubtleReference">
    <w:name w:val="Subtle Reference"/>
    <w:basedOn w:val="DefaultParagraphFont"/>
    <w:uiPriority w:val="31"/>
    <w:qFormat/>
    <w:rsid w:val="00FC693F"/>
    <w:rPr>
      <w:rFonts w:ascii="Arial" w:hAnsi="Arial"/>
      <w:smallCaps/>
      <w:color w:val="C0504D" w:themeColor="accent2"/>
      <w:u w:val="single"/>
    </w:rPr>
  </w:style>
  <w:style w:type="character" w:styleId="IntenseReference">
    <w:name w:val="Intense Reference"/>
    <w:basedOn w:val="DefaultParagraphFont"/>
    <w:uiPriority w:val="32"/>
    <w:qFormat/>
    <w:rsid w:val="00FC693F"/>
    <w:rPr>
      <w:rFonts w:ascii="Arial" w:hAnsi="Arial"/>
      <w:b/>
      <w:bCs/>
      <w:smallCaps/>
      <w:color w:val="C0504D" w:themeColor="accent2"/>
      <w:spacing w:val="5"/>
      <w:u w:val="single"/>
    </w:rPr>
  </w:style>
  <w:style w:type="character" w:styleId="BookTitle">
    <w:name w:val="Book Title"/>
    <w:basedOn w:val="DefaultParagraphFont"/>
    <w:uiPriority w:val="33"/>
    <w:qFormat/>
    <w:rsid w:val="00FC693F"/>
    <w:rPr>
      <w:rFonts w:ascii="Arial" w:hAnsi="Arial"/>
      <w:b/>
      <w:bCs/>
      <w:smallCaps/>
      <w:spacing w:val="5"/>
    </w:rPr>
  </w:style>
  <w:style w:type="paragraph" w:styleId="TOCHeading">
    <w:name w:val="TOC Heading"/>
    <w:basedOn w:val="Heading1"/>
    <w:next w:val="Normal"/>
    <w:uiPriority w:val="39"/>
    <w:semiHidden/>
    <w:unhideWhenUsed/>
    <w:qFormat/>
    <w:rsid w:val="00FC693F"/>
    <w:pPr>
      <w:outlineLvl w:val="9"/>
    </w:pPr>
    <w:rPr>
      <w:rFonts w:ascii="Arial" w:hAnsi="Arial"/>
    </w:rPr>
  </w:style>
  <w:style w:type="table" w:styleId="TableGrid">
    <w:name w:val="Table Grid"/>
    <w:basedOn w:val="TableNormal"/>
    <w:uiPriority w:val="59"/>
    <w:rsid w:val="00FC693F"/>
    <w:pPr>
      <w:spacing w:after="0" w:line="240" w:lineRule="auto"/>
    </w:pPr>
    <w:rPr>
      <w:rFonts w:ascii="Arial" w:hAnsi="Arial"/>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Arial" w:hAnsi="Arial"/>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Arial" w:hAnsi="Arial"/>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Arial" w:hAnsi="Arial"/>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Arial" w:hAnsi="Arial"/>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Arial" w:hAnsi="Arial"/>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Arial" w:hAnsi="Arial"/>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Arial" w:hAnsi="Arial"/>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Arial" w:hAnsi="Arial"/>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Arial" w:hAnsi="Arial"/>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Arial" w:hAnsi="Arial"/>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Arial" w:hAnsi="Arial"/>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Arial" w:hAnsi="Arial"/>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Arial" w:hAnsi="Arial"/>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Arial" w:hAnsi="Arial"/>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Arial" w:hAnsi="Arial"/>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Arial" w:hAnsi="Arial"/>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Arial" w:hAnsi="Arial"/>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