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40"/>
        </w:rPr>
        <w:t>STATE-OF-THE-ART (SOTA) ANALYSIS</w:t>
      </w:r>
    </w:p>
    <w:p>
      <w:pPr>
        <w:jc w:val="center"/>
      </w:pPr>
      <w:r>
        <w:rPr>
          <w:b/>
          <w:sz w:val="30"/>
        </w:rPr>
        <w:t>Machine Learning and Deep Learning for IoT Intrusion Detection with Focus on CICIoT2023</w:t>
      </w:r>
    </w:p>
    <w:p>
      <w:pPr>
        <w:jc w:val="center"/>
      </w:pPr>
      <w:r>
        <w:rPr>
          <w:i/>
          <w:sz w:val="22"/>
        </w:rPr>
        <w:t>Evidence-based benchmarking, methodological comparison, efficiency analysis, and positioning of the present study</w:t>
      </w:r>
    </w:p>
    <w:p/>
    <w:p>
      <w:pPr>
        <w:jc w:val="center"/>
      </w:pPr>
      <w:r>
        <w:rPr>
          <w:b/>
        </w:rPr>
        <w:t>Source basis: SOTA_Analysis_IoT_IDS_CICIoT2023 workbook</w:t>
        <w:br/>
      </w:r>
      <w:r>
        <w:rPr>
          <w:i/>
        </w:rPr>
        <w:t>20-paper corpus + own CICIoT2023 experiment</w:t>
      </w:r>
    </w:p>
    <w:p>
      <w:pPr>
        <w:pStyle w:val="Heading1"/>
      </w:pPr>
      <w:r>
        <w:t>Executive Summary</w:t>
      </w:r>
    </w:p>
    <w:p>
      <w:r>
        <w:t>This document presents a structured state-of-the-art (SOTA) analysis of machine-learning and deep-learning intrusion detection for Internet of Things (IoT) networks, with CICIoT2023 as the primary reference dataset. The source workbook contains 20 studies: 8 reviews/surveys, 11 experimental papers, and 1 benchmark. Ten of the experimental studies use or discuss CICIoT2023 directly, while the present deep-learning experiment is maintained separately from the 20-paper corpus.</w:t>
      </w:r>
    </w:p>
    <w:p>
      <w:r>
        <w:t>The central finding is that reported SOTA accuracy depends strongly on the task definition and evaluation protocol. The highest reported figures include 99.995% for binary detection using a 1D-CNN + LSTM, 99.96% for a 20-class CatBoost setting, 99.40% as a lower bound for 8-class and 34-class gradient-boosting tasks, and 98.58% for an enhanced LSTM on a 34-class setting. However, the workbook explicitly records caveats such as subset selection, undersampled evaluation, unreported balancing, and differences in label sets. The only listed natural-distribution 34-class result without rebalancing is Kwari and Rajkumar's 76.88% accuracy with macro-F1 of 0.54 on a 100,000-flow subset.</w:t>
      </w:r>
    </w:p>
    <w:p>
      <w:r>
        <w:t>The present experiment uses an eight-class CICIoT2023 test set of 268,463 flows with its natural class distribution. The DNN achieves 75.44% accuracy and macro-F1 of 0.6346, while the Transformer achieves 72.53% accuracy and macro-F1 of 0.6263. The Transformer nevertheless records higher macro precision and macro recall than the DNN. The workbook therefore supports a conclusion of competitive, but not accuracy-leading, Transformer performance rather than a claim of universal Transformer superiority.</w:t>
      </w:r>
    </w:p>
    <w:p>
      <w:pPr>
        <w:pStyle w:val="Heading1"/>
      </w:pPr>
      <w:r>
        <w:t>1. Purpose and Scope</w:t>
      </w:r>
    </w:p>
    <w:p>
      <w:r>
        <w:t>The purpose of this SOTA analysis is to determine what can reasonably be called state of the art in IoT intrusion detection when the evidence is restricted to the supplied 20-study corpus and the associated CICIoT2023 comparisons. The analysis distinguishes between headline reported accuracy and comparable evidence. It does not merge results from incompatible task definitions or treat all 99%+ results as equivalent.</w:t>
      </w:r>
    </w:p>
    <w:p>
      <w:r>
        <w:t>The analysis covers five dimensions: predictive performance, methodological design, class-imbalance handling, computational efficiency, and credibility/reproducibility. It also identifies capabilities for which the corpus does not establish a SOTA result, including explainability quality, adversarial robustness, federated privacy-preserving training, production validation, and cross-dataset generalisation.</w:t>
      </w:r>
    </w:p>
    <w:p>
      <w:pPr>
        <w:pStyle w:val="Heading1"/>
      </w:pPr>
      <w:r>
        <w:t>2. Evidence Base</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AF7"/>
          </w:tcPr>
          <w:p>
            <w:r/>
            <w:r>
              <w:rPr>
                <w:rFonts w:ascii="Times New Roman" w:hAnsi="Times New Roman"/>
                <w:b/>
                <w:sz w:val="16"/>
              </w:rPr>
              <w:t>Corpus component</w:t>
            </w:r>
          </w:p>
        </w:tc>
        <w:tc>
          <w:tcPr>
            <w:tcW w:type="dxa" w:w="3360"/>
            <w:vAlign w:val="center"/>
            <w:shd w:fill="D9EAF7"/>
          </w:tcPr>
          <w:p>
            <w:r/>
            <w:r>
              <w:rPr>
                <w:rFonts w:ascii="Times New Roman" w:hAnsi="Times New Roman"/>
                <w:b/>
                <w:sz w:val="16"/>
              </w:rPr>
              <w:t>Count</w:t>
            </w:r>
          </w:p>
        </w:tc>
        <w:tc>
          <w:tcPr>
            <w:tcW w:type="dxa" w:w="3360"/>
            <w:vAlign w:val="center"/>
            <w:shd w:fill="D9EAF7"/>
          </w:tcPr>
          <w:p>
            <w:r/>
            <w:r>
              <w:rPr>
                <w:rFonts w:ascii="Times New Roman" w:hAnsi="Times New Roman"/>
                <w:b/>
                <w:sz w:val="16"/>
              </w:rPr>
              <w:t>Interpretation</w:t>
            </w:r>
          </w:p>
        </w:tc>
      </w:tr>
      <w:tr>
        <w:tc>
          <w:tcPr>
            <w:tcW w:type="dxa" w:w="3360"/>
            <w:vAlign w:val="center"/>
          </w:tcPr>
          <w:p>
            <w:r/>
            <w:r>
              <w:rPr>
                <w:rFonts w:ascii="Times New Roman" w:hAnsi="Times New Roman"/>
                <w:b w:val="0"/>
                <w:sz w:val="16"/>
              </w:rPr>
              <w:t>Reviews / surveys</w:t>
            </w:r>
          </w:p>
        </w:tc>
        <w:tc>
          <w:tcPr>
            <w:tcW w:type="dxa" w:w="3360"/>
            <w:vAlign w:val="center"/>
          </w:tcPr>
          <w:p>
            <w:r/>
            <w:r>
              <w:rPr>
                <w:rFonts w:ascii="Times New Roman" w:hAnsi="Times New Roman"/>
                <w:b w:val="0"/>
                <w:sz w:val="16"/>
              </w:rPr>
              <w:t>8</w:t>
            </w:r>
          </w:p>
        </w:tc>
        <w:tc>
          <w:tcPr>
            <w:tcW w:type="dxa" w:w="3360"/>
            <w:vAlign w:val="center"/>
          </w:tcPr>
          <w:p>
            <w:r/>
            <w:r>
              <w:rPr>
                <w:rFonts w:ascii="Times New Roman" w:hAnsi="Times New Roman"/>
                <w:b w:val="0"/>
                <w:sz w:val="16"/>
              </w:rPr>
              <w:t>Synthesize IDS evolution, datasets, methods, robustness, privacy, and deployment</w:t>
            </w:r>
          </w:p>
        </w:tc>
      </w:tr>
      <w:tr>
        <w:tc>
          <w:tcPr>
            <w:tcW w:type="dxa" w:w="3360"/>
            <w:vAlign w:val="center"/>
          </w:tcPr>
          <w:p>
            <w:r/>
            <w:r>
              <w:rPr>
                <w:rFonts w:ascii="Times New Roman" w:hAnsi="Times New Roman"/>
                <w:b w:val="0"/>
                <w:sz w:val="16"/>
              </w:rPr>
              <w:t>Experimental studies</w:t>
            </w:r>
          </w:p>
        </w:tc>
        <w:tc>
          <w:tcPr>
            <w:tcW w:type="dxa" w:w="3360"/>
            <w:vAlign w:val="center"/>
          </w:tcPr>
          <w:p>
            <w:r/>
            <w:r>
              <w:rPr>
                <w:rFonts w:ascii="Times New Roman" w:hAnsi="Times New Roman"/>
                <w:b w:val="0"/>
                <w:sz w:val="16"/>
              </w:rPr>
              <w:t>11</w:t>
            </w:r>
          </w:p>
        </w:tc>
        <w:tc>
          <w:tcPr>
            <w:tcW w:type="dxa" w:w="3360"/>
            <w:vAlign w:val="center"/>
          </w:tcPr>
          <w:p>
            <w:r/>
            <w:r>
              <w:rPr>
                <w:rFonts w:ascii="Times New Roman" w:hAnsi="Times New Roman"/>
                <w:b w:val="0"/>
                <w:sz w:val="16"/>
              </w:rPr>
              <w:t>Provide model-level or task-level empirical results</w:t>
            </w:r>
          </w:p>
        </w:tc>
      </w:tr>
      <w:tr>
        <w:tc>
          <w:tcPr>
            <w:tcW w:type="dxa" w:w="3360"/>
            <w:vAlign w:val="center"/>
          </w:tcPr>
          <w:p>
            <w:r/>
            <w:r>
              <w:rPr>
                <w:rFonts w:ascii="Times New Roman" w:hAnsi="Times New Roman"/>
                <w:b w:val="0"/>
                <w:sz w:val="16"/>
              </w:rPr>
              <w:t>Benchmark</w:t>
            </w:r>
          </w:p>
        </w:tc>
        <w:tc>
          <w:tcPr>
            <w:tcW w:type="dxa" w:w="3360"/>
            <w:vAlign w:val="center"/>
          </w:tcPr>
          <w:p>
            <w:r/>
            <w:r>
              <w:rPr>
                <w:rFonts w:ascii="Times New Roman" w:hAnsi="Times New Roman"/>
                <w:b w:val="0"/>
                <w:sz w:val="16"/>
              </w:rPr>
              <w:t>1</w:t>
            </w:r>
          </w:p>
        </w:tc>
        <w:tc>
          <w:tcPr>
            <w:tcW w:type="dxa" w:w="3360"/>
            <w:vAlign w:val="center"/>
          </w:tcPr>
          <w:p>
            <w:r/>
            <w:r>
              <w:rPr>
                <w:rFonts w:ascii="Times New Roman" w:hAnsi="Times New Roman"/>
                <w:b w:val="0"/>
                <w:sz w:val="16"/>
              </w:rPr>
              <w:t>Compares algorithm families across 14 flow datasets</w:t>
            </w:r>
          </w:p>
        </w:tc>
      </w:tr>
      <w:tr>
        <w:tc>
          <w:tcPr>
            <w:tcW w:type="dxa" w:w="3360"/>
            <w:vAlign w:val="center"/>
          </w:tcPr>
          <w:p>
            <w:r/>
            <w:r>
              <w:rPr>
                <w:rFonts w:ascii="Times New Roman" w:hAnsi="Times New Roman"/>
                <w:b w:val="0"/>
                <w:sz w:val="16"/>
              </w:rPr>
              <w:t>Total studies</w:t>
            </w:r>
          </w:p>
        </w:tc>
        <w:tc>
          <w:tcPr>
            <w:tcW w:type="dxa" w:w="3360"/>
            <w:vAlign w:val="center"/>
          </w:tcPr>
          <w:p>
            <w:r/>
            <w:r>
              <w:rPr>
                <w:rFonts w:ascii="Times New Roman" w:hAnsi="Times New Roman"/>
                <w:b w:val="0"/>
                <w:sz w:val="16"/>
              </w:rPr>
              <w:t>20</w:t>
            </w:r>
          </w:p>
        </w:tc>
        <w:tc>
          <w:tcPr>
            <w:tcW w:type="dxa" w:w="3360"/>
            <w:vAlign w:val="center"/>
          </w:tcPr>
          <w:p>
            <w:r/>
            <w:r>
              <w:rPr>
                <w:rFonts w:ascii="Times New Roman" w:hAnsi="Times New Roman"/>
                <w:b w:val="0"/>
                <w:sz w:val="16"/>
              </w:rPr>
              <w:t>Core SOTA corpus</w:t>
            </w:r>
          </w:p>
        </w:tc>
      </w:tr>
      <w:tr>
        <w:tc>
          <w:tcPr>
            <w:tcW w:type="dxa" w:w="3360"/>
            <w:vAlign w:val="center"/>
          </w:tcPr>
          <w:p>
            <w:r/>
            <w:r>
              <w:rPr>
                <w:rFonts w:ascii="Times New Roman" w:hAnsi="Times New Roman"/>
                <w:b w:val="0"/>
                <w:sz w:val="16"/>
              </w:rPr>
              <w:t>Experimental studies using CICIoT2023</w:t>
            </w:r>
          </w:p>
        </w:tc>
        <w:tc>
          <w:tcPr>
            <w:tcW w:type="dxa" w:w="3360"/>
            <w:vAlign w:val="center"/>
          </w:tcPr>
          <w:p>
            <w:r/>
            <w:r>
              <w:rPr>
                <w:rFonts w:ascii="Times New Roman" w:hAnsi="Times New Roman"/>
                <w:b w:val="0"/>
                <w:sz w:val="16"/>
              </w:rPr>
              <w:t>10</w:t>
            </w:r>
          </w:p>
        </w:tc>
        <w:tc>
          <w:tcPr>
            <w:tcW w:type="dxa" w:w="3360"/>
            <w:vAlign w:val="center"/>
          </w:tcPr>
          <w:p>
            <w:r/>
            <w:r>
              <w:rPr>
                <w:rFonts w:ascii="Times New Roman" w:hAnsi="Times New Roman"/>
                <w:b w:val="0"/>
                <w:sz w:val="16"/>
              </w:rPr>
              <w:t>Directly relevant empirical evidence</w:t>
            </w:r>
          </w:p>
        </w:tc>
      </w:tr>
      <w:tr>
        <w:tc>
          <w:tcPr>
            <w:tcW w:type="dxa" w:w="3360"/>
            <w:vAlign w:val="center"/>
          </w:tcPr>
          <w:p>
            <w:r/>
            <w:r>
              <w:rPr>
                <w:rFonts w:ascii="Times New Roman" w:hAnsi="Times New Roman"/>
                <w:b w:val="0"/>
                <w:sz w:val="16"/>
              </w:rPr>
              <w:t>Present experiment</w:t>
            </w:r>
          </w:p>
        </w:tc>
        <w:tc>
          <w:tcPr>
            <w:tcW w:type="dxa" w:w="3360"/>
            <w:vAlign w:val="center"/>
          </w:tcPr>
          <w:p>
            <w:r/>
            <w:r>
              <w:rPr>
                <w:rFonts w:ascii="Times New Roman" w:hAnsi="Times New Roman"/>
                <w:b w:val="0"/>
                <w:sz w:val="16"/>
              </w:rPr>
              <w:t>Separate</w:t>
            </w:r>
          </w:p>
        </w:tc>
        <w:tc>
          <w:tcPr>
            <w:tcW w:type="dxa" w:w="3360"/>
            <w:vAlign w:val="center"/>
          </w:tcPr>
          <w:p>
            <w:r/>
            <w:r>
              <w:rPr>
                <w:rFonts w:ascii="Times New Roman" w:hAnsi="Times New Roman"/>
                <w:b w:val="0"/>
                <w:sz w:val="16"/>
              </w:rPr>
              <w:t>Own DNN/GRU/LSTM/Transformer experiment; not part of the 20-paper corpus</w:t>
            </w:r>
          </w:p>
        </w:tc>
      </w:tr>
    </w:tbl>
    <w:p>
      <w:r>
        <w:t>The workbook explicitly distinguishes source-derived study results from the present experiment. This distinction is retained throughout this document.</w:t>
      </w:r>
    </w:p>
    <w:p>
      <w:pPr>
        <w:pStyle w:val="Heading1"/>
      </w:pPr>
      <w:r>
        <w:t>3. What Counts as SOTA in This Analysis?</w:t>
      </w:r>
    </w:p>
    <w:p>
      <w:r>
        <w:t>A single numerical SOTA ranking is inappropriate for this literature because the studies solve different problems. The workbook therefore separates SOTA by task and reports caveats. Binary detection, eight-class attack-family detection, 20-class detection, 34-class fine-grained detection, and the present eight-class natural-distribution setting are treated as different evaluation regimes.</w:t>
      </w:r>
    </w:p>
    <w:p>
      <w:r>
        <w:t>A result is considered stronger evidence when it uses a natural-distribution test set, reports macro or per-class metrics, uses repeated runs, reports cost, and/or evaluates multiple datasets. The workbook's credibility rubric assigns five binary/partial criteria and classifies studies as High (4-5), Medium (2-3), or Low (0-1). Among the explicitly scored studies, none meets all five criteria and the highest score is 3, so the corpus does not support a definitive universal SOTA claim.</w:t>
      </w:r>
    </w:p>
    <w:p>
      <w:pPr>
        <w:pStyle w:val="Heading1"/>
      </w:pPr>
      <w:r>
        <w:t>4. SOTA by Task</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2016"/>
            <w:vAlign w:val="center"/>
            <w:shd w:fill="D9EAF7"/>
          </w:tcPr>
          <w:p>
            <w:r/>
            <w:r>
              <w:rPr>
                <w:rFonts w:ascii="Times New Roman" w:hAnsi="Times New Roman"/>
                <w:b/>
                <w:sz w:val="14"/>
              </w:rPr>
              <w:t>Task</w:t>
            </w:r>
          </w:p>
        </w:tc>
        <w:tc>
          <w:tcPr>
            <w:tcW w:type="dxa" w:w="2016"/>
            <w:vAlign w:val="center"/>
            <w:shd w:fill="D9EAF7"/>
          </w:tcPr>
          <w:p>
            <w:r/>
            <w:r>
              <w:rPr>
                <w:rFonts w:ascii="Times New Roman" w:hAnsi="Times New Roman"/>
                <w:b/>
                <w:sz w:val="14"/>
              </w:rPr>
              <w:t>Highest reported accuracy</w:t>
            </w:r>
          </w:p>
        </w:tc>
        <w:tc>
          <w:tcPr>
            <w:tcW w:type="dxa" w:w="2016"/>
            <w:vAlign w:val="center"/>
            <w:shd w:fill="D9EAF7"/>
          </w:tcPr>
          <w:p>
            <w:r/>
            <w:r>
              <w:rPr>
                <w:rFonts w:ascii="Times New Roman" w:hAnsi="Times New Roman"/>
                <w:b/>
                <w:sz w:val="14"/>
              </w:rPr>
              <w:t>Study / model</w:t>
            </w:r>
          </w:p>
        </w:tc>
        <w:tc>
          <w:tcPr>
            <w:tcW w:type="dxa" w:w="2016"/>
            <w:vAlign w:val="center"/>
            <w:shd w:fill="D9EAF7"/>
          </w:tcPr>
          <w:p>
            <w:r/>
            <w:r>
              <w:rPr>
                <w:rFonts w:ascii="Times New Roman" w:hAnsi="Times New Roman"/>
                <w:b/>
                <w:sz w:val="14"/>
              </w:rPr>
              <w:t>Setup caveat</w:t>
            </w:r>
          </w:p>
        </w:tc>
        <w:tc>
          <w:tcPr>
            <w:tcW w:type="dxa" w:w="2016"/>
            <w:vAlign w:val="center"/>
            <w:shd w:fill="D9EAF7"/>
          </w:tcPr>
          <w:p>
            <w:r/>
            <w:r>
              <w:rPr>
                <w:rFonts w:ascii="Times New Roman" w:hAnsi="Times New Roman"/>
                <w:b/>
                <w:sz w:val="14"/>
              </w:rPr>
              <w:t>Real-traffic comparable?</w:t>
            </w:r>
          </w:p>
        </w:tc>
      </w:tr>
      <w:tr>
        <w:tc>
          <w:tcPr>
            <w:tcW w:type="dxa" w:w="2016"/>
            <w:vAlign w:val="center"/>
          </w:tcPr>
          <w:p>
            <w:r/>
            <w:r>
              <w:rPr>
                <w:rFonts w:ascii="Times New Roman" w:hAnsi="Times New Roman"/>
                <w:b w:val="0"/>
                <w:sz w:val="14"/>
              </w:rPr>
              <w:t>Binary</w:t>
            </w:r>
          </w:p>
        </w:tc>
        <w:tc>
          <w:tcPr>
            <w:tcW w:type="dxa" w:w="2016"/>
            <w:vAlign w:val="center"/>
          </w:tcPr>
          <w:p>
            <w:r/>
            <w:r>
              <w:rPr>
                <w:rFonts w:ascii="Times New Roman" w:hAnsi="Times New Roman"/>
                <w:b w:val="0"/>
                <w:sz w:val="14"/>
              </w:rPr>
              <w:t>100.00%</w:t>
            </w:r>
          </w:p>
        </w:tc>
        <w:tc>
          <w:tcPr>
            <w:tcW w:type="dxa" w:w="2016"/>
            <w:vAlign w:val="center"/>
          </w:tcPr>
          <w:p>
            <w:r/>
            <w:r>
              <w:rPr>
                <w:rFonts w:ascii="Times New Roman" w:hAnsi="Times New Roman"/>
                <w:b w:val="0"/>
                <w:sz w:val="14"/>
              </w:rPr>
              <w:t>Yaras &amp; Dener (2024), 1D-CNN + LSTM</w:t>
            </w:r>
          </w:p>
        </w:tc>
        <w:tc>
          <w:tcPr>
            <w:tcW w:type="dxa" w:w="2016"/>
            <w:vAlign w:val="center"/>
          </w:tcPr>
          <w:p>
            <w:r/>
            <w:r>
              <w:rPr>
                <w:rFonts w:ascii="Times New Roman" w:hAnsi="Times New Roman"/>
                <w:b w:val="0"/>
                <w:sz w:val="14"/>
              </w:rPr>
              <w:t>Subset and balancing not recorded</w:t>
            </w:r>
          </w:p>
        </w:tc>
        <w:tc>
          <w:tcPr>
            <w:tcW w:type="dxa" w:w="2016"/>
            <w:vAlign w:val="center"/>
          </w:tcPr>
          <w:p>
            <w:r/>
            <w:r>
              <w:rPr>
                <w:rFonts w:ascii="Times New Roman" w:hAnsi="Times New Roman"/>
                <w:b w:val="0"/>
                <w:sz w:val="14"/>
              </w:rPr>
              <w:t>Unclear</w:t>
            </w:r>
          </w:p>
        </w:tc>
      </w:tr>
      <w:tr>
        <w:tc>
          <w:tcPr>
            <w:tcW w:type="dxa" w:w="2016"/>
            <w:vAlign w:val="center"/>
          </w:tcPr>
          <w:p>
            <w:r/>
            <w:r>
              <w:rPr>
                <w:rFonts w:ascii="Times New Roman" w:hAnsi="Times New Roman"/>
                <w:b w:val="0"/>
                <w:sz w:val="14"/>
              </w:rPr>
              <w:t>Binary</w:t>
            </w:r>
          </w:p>
        </w:tc>
        <w:tc>
          <w:tcPr>
            <w:tcW w:type="dxa" w:w="2016"/>
            <w:vAlign w:val="center"/>
          </w:tcPr>
          <w:p>
            <w:r/>
            <w:r>
              <w:rPr>
                <w:rFonts w:ascii="Times New Roman" w:hAnsi="Times New Roman"/>
                <w:b w:val="0"/>
                <w:sz w:val="14"/>
              </w:rPr>
              <w:t>99.80%</w:t>
            </w:r>
          </w:p>
        </w:tc>
        <w:tc>
          <w:tcPr>
            <w:tcW w:type="dxa" w:w="2016"/>
            <w:vAlign w:val="center"/>
          </w:tcPr>
          <w:p>
            <w:r/>
            <w:r>
              <w:rPr>
                <w:rFonts w:ascii="Times New Roman" w:hAnsi="Times New Roman"/>
                <w:b w:val="0"/>
                <w:sz w:val="14"/>
              </w:rPr>
              <w:t>Mughogho (2025), soft-voting ensemble</w:t>
            </w:r>
          </w:p>
        </w:tc>
        <w:tc>
          <w:tcPr>
            <w:tcW w:type="dxa" w:w="2016"/>
            <w:vAlign w:val="center"/>
          </w:tcPr>
          <w:p>
            <w:r/>
            <w:r>
              <w:rPr>
                <w:rFonts w:ascii="Times New Roman" w:hAnsi="Times New Roman"/>
                <w:b w:val="0"/>
                <w:sz w:val="14"/>
              </w:rPr>
              <w:t>Benign-class recall of members only 89-93%</w:t>
            </w:r>
          </w:p>
        </w:tc>
        <w:tc>
          <w:tcPr>
            <w:tcW w:type="dxa" w:w="2016"/>
            <w:vAlign w:val="center"/>
          </w:tcPr>
          <w:p>
            <w:r/>
            <w:r>
              <w:rPr>
                <w:rFonts w:ascii="Times New Roman" w:hAnsi="Times New Roman"/>
                <w:b w:val="0"/>
                <w:sz w:val="14"/>
              </w:rPr>
              <w:t>Unclear</w:t>
            </w:r>
          </w:p>
        </w:tc>
      </w:tr>
      <w:tr>
        <w:tc>
          <w:tcPr>
            <w:tcW w:type="dxa" w:w="2016"/>
            <w:vAlign w:val="center"/>
          </w:tcPr>
          <w:p>
            <w:r/>
            <w:r>
              <w:rPr>
                <w:rFonts w:ascii="Times New Roman" w:hAnsi="Times New Roman"/>
                <w:b w:val="0"/>
                <w:sz w:val="14"/>
              </w:rPr>
              <w:t>Binary</w:t>
            </w:r>
          </w:p>
        </w:tc>
        <w:tc>
          <w:tcPr>
            <w:tcW w:type="dxa" w:w="2016"/>
            <w:vAlign w:val="center"/>
          </w:tcPr>
          <w:p>
            <w:r/>
            <w:r>
              <w:rPr>
                <w:rFonts w:ascii="Times New Roman" w:hAnsi="Times New Roman"/>
                <w:b w:val="0"/>
                <w:sz w:val="14"/>
              </w:rPr>
              <w:t>99.61%</w:t>
            </w:r>
          </w:p>
        </w:tc>
        <w:tc>
          <w:tcPr>
            <w:tcW w:type="dxa" w:w="2016"/>
            <w:vAlign w:val="center"/>
          </w:tcPr>
          <w:p>
            <w:r/>
            <w:r>
              <w:rPr>
                <w:rFonts w:ascii="Times New Roman" w:hAnsi="Times New Roman"/>
                <w:b w:val="0"/>
                <w:sz w:val="14"/>
              </w:rPr>
              <w:t>Almahaqeri et al. (2026), XGBoost (macro-F1 0.995)</w:t>
            </w:r>
          </w:p>
        </w:tc>
        <w:tc>
          <w:tcPr>
            <w:tcW w:type="dxa" w:w="2016"/>
            <w:vAlign w:val="center"/>
          </w:tcPr>
          <w:p>
            <w:r/>
            <w:r>
              <w:rPr>
                <w:rFonts w:ascii="Times New Roman" w:hAnsi="Times New Roman"/>
                <w:b w:val="0"/>
                <w:sz w:val="14"/>
              </w:rPr>
              <w:t>Undersampled evaluation</w:t>
            </w:r>
          </w:p>
        </w:tc>
        <w:tc>
          <w:tcPr>
            <w:tcW w:type="dxa" w:w="2016"/>
            <w:vAlign w:val="center"/>
          </w:tcPr>
          <w:p>
            <w:r/>
            <w:r>
              <w:rPr>
                <w:rFonts w:ascii="Times New Roman" w:hAnsi="Times New Roman"/>
                <w:b w:val="0"/>
                <w:sz w:val="14"/>
              </w:rPr>
              <w:t>No</w:t>
            </w:r>
          </w:p>
        </w:tc>
      </w:tr>
      <w:tr>
        <w:tc>
          <w:tcPr>
            <w:tcW w:type="dxa" w:w="2016"/>
            <w:vAlign w:val="center"/>
          </w:tcPr>
          <w:p>
            <w:r/>
            <w:r>
              <w:rPr>
                <w:rFonts w:ascii="Times New Roman" w:hAnsi="Times New Roman"/>
                <w:b w:val="0"/>
                <w:sz w:val="14"/>
              </w:rPr>
              <w:t>8-class (attack family)</w:t>
            </w:r>
          </w:p>
        </w:tc>
        <w:tc>
          <w:tcPr>
            <w:tcW w:type="dxa" w:w="2016"/>
            <w:vAlign w:val="center"/>
          </w:tcPr>
          <w:p>
            <w:r/>
            <w:r>
              <w:rPr>
                <w:rFonts w:ascii="Times New Roman" w:hAnsi="Times New Roman"/>
                <w:b w:val="0"/>
                <w:sz w:val="14"/>
              </w:rPr>
              <w:t>99.40%</w:t>
            </w:r>
          </w:p>
        </w:tc>
        <w:tc>
          <w:tcPr>
            <w:tcW w:type="dxa" w:w="2016"/>
            <w:vAlign w:val="center"/>
          </w:tcPr>
          <w:p>
            <w:r/>
            <w:r>
              <w:rPr>
                <w:rFonts w:ascii="Times New Roman" w:hAnsi="Times New Roman"/>
                <w:b w:val="0"/>
                <w:sz w:val="14"/>
              </w:rPr>
              <w:t>Almahaqeri et al. (2026), gradient boosting (lower bound)</w:t>
            </w:r>
          </w:p>
        </w:tc>
        <w:tc>
          <w:tcPr>
            <w:tcW w:type="dxa" w:w="2016"/>
            <w:vAlign w:val="center"/>
          </w:tcPr>
          <w:p>
            <w:r/>
            <w:r>
              <w:rPr>
                <w:rFonts w:ascii="Times New Roman" w:hAnsi="Times New Roman"/>
                <w:b w:val="0"/>
                <w:sz w:val="14"/>
              </w:rPr>
              <w:t>Undersampled evaluation</w:t>
            </w:r>
          </w:p>
        </w:tc>
        <w:tc>
          <w:tcPr>
            <w:tcW w:type="dxa" w:w="2016"/>
            <w:vAlign w:val="center"/>
          </w:tcPr>
          <w:p>
            <w:r/>
            <w:r>
              <w:rPr>
                <w:rFonts w:ascii="Times New Roman" w:hAnsi="Times New Roman"/>
                <w:b w:val="0"/>
                <w:sz w:val="14"/>
              </w:rPr>
              <w:t>No</w:t>
            </w:r>
          </w:p>
        </w:tc>
      </w:tr>
      <w:tr>
        <w:tc>
          <w:tcPr>
            <w:tcW w:type="dxa" w:w="2016"/>
            <w:vAlign w:val="center"/>
          </w:tcPr>
          <w:p>
            <w:r/>
            <w:r>
              <w:rPr>
                <w:rFonts w:ascii="Times New Roman" w:hAnsi="Times New Roman"/>
                <w:b w:val="0"/>
                <w:sz w:val="14"/>
              </w:rPr>
              <w:t>34-class (fine-grained)</w:t>
            </w:r>
          </w:p>
        </w:tc>
        <w:tc>
          <w:tcPr>
            <w:tcW w:type="dxa" w:w="2016"/>
            <w:vAlign w:val="center"/>
          </w:tcPr>
          <w:p>
            <w:r/>
            <w:r>
              <w:rPr>
                <w:rFonts w:ascii="Times New Roman" w:hAnsi="Times New Roman"/>
                <w:b w:val="0"/>
                <w:sz w:val="14"/>
              </w:rPr>
              <w:t>99.40%</w:t>
            </w:r>
          </w:p>
        </w:tc>
        <w:tc>
          <w:tcPr>
            <w:tcW w:type="dxa" w:w="2016"/>
            <w:vAlign w:val="center"/>
          </w:tcPr>
          <w:p>
            <w:r/>
            <w:r>
              <w:rPr>
                <w:rFonts w:ascii="Times New Roman" w:hAnsi="Times New Roman"/>
                <w:b w:val="0"/>
                <w:sz w:val="14"/>
              </w:rPr>
              <w:t>Almahaqeri et al. (2026), gradient boosting (lower bound)</w:t>
            </w:r>
          </w:p>
        </w:tc>
        <w:tc>
          <w:tcPr>
            <w:tcW w:type="dxa" w:w="2016"/>
            <w:vAlign w:val="center"/>
          </w:tcPr>
          <w:p>
            <w:r/>
            <w:r>
              <w:rPr>
                <w:rFonts w:ascii="Times New Roman" w:hAnsi="Times New Roman"/>
                <w:b w:val="0"/>
                <w:sz w:val="14"/>
              </w:rPr>
              <w:t>Undersampled evaluation</w:t>
            </w:r>
          </w:p>
        </w:tc>
        <w:tc>
          <w:tcPr>
            <w:tcW w:type="dxa" w:w="2016"/>
            <w:vAlign w:val="center"/>
          </w:tcPr>
          <w:p>
            <w:r/>
            <w:r>
              <w:rPr>
                <w:rFonts w:ascii="Times New Roman" w:hAnsi="Times New Roman"/>
                <w:b w:val="0"/>
                <w:sz w:val="14"/>
              </w:rPr>
              <w:t>No</w:t>
            </w:r>
          </w:p>
        </w:tc>
      </w:tr>
      <w:tr>
        <w:tc>
          <w:tcPr>
            <w:tcW w:type="dxa" w:w="2016"/>
            <w:vAlign w:val="center"/>
          </w:tcPr>
          <w:p>
            <w:r/>
            <w:r>
              <w:rPr>
                <w:rFonts w:ascii="Times New Roman" w:hAnsi="Times New Roman"/>
                <w:b w:val="0"/>
                <w:sz w:val="14"/>
              </w:rPr>
              <w:t>34-class (fine-grained)</w:t>
            </w:r>
          </w:p>
        </w:tc>
        <w:tc>
          <w:tcPr>
            <w:tcW w:type="dxa" w:w="2016"/>
            <w:vAlign w:val="center"/>
          </w:tcPr>
          <w:p>
            <w:r/>
            <w:r>
              <w:rPr>
                <w:rFonts w:ascii="Times New Roman" w:hAnsi="Times New Roman"/>
                <w:b w:val="0"/>
                <w:sz w:val="14"/>
              </w:rPr>
              <w:t>98.58%</w:t>
            </w:r>
          </w:p>
        </w:tc>
        <w:tc>
          <w:tcPr>
            <w:tcW w:type="dxa" w:w="2016"/>
            <w:vAlign w:val="center"/>
          </w:tcPr>
          <w:p>
            <w:r/>
            <w:r>
              <w:rPr>
                <w:rFonts w:ascii="Times New Roman" w:hAnsi="Times New Roman"/>
                <w:b w:val="0"/>
                <w:sz w:val="14"/>
              </w:rPr>
              <w:t>Meena &amp; Indian (2025), enhanced LSTM</w:t>
            </w:r>
          </w:p>
        </w:tc>
        <w:tc>
          <w:tcPr>
            <w:tcW w:type="dxa" w:w="2016"/>
            <w:vAlign w:val="center"/>
          </w:tcPr>
          <w:p>
            <w:r/>
            <w:r>
              <w:rPr>
                <w:rFonts w:ascii="Times New Roman" w:hAnsi="Times New Roman"/>
                <w:b w:val="0"/>
                <w:sz w:val="14"/>
              </w:rPr>
              <w:t>Subset of about 2.54 million records</w:t>
            </w:r>
          </w:p>
        </w:tc>
        <w:tc>
          <w:tcPr>
            <w:tcW w:type="dxa" w:w="2016"/>
            <w:vAlign w:val="center"/>
          </w:tcPr>
          <w:p>
            <w:r/>
            <w:r>
              <w:rPr>
                <w:rFonts w:ascii="Times New Roman" w:hAnsi="Times New Roman"/>
                <w:b w:val="0"/>
                <w:sz w:val="14"/>
              </w:rPr>
              <w:t>Unclear</w:t>
            </w:r>
          </w:p>
        </w:tc>
      </w:tr>
      <w:tr>
        <w:tc>
          <w:tcPr>
            <w:tcW w:type="dxa" w:w="2016"/>
            <w:vAlign w:val="center"/>
          </w:tcPr>
          <w:p>
            <w:r/>
            <w:r>
              <w:rPr>
                <w:rFonts w:ascii="Times New Roman" w:hAnsi="Times New Roman"/>
                <w:b w:val="0"/>
                <w:sz w:val="14"/>
              </w:rPr>
              <w:t>20-class (DoS, DDoS, Mirai, benign)</w:t>
            </w:r>
          </w:p>
        </w:tc>
        <w:tc>
          <w:tcPr>
            <w:tcW w:type="dxa" w:w="2016"/>
            <w:vAlign w:val="center"/>
          </w:tcPr>
          <w:p>
            <w:r/>
            <w:r>
              <w:rPr>
                <w:rFonts w:ascii="Times New Roman" w:hAnsi="Times New Roman"/>
                <w:b w:val="0"/>
                <w:sz w:val="14"/>
              </w:rPr>
              <w:t>99.96%</w:t>
            </w:r>
          </w:p>
        </w:tc>
        <w:tc>
          <w:tcPr>
            <w:tcW w:type="dxa" w:w="2016"/>
            <w:vAlign w:val="center"/>
          </w:tcPr>
          <w:p>
            <w:r/>
            <w:r>
              <w:rPr>
                <w:rFonts w:ascii="Times New Roman" w:hAnsi="Times New Roman"/>
                <w:b w:val="0"/>
                <w:sz w:val="14"/>
              </w:rPr>
              <w:t>Hajjouz &amp; Avksentieva (2024), CatBoost</w:t>
            </w:r>
          </w:p>
        </w:tc>
        <w:tc>
          <w:tcPr>
            <w:tcW w:type="dxa" w:w="2016"/>
            <w:vAlign w:val="center"/>
          </w:tcPr>
          <w:p>
            <w:r/>
            <w:r>
              <w:rPr>
                <w:rFonts w:ascii="Times New Roman" w:hAnsi="Times New Roman"/>
                <w:b w:val="0"/>
                <w:sz w:val="14"/>
              </w:rPr>
              <w:t>Full 45.8 million flows; stratified split; six-fold validation</w:t>
            </w:r>
          </w:p>
        </w:tc>
        <w:tc>
          <w:tcPr>
            <w:tcW w:type="dxa" w:w="2016"/>
            <w:vAlign w:val="center"/>
          </w:tcPr>
          <w:p>
            <w:r/>
            <w:r>
              <w:rPr>
                <w:rFonts w:ascii="Times New Roman" w:hAnsi="Times New Roman"/>
                <w:b w:val="0"/>
                <w:sz w:val="14"/>
              </w:rPr>
              <w:t>Closest</w:t>
            </w:r>
          </w:p>
        </w:tc>
      </w:tr>
      <w:tr>
        <w:tc>
          <w:tcPr>
            <w:tcW w:type="dxa" w:w="2016"/>
            <w:vAlign w:val="center"/>
          </w:tcPr>
          <w:p>
            <w:r/>
            <w:r>
              <w:rPr>
                <w:rFonts w:ascii="Times New Roman" w:hAnsi="Times New Roman"/>
                <w:b w:val="0"/>
                <w:sz w:val="14"/>
              </w:rPr>
              <w:t>34-class, natural imbalance</w:t>
            </w:r>
          </w:p>
        </w:tc>
        <w:tc>
          <w:tcPr>
            <w:tcW w:type="dxa" w:w="2016"/>
            <w:vAlign w:val="center"/>
          </w:tcPr>
          <w:p>
            <w:r/>
            <w:r>
              <w:rPr>
                <w:rFonts w:ascii="Times New Roman" w:hAnsi="Times New Roman"/>
                <w:b w:val="0"/>
                <w:sz w:val="14"/>
              </w:rPr>
              <w:t>76.88%</w:t>
            </w:r>
          </w:p>
        </w:tc>
        <w:tc>
          <w:tcPr>
            <w:tcW w:type="dxa" w:w="2016"/>
            <w:vAlign w:val="center"/>
          </w:tcPr>
          <w:p>
            <w:r/>
            <w:r>
              <w:rPr>
                <w:rFonts w:ascii="Times New Roman" w:hAnsi="Times New Roman"/>
                <w:b w:val="0"/>
                <w:sz w:val="14"/>
              </w:rPr>
              <w:t>Kwari &amp; Rajkumar (2025), soft-voting ensemble (macro-F1 0.54)</w:t>
            </w:r>
          </w:p>
        </w:tc>
        <w:tc>
          <w:tcPr>
            <w:tcW w:type="dxa" w:w="2016"/>
            <w:vAlign w:val="center"/>
          </w:tcPr>
          <w:p>
            <w:r/>
            <w:r>
              <w:rPr>
                <w:rFonts w:ascii="Times New Roman" w:hAnsi="Times New Roman"/>
                <w:b w:val="0"/>
                <w:sz w:val="14"/>
              </w:rPr>
              <w:t>100,000-sample subset; no rebalancing</w:t>
            </w:r>
          </w:p>
        </w:tc>
        <w:tc>
          <w:tcPr>
            <w:tcW w:type="dxa" w:w="2016"/>
            <w:vAlign w:val="center"/>
          </w:tcPr>
          <w:p>
            <w:r/>
            <w:r>
              <w:rPr>
                <w:rFonts w:ascii="Times New Roman" w:hAnsi="Times New Roman"/>
                <w:b w:val="0"/>
                <w:sz w:val="14"/>
              </w:rPr>
              <w:t>Yes</w:t>
            </w:r>
          </w:p>
        </w:tc>
      </w:tr>
      <w:tr>
        <w:tc>
          <w:tcPr>
            <w:tcW w:type="dxa" w:w="2016"/>
            <w:vAlign w:val="center"/>
          </w:tcPr>
          <w:p>
            <w:r/>
            <w:r>
              <w:rPr>
                <w:rFonts w:ascii="Times New Roman" w:hAnsi="Times New Roman"/>
                <w:b w:val="0"/>
                <w:sz w:val="14"/>
              </w:rPr>
              <w:t>6 harmonised classes</w:t>
            </w:r>
          </w:p>
        </w:tc>
        <w:tc>
          <w:tcPr>
            <w:tcW w:type="dxa" w:w="2016"/>
            <w:vAlign w:val="center"/>
          </w:tcPr>
          <w:p>
            <w:r/>
            <w:r>
              <w:rPr>
                <w:rFonts w:ascii="Times New Roman" w:hAnsi="Times New Roman"/>
                <w:b w:val="0"/>
                <w:sz w:val="14"/>
              </w:rPr>
              <w:t>96.02%</w:t>
            </w:r>
          </w:p>
        </w:tc>
        <w:tc>
          <w:tcPr>
            <w:tcW w:type="dxa" w:w="2016"/>
            <w:vAlign w:val="center"/>
          </w:tcPr>
          <w:p>
            <w:r/>
            <w:r>
              <w:rPr>
                <w:rFonts w:ascii="Times New Roman" w:hAnsi="Times New Roman"/>
                <w:b w:val="0"/>
                <w:sz w:val="14"/>
              </w:rPr>
              <w:t>Imran et al. (2026), LSTM</w:t>
            </w:r>
          </w:p>
        </w:tc>
        <w:tc>
          <w:tcPr>
            <w:tcW w:type="dxa" w:w="2016"/>
            <w:vAlign w:val="center"/>
          </w:tcPr>
          <w:p>
            <w:r/>
            <w:r>
              <w:rPr>
                <w:rFonts w:ascii="Times New Roman" w:hAnsi="Times New Roman"/>
                <w:b w:val="0"/>
                <w:sz w:val="14"/>
              </w:rPr>
              <w:t>18,000 samples from two datasets</w:t>
            </w:r>
          </w:p>
        </w:tc>
        <w:tc>
          <w:tcPr>
            <w:tcW w:type="dxa" w:w="2016"/>
            <w:vAlign w:val="center"/>
          </w:tcPr>
          <w:p>
            <w:r/>
            <w:r>
              <w:rPr>
                <w:rFonts w:ascii="Times New Roman" w:hAnsi="Times New Roman"/>
                <w:b w:val="0"/>
                <w:sz w:val="14"/>
              </w:rPr>
              <w:t>Unclear</w:t>
            </w:r>
          </w:p>
        </w:tc>
      </w:tr>
      <w:tr>
        <w:tc>
          <w:tcPr>
            <w:tcW w:type="dxa" w:w="2016"/>
            <w:vAlign w:val="center"/>
          </w:tcPr>
          <w:p>
            <w:r/>
            <w:r>
              <w:rPr>
                <w:rFonts w:ascii="Times New Roman" w:hAnsi="Times New Roman"/>
                <w:b w:val="0"/>
                <w:sz w:val="14"/>
              </w:rPr>
              <w:t>8-class, natural distribution (this study)</w:t>
            </w:r>
          </w:p>
        </w:tc>
        <w:tc>
          <w:tcPr>
            <w:tcW w:type="dxa" w:w="2016"/>
            <w:vAlign w:val="center"/>
          </w:tcPr>
          <w:p>
            <w:r/>
            <w:r>
              <w:rPr>
                <w:rFonts w:ascii="Times New Roman" w:hAnsi="Times New Roman"/>
                <w:b w:val="0"/>
                <w:sz w:val="14"/>
              </w:rPr>
              <w:t>75.44%</w:t>
            </w:r>
          </w:p>
        </w:tc>
        <w:tc>
          <w:tcPr>
            <w:tcW w:type="dxa" w:w="2016"/>
            <w:vAlign w:val="center"/>
          </w:tcPr>
          <w:p>
            <w:r/>
            <w:r>
              <w:rPr>
                <w:rFonts w:ascii="Times New Roman" w:hAnsi="Times New Roman"/>
                <w:b w:val="0"/>
                <w:sz w:val="14"/>
              </w:rPr>
              <w:t>This study, DNN (macro-F1 0.63); own experiments, not a published result</w:t>
            </w:r>
          </w:p>
        </w:tc>
        <w:tc>
          <w:tcPr>
            <w:tcW w:type="dxa" w:w="2016"/>
            <w:vAlign w:val="center"/>
          </w:tcPr>
          <w:p>
            <w:r/>
            <w:r>
              <w:rPr>
                <w:rFonts w:ascii="Times New Roman" w:hAnsi="Times New Roman"/>
                <w:b w:val="0"/>
                <w:sz w:val="14"/>
              </w:rPr>
              <w:t>Balanced 10,000-per-class training sample; full 268,463-flow natural test set; single run</w:t>
            </w:r>
          </w:p>
        </w:tc>
        <w:tc>
          <w:tcPr>
            <w:tcW w:type="dxa" w:w="2016"/>
            <w:vAlign w:val="center"/>
          </w:tcPr>
          <w:p>
            <w:r/>
            <w:r>
              <w:rPr>
                <w:rFonts w:ascii="Times New Roman" w:hAnsi="Times New Roman"/>
                <w:b w:val="0"/>
                <w:sz w:val="14"/>
              </w:rPr>
              <w:t>Yes</w:t>
            </w:r>
          </w:p>
        </w:tc>
      </w:tr>
    </w:tbl>
    <w:p>
      <w:pPr>
        <w:pStyle w:val="Heading2"/>
      </w:pPr>
      <w:r>
        <w:t>4.1 Interpretation of the SOTA table</w:t>
      </w:r>
    </w:p>
    <w:p>
      <w:r>
        <w:t>The 99.995% binary result from Yaras and Dener is the highest accuracy listed, but the workbook marks subset/balancing information as unrecorded and therefore does not treat it as directly comparable with natural-traffic evaluation. The 99.40% 8-class and 34-class results from Almahaqeri et al. are based on stratified undersampling, and the workbook explicitly marks them as not comparable to real traffic. By contrast, Kwari and Rajkumar's 76.88% 34-class result is explicitly marked as natural-distribution, although it is based on a 100,000-sample subset and a single split.</w:t>
      </w:r>
    </w:p>
    <w:p>
      <w:r>
        <w:t>Hajjouz and Avksentieva provide the closest high-performing reference in the workbook because their CatBoost experiment uses the full 45.8 million-flow CICIoT2023 dataset, a stratified split, and six-fold validation. Nevertheless, the task is a 20-class grouping focused on DoS, DDoS, Mirai, and benign traffic, so it is not directly equivalent to the present eight-class experiment.</w:t>
      </w:r>
    </w:p>
    <w:p>
      <w:pPr>
        <w:pStyle w:val="Heading1"/>
      </w:pPr>
      <w:r>
        <w:t>5. Model-Family SOTA</w:t>
      </w:r>
    </w:p>
    <w:p>
      <w:r>
        <w:t>The workbook groups the literature into boosted trees with feature selection, deep learning and CNN/LSTM hybrids, voting ensembles, and the present deep-learning experiment.</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shd w:fill="D9EAF7"/>
          </w:tcPr>
          <w:p>
            <w:r/>
            <w:r>
              <w:rPr>
                <w:rFonts w:ascii="Times New Roman" w:hAnsi="Times New Roman"/>
                <w:b/>
                <w:sz w:val="15"/>
              </w:rPr>
              <w:t>Method family</w:t>
            </w:r>
          </w:p>
        </w:tc>
        <w:tc>
          <w:tcPr>
            <w:tcW w:type="dxa" w:w="2520"/>
            <w:vAlign w:val="center"/>
            <w:shd w:fill="D9EAF7"/>
          </w:tcPr>
          <w:p>
            <w:r/>
            <w:r>
              <w:rPr>
                <w:rFonts w:ascii="Times New Roman" w:hAnsi="Times New Roman"/>
                <w:b/>
                <w:sz w:val="15"/>
              </w:rPr>
              <w:t>Best reported result</w:t>
            </w:r>
          </w:p>
        </w:tc>
        <w:tc>
          <w:tcPr>
            <w:tcW w:type="dxa" w:w="2520"/>
            <w:vAlign w:val="center"/>
            <w:shd w:fill="D9EAF7"/>
          </w:tcPr>
          <w:p>
            <w:r/>
            <w:r>
              <w:rPr>
                <w:rFonts w:ascii="Times New Roman" w:hAnsi="Times New Roman"/>
                <w:b/>
                <w:sz w:val="15"/>
              </w:rPr>
              <w:t>Representative studies</w:t>
            </w:r>
          </w:p>
        </w:tc>
        <w:tc>
          <w:tcPr>
            <w:tcW w:type="dxa" w:w="2520"/>
            <w:vAlign w:val="center"/>
            <w:shd w:fill="D9EAF7"/>
          </w:tcPr>
          <w:p>
            <w:r/>
            <w:r>
              <w:rPr>
                <w:rFonts w:ascii="Times New Roman" w:hAnsi="Times New Roman"/>
                <w:b/>
                <w:sz w:val="15"/>
              </w:rPr>
              <w:t>Typical cost / observation</w:t>
            </w:r>
          </w:p>
        </w:tc>
      </w:tr>
      <w:tr>
        <w:tc>
          <w:tcPr>
            <w:tcW w:type="dxa" w:w="2520"/>
            <w:vAlign w:val="center"/>
          </w:tcPr>
          <w:p>
            <w:r/>
            <w:r>
              <w:rPr>
                <w:rFonts w:ascii="Times New Roman" w:hAnsi="Times New Roman"/>
                <w:b w:val="0"/>
                <w:sz w:val="15"/>
              </w:rPr>
              <w:t>Boosted trees + feature selection</w:t>
            </w:r>
          </w:p>
        </w:tc>
        <w:tc>
          <w:tcPr>
            <w:tcW w:type="dxa" w:w="2520"/>
            <w:vAlign w:val="center"/>
          </w:tcPr>
          <w:p>
            <w:r/>
            <w:r>
              <w:rPr>
                <w:rFonts w:ascii="Times New Roman" w:hAnsi="Times New Roman"/>
                <w:b w:val="0"/>
                <w:sz w:val="15"/>
              </w:rPr>
              <w:t>99.96% (20 classes); 99.61% binary; 98.88% multiclass</w:t>
            </w:r>
          </w:p>
        </w:tc>
        <w:tc>
          <w:tcPr>
            <w:tcW w:type="dxa" w:w="2520"/>
            <w:vAlign w:val="center"/>
          </w:tcPr>
          <w:p>
            <w:r/>
            <w:r>
              <w:rPr>
                <w:rFonts w:ascii="Times New Roman" w:hAnsi="Times New Roman"/>
                <w:b w:val="0"/>
                <w:sz w:val="15"/>
              </w:rPr>
              <w:t>Hajjouz &amp; Avksentieva; Almahaqeri et al.; Khan et al.</w:t>
            </w:r>
          </w:p>
        </w:tc>
        <w:tc>
          <w:tcPr>
            <w:tcW w:type="dxa" w:w="2520"/>
            <w:vAlign w:val="center"/>
          </w:tcPr>
          <w:p>
            <w:r/>
            <w:r>
              <w:rPr>
                <w:rFonts w:ascii="Times New Roman" w:hAnsi="Times New Roman"/>
                <w:b w:val="0"/>
                <w:sz w:val="15"/>
              </w:rPr>
              <w:t>Very low reported per-sample cost; feature count can be halved</w:t>
            </w:r>
          </w:p>
        </w:tc>
      </w:tr>
      <w:tr>
        <w:tc>
          <w:tcPr>
            <w:tcW w:type="dxa" w:w="2520"/>
            <w:vAlign w:val="center"/>
          </w:tcPr>
          <w:p>
            <w:r/>
            <w:r>
              <w:rPr>
                <w:rFonts w:ascii="Times New Roman" w:hAnsi="Times New Roman"/>
                <w:b w:val="0"/>
                <w:sz w:val="15"/>
              </w:rPr>
              <w:t>Deep learning (CNN/LSTM hybrids)</w:t>
            </w:r>
          </w:p>
        </w:tc>
        <w:tc>
          <w:tcPr>
            <w:tcW w:type="dxa" w:w="2520"/>
            <w:vAlign w:val="center"/>
          </w:tcPr>
          <w:p>
            <w:r/>
            <w:r>
              <w:rPr>
                <w:rFonts w:ascii="Times New Roman" w:hAnsi="Times New Roman"/>
                <w:b w:val="0"/>
                <w:sz w:val="15"/>
              </w:rPr>
              <w:t>99.995% binary; 99.96% multiclass; 98.58% 34-class</w:t>
            </w:r>
          </w:p>
        </w:tc>
        <w:tc>
          <w:tcPr>
            <w:tcW w:type="dxa" w:w="2520"/>
            <w:vAlign w:val="center"/>
          </w:tcPr>
          <w:p>
            <w:r/>
            <w:r>
              <w:rPr>
                <w:rFonts w:ascii="Times New Roman" w:hAnsi="Times New Roman"/>
                <w:b w:val="0"/>
                <w:sz w:val="15"/>
              </w:rPr>
              <w:t>Yaras &amp; Dener; Meena &amp; Indian</w:t>
            </w:r>
          </w:p>
        </w:tc>
        <w:tc>
          <w:tcPr>
            <w:tcW w:type="dxa" w:w="2520"/>
            <w:vAlign w:val="center"/>
          </w:tcPr>
          <w:p>
            <w:r/>
            <w:r>
              <w:rPr>
                <w:rFonts w:ascii="Times New Roman" w:hAnsi="Times New Roman"/>
                <w:b w:val="0"/>
                <w:sz w:val="15"/>
              </w:rPr>
              <w:t>Strong performance, but advantage depends on task/baseline</w:t>
            </w:r>
          </w:p>
        </w:tc>
      </w:tr>
      <w:tr>
        <w:tc>
          <w:tcPr>
            <w:tcW w:type="dxa" w:w="2520"/>
            <w:vAlign w:val="center"/>
          </w:tcPr>
          <w:p>
            <w:r/>
            <w:r>
              <w:rPr>
                <w:rFonts w:ascii="Times New Roman" w:hAnsi="Times New Roman"/>
                <w:b w:val="0"/>
                <w:sz w:val="15"/>
              </w:rPr>
              <w:t>Voting ensembles</w:t>
            </w:r>
          </w:p>
        </w:tc>
        <w:tc>
          <w:tcPr>
            <w:tcW w:type="dxa" w:w="2520"/>
            <w:vAlign w:val="center"/>
          </w:tcPr>
          <w:p>
            <w:r/>
            <w:r>
              <w:rPr>
                <w:rFonts w:ascii="Times New Roman" w:hAnsi="Times New Roman"/>
                <w:b w:val="0"/>
                <w:sz w:val="15"/>
              </w:rPr>
              <w:t>76.88% 34-class; 99.80% binary</w:t>
            </w:r>
          </w:p>
        </w:tc>
        <w:tc>
          <w:tcPr>
            <w:tcW w:type="dxa" w:w="2520"/>
            <w:vAlign w:val="center"/>
          </w:tcPr>
          <w:p>
            <w:r/>
            <w:r>
              <w:rPr>
                <w:rFonts w:ascii="Times New Roman" w:hAnsi="Times New Roman"/>
                <w:b w:val="0"/>
                <w:sz w:val="15"/>
              </w:rPr>
              <w:t>Kwari &amp; Rajkumar; Mughogho</w:t>
            </w:r>
          </w:p>
        </w:tc>
        <w:tc>
          <w:tcPr>
            <w:tcW w:type="dxa" w:w="2520"/>
            <w:vAlign w:val="center"/>
          </w:tcPr>
          <w:p>
            <w:r/>
            <w:r>
              <w:rPr>
                <w:rFonts w:ascii="Times New Roman" w:hAnsi="Times New Roman"/>
                <w:b w:val="0"/>
                <w:sz w:val="15"/>
              </w:rPr>
              <w:t>Low computational cost; gains over members are modest</w:t>
            </w:r>
          </w:p>
        </w:tc>
      </w:tr>
      <w:tr>
        <w:tc>
          <w:tcPr>
            <w:tcW w:type="dxa" w:w="2520"/>
            <w:vAlign w:val="center"/>
          </w:tcPr>
          <w:p>
            <w:r/>
            <w:r>
              <w:rPr>
                <w:rFonts w:ascii="Times New Roman" w:hAnsi="Times New Roman"/>
                <w:b w:val="0"/>
                <w:sz w:val="15"/>
              </w:rPr>
              <w:t>Present deep-learning study</w:t>
            </w:r>
          </w:p>
        </w:tc>
        <w:tc>
          <w:tcPr>
            <w:tcW w:type="dxa" w:w="2520"/>
            <w:vAlign w:val="center"/>
          </w:tcPr>
          <w:p>
            <w:r/>
            <w:r>
              <w:rPr>
                <w:rFonts w:ascii="Times New Roman" w:hAnsi="Times New Roman"/>
                <w:b w:val="0"/>
                <w:sz w:val="15"/>
              </w:rPr>
              <w:t>75.44% DNN; 72.53% Transformer; 69.82% GRU</w:t>
            </w:r>
          </w:p>
        </w:tc>
        <w:tc>
          <w:tcPr>
            <w:tcW w:type="dxa" w:w="2520"/>
            <w:vAlign w:val="center"/>
          </w:tcPr>
          <w:p>
            <w:r/>
            <w:r>
              <w:rPr>
                <w:rFonts w:ascii="Times New Roman" w:hAnsi="Times New Roman"/>
                <w:b w:val="0"/>
                <w:sz w:val="15"/>
              </w:rPr>
              <w:t>Present experiment</w:t>
            </w:r>
          </w:p>
        </w:tc>
        <w:tc>
          <w:tcPr>
            <w:tcW w:type="dxa" w:w="2520"/>
            <w:vAlign w:val="center"/>
          </w:tcPr>
          <w:p>
            <w:r/>
            <w:r>
              <w:rPr>
                <w:rFonts w:ascii="Times New Roman" w:hAnsi="Times New Roman"/>
                <w:b w:val="0"/>
                <w:sz w:val="15"/>
              </w:rPr>
              <w:t>CPU training 18 s to 3,498 s; single run</w:t>
            </w:r>
          </w:p>
        </w:tc>
      </w:tr>
    </w:tbl>
    <w:p>
      <w:pPr>
        <w:pStyle w:val="Heading2"/>
      </w:pPr>
      <w:r>
        <w:t>5.1 Head-to-head comparisons</w:t>
      </w:r>
    </w:p>
    <w:p>
      <w:r>
        <w:t>The workbook contains several within-study comparisons. These are more informative than cross-study rankings because the models share a dataset and evaluation protocol.</w:t>
      </w:r>
    </w:p>
    <w:tbl>
      <w:tblPr>
        <w:tblStyle w:val="TableGrid"/>
        <w:tblW w:type="auto" w:w="0"/>
        <w:jc w:val="center"/>
        <w:tblLook w:firstColumn="1" w:firstRow="1" w:lastColumn="0" w:lastRow="0" w:noHBand="0" w:noVBand="1" w:val="04A0"/>
      </w:tblPr>
      <w:tblGrid>
        <w:gridCol w:w="1680"/>
        <w:gridCol w:w="1680"/>
        <w:gridCol w:w="1680"/>
        <w:gridCol w:w="1680"/>
        <w:gridCol w:w="1680"/>
        <w:gridCol w:w="1680"/>
      </w:tblGrid>
      <w:tr>
        <w:tc>
          <w:tcPr>
            <w:tcW w:type="dxa" w:w="1680"/>
            <w:vAlign w:val="center"/>
            <w:shd w:fill="D9EAF7"/>
          </w:tcPr>
          <w:p>
            <w:r/>
            <w:r>
              <w:rPr>
                <w:rFonts w:ascii="Times New Roman" w:hAnsi="Times New Roman"/>
                <w:b/>
                <w:sz w:val="14"/>
              </w:rPr>
              <w:t>Comparison</w:t>
            </w:r>
          </w:p>
        </w:tc>
        <w:tc>
          <w:tcPr>
            <w:tcW w:type="dxa" w:w="1680"/>
            <w:vAlign w:val="center"/>
            <w:shd w:fill="D9EAF7"/>
          </w:tcPr>
          <w:p>
            <w:r/>
            <w:r>
              <w:rPr>
                <w:rFonts w:ascii="Times New Roman" w:hAnsi="Times New Roman"/>
                <w:b/>
                <w:sz w:val="14"/>
              </w:rPr>
              <w:t>Deep model</w:t>
            </w:r>
          </w:p>
        </w:tc>
        <w:tc>
          <w:tcPr>
            <w:tcW w:type="dxa" w:w="1680"/>
            <w:vAlign w:val="center"/>
            <w:shd w:fill="D9EAF7"/>
          </w:tcPr>
          <w:p>
            <w:r/>
            <w:r>
              <w:rPr>
                <w:rFonts w:ascii="Times New Roman" w:hAnsi="Times New Roman"/>
                <w:b/>
                <w:sz w:val="14"/>
              </w:rPr>
              <w:t>Deep accuracy</w:t>
            </w:r>
          </w:p>
        </w:tc>
        <w:tc>
          <w:tcPr>
            <w:tcW w:type="dxa" w:w="1680"/>
            <w:vAlign w:val="center"/>
            <w:shd w:fill="D9EAF7"/>
          </w:tcPr>
          <w:p>
            <w:r/>
            <w:r>
              <w:rPr>
                <w:rFonts w:ascii="Times New Roman" w:hAnsi="Times New Roman"/>
                <w:b/>
                <w:sz w:val="14"/>
              </w:rPr>
              <w:t>Tree model</w:t>
            </w:r>
          </w:p>
        </w:tc>
        <w:tc>
          <w:tcPr>
            <w:tcW w:type="dxa" w:w="1680"/>
            <w:vAlign w:val="center"/>
            <w:shd w:fill="D9EAF7"/>
          </w:tcPr>
          <w:p>
            <w:r/>
            <w:r>
              <w:rPr>
                <w:rFonts w:ascii="Times New Roman" w:hAnsi="Times New Roman"/>
                <w:b/>
                <w:sz w:val="14"/>
              </w:rPr>
              <w:t>Tree accuracy</w:t>
            </w:r>
          </w:p>
        </w:tc>
        <w:tc>
          <w:tcPr>
            <w:tcW w:type="dxa" w:w="1680"/>
            <w:vAlign w:val="center"/>
            <w:shd w:fill="D9EAF7"/>
          </w:tcPr>
          <w:p>
            <w:r/>
            <w:r>
              <w:rPr>
                <w:rFonts w:ascii="Times New Roman" w:hAnsi="Times New Roman"/>
                <w:b/>
                <w:sz w:val="14"/>
              </w:rPr>
              <w:t>Winner</w:t>
            </w:r>
          </w:p>
        </w:tc>
      </w:tr>
      <w:tr>
        <w:tc>
          <w:tcPr>
            <w:tcW w:type="dxa" w:w="1680"/>
            <w:vAlign w:val="center"/>
          </w:tcPr>
          <w:p>
            <w:r/>
            <w:r>
              <w:rPr>
                <w:rFonts w:ascii="Times New Roman" w:hAnsi="Times New Roman"/>
                <w:b w:val="0"/>
                <w:sz w:val="14"/>
              </w:rPr>
              <w:t>Imran et al. (2026): 6 classes, 18k samples</w:t>
            </w:r>
          </w:p>
        </w:tc>
        <w:tc>
          <w:tcPr>
            <w:tcW w:type="dxa" w:w="1680"/>
            <w:vAlign w:val="center"/>
          </w:tcPr>
          <w:p>
            <w:r/>
            <w:r>
              <w:rPr>
                <w:rFonts w:ascii="Times New Roman" w:hAnsi="Times New Roman"/>
                <w:b w:val="0"/>
                <w:sz w:val="14"/>
              </w:rPr>
              <w:t>LSTM</w:t>
            </w:r>
          </w:p>
        </w:tc>
        <w:tc>
          <w:tcPr>
            <w:tcW w:type="dxa" w:w="1680"/>
            <w:vAlign w:val="center"/>
          </w:tcPr>
          <w:p>
            <w:r/>
            <w:r>
              <w:rPr>
                <w:rFonts w:ascii="Times New Roman" w:hAnsi="Times New Roman"/>
                <w:b w:val="0"/>
                <w:sz w:val="14"/>
              </w:rPr>
              <w:t>96.02%</w:t>
            </w:r>
          </w:p>
        </w:tc>
        <w:tc>
          <w:tcPr>
            <w:tcW w:type="dxa" w:w="1680"/>
            <w:vAlign w:val="center"/>
          </w:tcPr>
          <w:p>
            <w:r/>
            <w:r>
              <w:rPr>
                <w:rFonts w:ascii="Times New Roman" w:hAnsi="Times New Roman"/>
                <w:b w:val="0"/>
                <w:sz w:val="14"/>
              </w:rPr>
              <w:t>XGBoost</w:t>
            </w:r>
          </w:p>
        </w:tc>
        <w:tc>
          <w:tcPr>
            <w:tcW w:type="dxa" w:w="1680"/>
            <w:vAlign w:val="center"/>
          </w:tcPr>
          <w:p>
            <w:r/>
            <w:r>
              <w:rPr>
                <w:rFonts w:ascii="Times New Roman" w:hAnsi="Times New Roman"/>
                <w:b w:val="0"/>
                <w:sz w:val="14"/>
              </w:rPr>
              <w:t>92.38%</w:t>
            </w:r>
          </w:p>
        </w:tc>
        <w:tc>
          <w:tcPr>
            <w:tcW w:type="dxa" w:w="1680"/>
            <w:vAlign w:val="center"/>
          </w:tcPr>
          <w:p>
            <w:r/>
            <w:r>
              <w:rPr>
                <w:rFonts w:ascii="Times New Roman" w:hAnsi="Times New Roman"/>
                <w:b w:val="0"/>
                <w:sz w:val="14"/>
              </w:rPr>
              <w:t>3.64000000000001</w:t>
            </w:r>
          </w:p>
        </w:tc>
      </w:tr>
      <w:tr>
        <w:tc>
          <w:tcPr>
            <w:tcW w:type="dxa" w:w="1680"/>
            <w:vAlign w:val="center"/>
          </w:tcPr>
          <w:p>
            <w:r/>
            <w:r>
              <w:rPr>
                <w:rFonts w:ascii="Times New Roman" w:hAnsi="Times New Roman"/>
                <w:b w:val="0"/>
                <w:sz w:val="14"/>
              </w:rPr>
              <w:t>Mishra &amp; Reddy (2026): macro avg, 3 datasets (preprint)</w:t>
            </w:r>
          </w:p>
        </w:tc>
        <w:tc>
          <w:tcPr>
            <w:tcW w:type="dxa" w:w="1680"/>
            <w:vAlign w:val="center"/>
          </w:tcPr>
          <w:p>
            <w:r/>
            <w:r>
              <w:rPr>
                <w:rFonts w:ascii="Times New Roman" w:hAnsi="Times New Roman"/>
                <w:b w:val="0"/>
                <w:sz w:val="14"/>
              </w:rPr>
              <w:t>Hybrid CNN-BiLSTM-attention-Transformer</w:t>
            </w:r>
          </w:p>
        </w:tc>
        <w:tc>
          <w:tcPr>
            <w:tcW w:type="dxa" w:w="1680"/>
            <w:vAlign w:val="center"/>
          </w:tcPr>
          <w:p>
            <w:r/>
            <w:r>
              <w:rPr>
                <w:rFonts w:ascii="Times New Roman" w:hAnsi="Times New Roman"/>
                <w:b w:val="0"/>
                <w:sz w:val="14"/>
              </w:rPr>
              <w:t>89.80%</w:t>
            </w:r>
          </w:p>
        </w:tc>
        <w:tc>
          <w:tcPr>
            <w:tcW w:type="dxa" w:w="1680"/>
            <w:vAlign w:val="center"/>
          </w:tcPr>
          <w:p>
            <w:r/>
            <w:r>
              <w:rPr>
                <w:rFonts w:ascii="Times New Roman" w:hAnsi="Times New Roman"/>
                <w:b w:val="0"/>
                <w:sz w:val="14"/>
              </w:rPr>
              <w:t>Hybrid deep-feature XGBoost</w:t>
            </w:r>
          </w:p>
        </w:tc>
        <w:tc>
          <w:tcPr>
            <w:tcW w:type="dxa" w:w="1680"/>
            <w:vAlign w:val="center"/>
          </w:tcPr>
          <w:p>
            <w:r/>
            <w:r>
              <w:rPr>
                <w:rFonts w:ascii="Times New Roman" w:hAnsi="Times New Roman"/>
                <w:b w:val="0"/>
                <w:sz w:val="14"/>
              </w:rPr>
              <w:t>92.11%</w:t>
            </w:r>
          </w:p>
        </w:tc>
        <w:tc>
          <w:tcPr>
            <w:tcW w:type="dxa" w:w="1680"/>
            <w:vAlign w:val="center"/>
          </w:tcPr>
          <w:p>
            <w:r/>
            <w:r>
              <w:rPr>
                <w:rFonts w:ascii="Times New Roman" w:hAnsi="Times New Roman"/>
                <w:b w:val="0"/>
                <w:sz w:val="14"/>
              </w:rPr>
              <w:t>-2.31</w:t>
            </w:r>
          </w:p>
        </w:tc>
      </w:tr>
      <w:tr>
        <w:tc>
          <w:tcPr>
            <w:tcW w:type="dxa" w:w="1680"/>
            <w:vAlign w:val="center"/>
          </w:tcPr>
          <w:p>
            <w:r/>
            <w:r>
              <w:rPr>
                <w:rFonts w:ascii="Times New Roman" w:hAnsi="Times New Roman"/>
                <w:b w:val="0"/>
                <w:sz w:val="14"/>
              </w:rPr>
              <w:t>Note: Mughogho binary best member = decision tree (0.9969); multiclass best member = decision tree (0.9911); Kwari best member = logistic regression (0.7515).</w:t>
            </w:r>
          </w:p>
        </w:tc>
        <w:tc>
          <w:tcPr>
            <w:tcW w:type="dxa" w:w="1680"/>
            <w:vAlign w:val="center"/>
          </w:tcPr>
          <w:p>
            <w:r/>
            <w:r>
              <w:rPr>
                <w:rFonts w:ascii="Times New Roman" w:hAnsi="Times New Roman"/>
                <w:b w:val="0"/>
                <w:sz w:val="14"/>
              </w:rPr>
              <w:t>nan</w:t>
            </w:r>
          </w:p>
        </w:tc>
        <w:tc>
          <w:tcPr>
            <w:tcW w:type="dxa" w:w="1680"/>
            <w:vAlign w:val="center"/>
          </w:tcPr>
          <w:p>
            <w:r/>
            <w:r>
              <w:rPr>
                <w:rFonts w:ascii="Times New Roman" w:hAnsi="Times New Roman"/>
                <w:b w:val="0"/>
                <w:sz w:val="14"/>
              </w:rPr>
              <w:t>nan%</w:t>
            </w:r>
          </w:p>
        </w:tc>
        <w:tc>
          <w:tcPr>
            <w:tcW w:type="dxa" w:w="1680"/>
            <w:vAlign w:val="center"/>
          </w:tcPr>
          <w:p>
            <w:r/>
            <w:r>
              <w:rPr>
                <w:rFonts w:ascii="Times New Roman" w:hAnsi="Times New Roman"/>
                <w:b w:val="0"/>
                <w:sz w:val="14"/>
              </w:rPr>
              <w:t>nan</w:t>
            </w:r>
          </w:p>
        </w:tc>
        <w:tc>
          <w:tcPr>
            <w:tcW w:type="dxa" w:w="1680"/>
            <w:vAlign w:val="center"/>
          </w:tcPr>
          <w:p>
            <w:r/>
            <w:r>
              <w:rPr>
                <w:rFonts w:ascii="Times New Roman" w:hAnsi="Times New Roman"/>
                <w:b w:val="0"/>
                <w:sz w:val="14"/>
              </w:rPr>
              <w:t>nan%</w:t>
            </w:r>
          </w:p>
        </w:tc>
        <w:tc>
          <w:tcPr>
            <w:tcW w:type="dxa" w:w="1680"/>
            <w:vAlign w:val="center"/>
          </w:tcPr>
          <w:p>
            <w:r/>
            <w:r>
              <w:rPr>
                <w:rFonts w:ascii="Times New Roman" w:hAnsi="Times New Roman"/>
                <w:b w:val="0"/>
                <w:sz w:val="14"/>
              </w:rPr>
              <w:t>nan</w:t>
            </w:r>
          </w:p>
        </w:tc>
      </w:tr>
    </w:tbl>
    <w:p>
      <w:r>
        <w:t>The source workbook records that the best method changes by dataset and that tree-based models can remain highly competitive. Therefore, 'deep learning' should not be treated as synonymous with SOTA.</w:t>
      </w:r>
    </w:p>
    <w:p>
      <w:pPr>
        <w:pStyle w:val="Heading1"/>
      </w:pPr>
      <w:r>
        <w:t>6. Class Imbalance and Evaluation Protocol</w:t>
      </w:r>
    </w:p>
    <w:p>
      <w:r>
        <w:t>Class imbalance is a decisive factor in interpreting IoT IDS SOTA. The workbook records three materially different regimes: natural-distribution evaluation, undersampled evaluation, and balanced training with natural-distribution testing. These should not be conflated.</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AF7"/>
          </w:tcPr>
          <w:p>
            <w:r/>
            <w:r>
              <w:rPr>
                <w:rFonts w:ascii="Times New Roman" w:hAnsi="Times New Roman"/>
                <w:b/>
                <w:sz w:val="16"/>
              </w:rPr>
              <w:t>Evidence</w:t>
            </w:r>
          </w:p>
        </w:tc>
        <w:tc>
          <w:tcPr>
            <w:tcW w:type="dxa" w:w="3360"/>
            <w:vAlign w:val="center"/>
            <w:shd w:fill="D9EAF7"/>
          </w:tcPr>
          <w:p>
            <w:r/>
            <w:r>
              <w:rPr>
                <w:rFonts w:ascii="Times New Roman" w:hAnsi="Times New Roman"/>
                <w:b/>
                <w:sz w:val="16"/>
              </w:rPr>
              <w:t>Setup</w:t>
            </w:r>
          </w:p>
        </w:tc>
        <w:tc>
          <w:tcPr>
            <w:tcW w:type="dxa" w:w="3360"/>
            <w:vAlign w:val="center"/>
            <w:shd w:fill="D9EAF7"/>
          </w:tcPr>
          <w:p>
            <w:r/>
            <w:r>
              <w:rPr>
                <w:rFonts w:ascii="Times New Roman" w:hAnsi="Times New Roman"/>
                <w:b/>
                <w:sz w:val="16"/>
              </w:rPr>
              <w:t>Main implication</w:t>
            </w:r>
          </w:p>
        </w:tc>
      </w:tr>
      <w:tr>
        <w:tc>
          <w:tcPr>
            <w:tcW w:type="dxa" w:w="3360"/>
            <w:vAlign w:val="center"/>
          </w:tcPr>
          <w:p>
            <w:r/>
            <w:r>
              <w:rPr>
                <w:rFonts w:ascii="Times New Roman" w:hAnsi="Times New Roman"/>
                <w:b w:val="0"/>
                <w:sz w:val="16"/>
              </w:rPr>
              <w:t>Kwari &amp; Rajkumar (2025)</w:t>
            </w:r>
          </w:p>
        </w:tc>
        <w:tc>
          <w:tcPr>
            <w:tcW w:type="dxa" w:w="3360"/>
            <w:vAlign w:val="center"/>
          </w:tcPr>
          <w:p>
            <w:r/>
            <w:r>
              <w:rPr>
                <w:rFonts w:ascii="Times New Roman" w:hAnsi="Times New Roman"/>
                <w:b w:val="0"/>
                <w:sz w:val="16"/>
              </w:rPr>
              <w:t>100,000-flow subset; no rebalancing; natural-distribution test</w:t>
            </w:r>
          </w:p>
        </w:tc>
        <w:tc>
          <w:tcPr>
            <w:tcW w:type="dxa" w:w="3360"/>
            <w:vAlign w:val="center"/>
          </w:tcPr>
          <w:p>
            <w:r/>
            <w:r>
              <w:rPr>
                <w:rFonts w:ascii="Times New Roman" w:hAnsi="Times New Roman"/>
                <w:b w:val="0"/>
                <w:sz w:val="16"/>
              </w:rPr>
              <w:t>76.88% accuracy but macro-F1 0.54; rare classes reached F1 = 0</w:t>
            </w:r>
          </w:p>
        </w:tc>
      </w:tr>
      <w:tr>
        <w:tc>
          <w:tcPr>
            <w:tcW w:type="dxa" w:w="3360"/>
            <w:vAlign w:val="center"/>
          </w:tcPr>
          <w:p>
            <w:r/>
            <w:r>
              <w:rPr>
                <w:rFonts w:ascii="Times New Roman" w:hAnsi="Times New Roman"/>
                <w:b w:val="0"/>
                <w:sz w:val="16"/>
              </w:rPr>
              <w:t>Almahaqeri et al. (2026)</w:t>
            </w:r>
          </w:p>
        </w:tc>
        <w:tc>
          <w:tcPr>
            <w:tcW w:type="dxa" w:w="3360"/>
            <w:vAlign w:val="center"/>
          </w:tcPr>
          <w:p>
            <w:r/>
            <w:r>
              <w:rPr>
                <w:rFonts w:ascii="Times New Roman" w:hAnsi="Times New Roman"/>
                <w:b w:val="0"/>
                <w:sz w:val="16"/>
              </w:rPr>
              <w:t>Stratified undersampling</w:t>
            </w:r>
          </w:p>
        </w:tc>
        <w:tc>
          <w:tcPr>
            <w:tcW w:type="dxa" w:w="3360"/>
            <w:vAlign w:val="center"/>
          </w:tcPr>
          <w:p>
            <w:r/>
            <w:r>
              <w:rPr>
                <w:rFonts w:ascii="Times New Roman" w:hAnsi="Times New Roman"/>
                <w:b w:val="0"/>
                <w:sz w:val="16"/>
              </w:rPr>
              <w:t>99.40% lower-bound accuracy, but test distribution is not natural</w:t>
            </w:r>
          </w:p>
        </w:tc>
      </w:tr>
      <w:tr>
        <w:tc>
          <w:tcPr>
            <w:tcW w:type="dxa" w:w="3360"/>
            <w:vAlign w:val="center"/>
          </w:tcPr>
          <w:p>
            <w:r/>
            <w:r>
              <w:rPr>
                <w:rFonts w:ascii="Times New Roman" w:hAnsi="Times New Roman"/>
                <w:b w:val="0"/>
                <w:sz w:val="16"/>
              </w:rPr>
              <w:t>Present experiment</w:t>
            </w:r>
          </w:p>
        </w:tc>
        <w:tc>
          <w:tcPr>
            <w:tcW w:type="dxa" w:w="3360"/>
            <w:vAlign w:val="center"/>
          </w:tcPr>
          <w:p>
            <w:r/>
            <w:r>
              <w:rPr>
                <w:rFonts w:ascii="Times New Roman" w:hAnsi="Times New Roman"/>
                <w:b w:val="0"/>
                <w:sz w:val="16"/>
              </w:rPr>
              <w:t>80,000 balanced training flows; full 268,463-flow natural test</w:t>
            </w:r>
          </w:p>
        </w:tc>
        <w:tc>
          <w:tcPr>
            <w:tcW w:type="dxa" w:w="3360"/>
            <w:vAlign w:val="center"/>
          </w:tcPr>
          <w:p>
            <w:r/>
            <w:r>
              <w:rPr>
                <w:rFonts w:ascii="Times New Roman" w:hAnsi="Times New Roman"/>
                <w:b w:val="0"/>
                <w:sz w:val="16"/>
              </w:rPr>
              <w:t>75.44% DNN accuracy and 0.6346 macro-F1; rare classes remain important</w:t>
            </w:r>
          </w:p>
        </w:tc>
      </w:tr>
    </w:tbl>
    <w:p>
      <w:r>
        <w:t>The SOTA implication is that macro-F1 and per-class metrics are necessary to assess whether high accuracy corresponds to useful multiclass detection. The present study's natural-distribution test design makes its headline accuracy less directly comparable with undersampled 99%+ results, but it provides a more conservative assessment of class-generalisation under the supplied test distribution.</w:t>
      </w:r>
    </w:p>
    <w:p>
      <w:pPr>
        <w:pStyle w:val="Heading1"/>
      </w:pPr>
      <w:r>
        <w:t>7. Efficiency and Deployment SOTA</w:t>
      </w:r>
    </w:p>
    <w:p>
      <w:r>
        <w:t>Computational efficiency is a separate dimension of SOTA. The workbook reports extremely low per-sample times for selected tree models, while the deep-learning study by Imran et al. reports per-detection times in milliseconds. These measurements use different units and bases and should only be compared within their respective groups.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shd w:fill="D9EAF7"/>
          </w:tcPr>
          <w:p>
            <w:r/>
            <w:r>
              <w:rPr>
                <w:rFonts w:ascii="Times New Roman" w:hAnsi="Times New Roman"/>
                <w:b/>
                <w:sz w:val="15"/>
              </w:rPr>
              <w:t>Study / model</w:t>
            </w:r>
          </w:p>
        </w:tc>
        <w:tc>
          <w:tcPr>
            <w:tcW w:type="dxa" w:w="2520"/>
            <w:vAlign w:val="center"/>
            <w:shd w:fill="D9EAF7"/>
          </w:tcPr>
          <w:p>
            <w:r/>
            <w:r>
              <w:rPr>
                <w:rFonts w:ascii="Times New Roman" w:hAnsi="Times New Roman"/>
                <w:b/>
                <w:sz w:val="15"/>
              </w:rPr>
              <w:t>Reported latency</w:t>
            </w:r>
          </w:p>
        </w:tc>
        <w:tc>
          <w:tcPr>
            <w:tcW w:type="dxa" w:w="2520"/>
            <w:vAlign w:val="center"/>
            <w:shd w:fill="D9EAF7"/>
          </w:tcPr>
          <w:p>
            <w:r/>
            <w:r>
              <w:rPr>
                <w:rFonts w:ascii="Times New Roman" w:hAnsi="Times New Roman"/>
                <w:b/>
                <w:sz w:val="15"/>
              </w:rPr>
              <w:t>Basis</w:t>
            </w:r>
          </w:p>
        </w:tc>
        <w:tc>
          <w:tcPr>
            <w:tcW w:type="dxa" w:w="2520"/>
            <w:vAlign w:val="center"/>
            <w:shd w:fill="D9EAF7"/>
          </w:tcPr>
          <w:p>
            <w:r/>
            <w:r>
              <w:rPr>
                <w:rFonts w:ascii="Times New Roman" w:hAnsi="Times New Roman"/>
                <w:b/>
                <w:sz w:val="15"/>
              </w:rPr>
              <w:t>Relative observation</w:t>
            </w:r>
          </w:p>
        </w:tc>
      </w:tr>
      <w:tr>
        <w:tc>
          <w:tcPr>
            <w:tcW w:type="dxa" w:w="2520"/>
            <w:vAlign w:val="center"/>
          </w:tcPr>
          <w:p>
            <w:r/>
            <w:r>
              <w:rPr>
                <w:rFonts w:ascii="Times New Roman" w:hAnsi="Times New Roman"/>
                <w:b w:val="0"/>
                <w:sz w:val="15"/>
              </w:rPr>
              <w:t>Almahaqeri et al. — XGBoost, 23 features</w:t>
            </w:r>
          </w:p>
        </w:tc>
        <w:tc>
          <w:tcPr>
            <w:tcW w:type="dxa" w:w="2520"/>
            <w:vAlign w:val="center"/>
          </w:tcPr>
          <w:p>
            <w:r/>
            <w:r>
              <w:rPr>
                <w:rFonts w:ascii="Times New Roman" w:hAnsi="Times New Roman"/>
                <w:b w:val="0"/>
                <w:sz w:val="15"/>
              </w:rPr>
              <w:t>0.355 μs/sample</w:t>
            </w:r>
          </w:p>
        </w:tc>
        <w:tc>
          <w:tcPr>
            <w:tcW w:type="dxa" w:w="2520"/>
            <w:vAlign w:val="center"/>
          </w:tcPr>
          <w:p>
            <w:r/>
            <w:r>
              <w:rPr>
                <w:rFonts w:ascii="Times New Roman" w:hAnsi="Times New Roman"/>
                <w:b w:val="0"/>
                <w:sz w:val="15"/>
              </w:rPr>
              <w:t>Binary, batch evaluation</w:t>
            </w:r>
          </w:p>
        </w:tc>
        <w:tc>
          <w:tcPr>
            <w:tcW w:type="dxa" w:w="2520"/>
            <w:vAlign w:val="center"/>
          </w:tcPr>
          <w:p>
            <w:r/>
            <w:r>
              <w:rPr>
                <w:rFonts w:ascii="Times New Roman" w:hAnsi="Times New Roman"/>
                <w:b w:val="0"/>
                <w:sz w:val="15"/>
              </w:rPr>
              <w:t>Fastest in listed group</w:t>
            </w:r>
          </w:p>
        </w:tc>
      </w:tr>
      <w:tr>
        <w:tc>
          <w:tcPr>
            <w:tcW w:type="dxa" w:w="2520"/>
            <w:vAlign w:val="center"/>
          </w:tcPr>
          <w:p>
            <w:r/>
            <w:r>
              <w:rPr>
                <w:rFonts w:ascii="Times New Roman" w:hAnsi="Times New Roman"/>
                <w:b w:val="0"/>
                <w:sz w:val="15"/>
              </w:rPr>
              <w:t>Hajjouz &amp; Avksentieva — CatBoost, 23 features</w:t>
            </w:r>
          </w:p>
        </w:tc>
        <w:tc>
          <w:tcPr>
            <w:tcW w:type="dxa" w:w="2520"/>
            <w:vAlign w:val="center"/>
          </w:tcPr>
          <w:p>
            <w:r/>
            <w:r>
              <w:rPr>
                <w:rFonts w:ascii="Times New Roman" w:hAnsi="Times New Roman"/>
                <w:b w:val="0"/>
                <w:sz w:val="15"/>
              </w:rPr>
              <w:t>0.716 μs/flow</w:t>
            </w:r>
          </w:p>
        </w:tc>
        <w:tc>
          <w:tcPr>
            <w:tcW w:type="dxa" w:w="2520"/>
            <w:vAlign w:val="center"/>
          </w:tcPr>
          <w:p>
            <w:r/>
            <w:r>
              <w:rPr>
                <w:rFonts w:ascii="Times New Roman" w:hAnsi="Times New Roman"/>
                <w:b w:val="0"/>
                <w:sz w:val="15"/>
              </w:rPr>
              <w:t>Total test time 9.84 s</w:t>
            </w:r>
          </w:p>
        </w:tc>
        <w:tc>
          <w:tcPr>
            <w:tcW w:type="dxa" w:w="2520"/>
            <w:vAlign w:val="center"/>
          </w:tcPr>
          <w:p>
            <w:r/>
            <w:r>
              <w:rPr>
                <w:rFonts w:ascii="Times New Roman" w:hAnsi="Times New Roman"/>
                <w:b w:val="0"/>
                <w:sz w:val="15"/>
              </w:rPr>
              <w:t>~2.02× Almahaqeri figure</w:t>
            </w:r>
          </w:p>
        </w:tc>
      </w:tr>
      <w:tr>
        <w:tc>
          <w:tcPr>
            <w:tcW w:type="dxa" w:w="2520"/>
            <w:vAlign w:val="center"/>
          </w:tcPr>
          <w:p>
            <w:r/>
            <w:r>
              <w:rPr>
                <w:rFonts w:ascii="Times New Roman" w:hAnsi="Times New Roman"/>
                <w:b w:val="0"/>
                <w:sz w:val="15"/>
              </w:rPr>
              <w:t>Imran et al. — Decision Tree</w:t>
            </w:r>
          </w:p>
        </w:tc>
        <w:tc>
          <w:tcPr>
            <w:tcW w:type="dxa" w:w="2520"/>
            <w:vAlign w:val="center"/>
          </w:tcPr>
          <w:p>
            <w:r/>
            <w:r>
              <w:rPr>
                <w:rFonts w:ascii="Times New Roman" w:hAnsi="Times New Roman"/>
                <w:b w:val="0"/>
                <w:sz w:val="15"/>
              </w:rPr>
              <w:t>8 ms/detection</w:t>
            </w:r>
          </w:p>
        </w:tc>
        <w:tc>
          <w:tcPr>
            <w:tcW w:type="dxa" w:w="2520"/>
            <w:vAlign w:val="center"/>
          </w:tcPr>
          <w:p>
            <w:r/>
            <w:r>
              <w:rPr>
                <w:rFonts w:ascii="Times New Roman" w:hAnsi="Times New Roman"/>
                <w:b w:val="0"/>
                <w:sz w:val="15"/>
              </w:rPr>
              <w:t>Detection time</w:t>
            </w:r>
          </w:p>
        </w:tc>
        <w:tc>
          <w:tcPr>
            <w:tcW w:type="dxa" w:w="2520"/>
            <w:vAlign w:val="center"/>
          </w:tcPr>
          <w:p>
            <w:r/>
            <w:r>
              <w:rPr>
                <w:rFonts w:ascii="Times New Roman" w:hAnsi="Times New Roman"/>
                <w:b w:val="0"/>
                <w:sz w:val="15"/>
              </w:rPr>
              <w:t>Fastest in that study's model group</w:t>
            </w:r>
          </w:p>
        </w:tc>
      </w:tr>
      <w:tr>
        <w:tc>
          <w:tcPr>
            <w:tcW w:type="dxa" w:w="2520"/>
            <w:vAlign w:val="center"/>
          </w:tcPr>
          <w:p>
            <w:r/>
            <w:r>
              <w:rPr>
                <w:rFonts w:ascii="Times New Roman" w:hAnsi="Times New Roman"/>
                <w:b w:val="0"/>
                <w:sz w:val="15"/>
              </w:rPr>
              <w:t>Imran et al. — Random Forest</w:t>
            </w:r>
          </w:p>
        </w:tc>
        <w:tc>
          <w:tcPr>
            <w:tcW w:type="dxa" w:w="2520"/>
            <w:vAlign w:val="center"/>
          </w:tcPr>
          <w:p>
            <w:r/>
            <w:r>
              <w:rPr>
                <w:rFonts w:ascii="Times New Roman" w:hAnsi="Times New Roman"/>
                <w:b w:val="0"/>
                <w:sz w:val="15"/>
              </w:rPr>
              <w:t>12 ms/detection</w:t>
            </w:r>
          </w:p>
        </w:tc>
        <w:tc>
          <w:tcPr>
            <w:tcW w:type="dxa" w:w="2520"/>
            <w:vAlign w:val="center"/>
          </w:tcPr>
          <w:p>
            <w:r/>
            <w:r>
              <w:rPr>
                <w:rFonts w:ascii="Times New Roman" w:hAnsi="Times New Roman"/>
                <w:b w:val="0"/>
                <w:sz w:val="15"/>
              </w:rPr>
              <w:t>Detection time</w:t>
            </w:r>
          </w:p>
        </w:tc>
        <w:tc>
          <w:tcPr>
            <w:tcW w:type="dxa" w:w="2520"/>
            <w:vAlign w:val="center"/>
          </w:tcPr>
          <w:p>
            <w:r/>
            <w:r>
              <w:rPr>
                <w:rFonts w:ascii="Times New Roman" w:hAnsi="Times New Roman"/>
                <w:b w:val="0"/>
                <w:sz w:val="15"/>
              </w:rPr>
              <w:t>1.5× DT</w:t>
            </w:r>
          </w:p>
        </w:tc>
      </w:tr>
      <w:tr>
        <w:tc>
          <w:tcPr>
            <w:tcW w:type="dxa" w:w="2520"/>
            <w:vAlign w:val="center"/>
          </w:tcPr>
          <w:p>
            <w:r/>
            <w:r>
              <w:rPr>
                <w:rFonts w:ascii="Times New Roman" w:hAnsi="Times New Roman"/>
                <w:b w:val="0"/>
                <w:sz w:val="15"/>
              </w:rPr>
              <w:t>Imran et al. — XGBoost</w:t>
            </w:r>
          </w:p>
        </w:tc>
        <w:tc>
          <w:tcPr>
            <w:tcW w:type="dxa" w:w="2520"/>
            <w:vAlign w:val="center"/>
          </w:tcPr>
          <w:p>
            <w:r/>
            <w:r>
              <w:rPr>
                <w:rFonts w:ascii="Times New Roman" w:hAnsi="Times New Roman"/>
                <w:b w:val="0"/>
                <w:sz w:val="15"/>
              </w:rPr>
              <w:t>18 ms/detection</w:t>
            </w:r>
          </w:p>
        </w:tc>
        <w:tc>
          <w:tcPr>
            <w:tcW w:type="dxa" w:w="2520"/>
            <w:vAlign w:val="center"/>
          </w:tcPr>
          <w:p>
            <w:r/>
            <w:r>
              <w:rPr>
                <w:rFonts w:ascii="Times New Roman" w:hAnsi="Times New Roman"/>
                <w:b w:val="0"/>
                <w:sz w:val="15"/>
              </w:rPr>
              <w:t>Detection time</w:t>
            </w:r>
          </w:p>
        </w:tc>
        <w:tc>
          <w:tcPr>
            <w:tcW w:type="dxa" w:w="2520"/>
            <w:vAlign w:val="center"/>
          </w:tcPr>
          <w:p>
            <w:r/>
            <w:r>
              <w:rPr>
                <w:rFonts w:ascii="Times New Roman" w:hAnsi="Times New Roman"/>
                <w:b w:val="0"/>
                <w:sz w:val="15"/>
              </w:rPr>
              <w:t>2.25× DT</w:t>
            </w:r>
          </w:p>
        </w:tc>
      </w:tr>
      <w:tr>
        <w:tc>
          <w:tcPr>
            <w:tcW w:type="dxa" w:w="2520"/>
            <w:vAlign w:val="center"/>
          </w:tcPr>
          <w:p>
            <w:r/>
            <w:r>
              <w:rPr>
                <w:rFonts w:ascii="Times New Roman" w:hAnsi="Times New Roman"/>
                <w:b w:val="0"/>
                <w:sz w:val="15"/>
              </w:rPr>
              <w:t>Imran et al. — CNN</w:t>
            </w:r>
          </w:p>
        </w:tc>
        <w:tc>
          <w:tcPr>
            <w:tcW w:type="dxa" w:w="2520"/>
            <w:vAlign w:val="center"/>
          </w:tcPr>
          <w:p>
            <w:r/>
            <w:r>
              <w:rPr>
                <w:rFonts w:ascii="Times New Roman" w:hAnsi="Times New Roman"/>
                <w:b w:val="0"/>
                <w:sz w:val="15"/>
              </w:rPr>
              <w:t>45 ms/detection</w:t>
            </w:r>
          </w:p>
        </w:tc>
        <w:tc>
          <w:tcPr>
            <w:tcW w:type="dxa" w:w="2520"/>
            <w:vAlign w:val="center"/>
          </w:tcPr>
          <w:p>
            <w:r/>
            <w:r>
              <w:rPr>
                <w:rFonts w:ascii="Times New Roman" w:hAnsi="Times New Roman"/>
                <w:b w:val="0"/>
                <w:sz w:val="15"/>
              </w:rPr>
              <w:t>Detection time</w:t>
            </w:r>
          </w:p>
        </w:tc>
        <w:tc>
          <w:tcPr>
            <w:tcW w:type="dxa" w:w="2520"/>
            <w:vAlign w:val="center"/>
          </w:tcPr>
          <w:p>
            <w:r/>
            <w:r>
              <w:rPr>
                <w:rFonts w:ascii="Times New Roman" w:hAnsi="Times New Roman"/>
                <w:b w:val="0"/>
                <w:sz w:val="15"/>
              </w:rPr>
              <w:t>5.63× DT</w:t>
            </w:r>
          </w:p>
        </w:tc>
      </w:tr>
      <w:tr>
        <w:tc>
          <w:tcPr>
            <w:tcW w:type="dxa" w:w="2520"/>
            <w:vAlign w:val="center"/>
          </w:tcPr>
          <w:p>
            <w:r/>
            <w:r>
              <w:rPr>
                <w:rFonts w:ascii="Times New Roman" w:hAnsi="Times New Roman"/>
                <w:b w:val="0"/>
                <w:sz w:val="15"/>
              </w:rPr>
              <w:t>Imran et al. — LSTM</w:t>
            </w:r>
          </w:p>
        </w:tc>
        <w:tc>
          <w:tcPr>
            <w:tcW w:type="dxa" w:w="2520"/>
            <w:vAlign w:val="center"/>
          </w:tcPr>
          <w:p>
            <w:r/>
            <w:r>
              <w:rPr>
                <w:rFonts w:ascii="Times New Roman" w:hAnsi="Times New Roman"/>
                <w:b w:val="0"/>
                <w:sz w:val="15"/>
              </w:rPr>
              <w:t>78 ms/detection</w:t>
            </w:r>
          </w:p>
        </w:tc>
        <w:tc>
          <w:tcPr>
            <w:tcW w:type="dxa" w:w="2520"/>
            <w:vAlign w:val="center"/>
          </w:tcPr>
          <w:p>
            <w:r/>
            <w:r>
              <w:rPr>
                <w:rFonts w:ascii="Times New Roman" w:hAnsi="Times New Roman"/>
                <w:b w:val="0"/>
                <w:sz w:val="15"/>
              </w:rPr>
              <w:t>Detection time</w:t>
            </w:r>
          </w:p>
        </w:tc>
        <w:tc>
          <w:tcPr>
            <w:tcW w:type="dxa" w:w="2520"/>
            <w:vAlign w:val="center"/>
          </w:tcPr>
          <w:p>
            <w:r/>
            <w:r>
              <w:rPr>
                <w:rFonts w:ascii="Times New Roman" w:hAnsi="Times New Roman"/>
                <w:b w:val="0"/>
                <w:sz w:val="15"/>
              </w:rPr>
              <w:t>9.75× DT</w:t>
            </w:r>
          </w:p>
        </w:tc>
      </w:tr>
      <w:tr>
        <w:tc>
          <w:tcPr>
            <w:tcW w:type="dxa" w:w="2520"/>
            <w:vAlign w:val="center"/>
          </w:tcPr>
          <w:p>
            <w:r/>
            <w:r>
              <w:rPr>
                <w:rFonts w:ascii="Times New Roman" w:hAnsi="Times New Roman"/>
                <w:b w:val="0"/>
                <w:sz w:val="15"/>
              </w:rPr>
              <w:t>Imran et al. — Transformer</w:t>
            </w:r>
          </w:p>
        </w:tc>
        <w:tc>
          <w:tcPr>
            <w:tcW w:type="dxa" w:w="2520"/>
            <w:vAlign w:val="center"/>
          </w:tcPr>
          <w:p>
            <w:r/>
            <w:r>
              <w:rPr>
                <w:rFonts w:ascii="Times New Roman" w:hAnsi="Times New Roman"/>
                <w:b w:val="0"/>
                <w:sz w:val="15"/>
              </w:rPr>
              <w:t>95 ms/detection</w:t>
            </w:r>
          </w:p>
        </w:tc>
        <w:tc>
          <w:tcPr>
            <w:tcW w:type="dxa" w:w="2520"/>
            <w:vAlign w:val="center"/>
          </w:tcPr>
          <w:p>
            <w:r/>
            <w:r>
              <w:rPr>
                <w:rFonts w:ascii="Times New Roman" w:hAnsi="Times New Roman"/>
                <w:b w:val="0"/>
                <w:sz w:val="15"/>
              </w:rPr>
              <w:t>Detection time</w:t>
            </w:r>
          </w:p>
        </w:tc>
        <w:tc>
          <w:tcPr>
            <w:tcW w:type="dxa" w:w="2520"/>
            <w:vAlign w:val="center"/>
          </w:tcPr>
          <w:p>
            <w:r/>
            <w:r>
              <w:rPr>
                <w:rFonts w:ascii="Times New Roman" w:hAnsi="Times New Roman"/>
                <w:b w:val="0"/>
                <w:sz w:val="15"/>
              </w:rPr>
              <w:t>11.88× DT</w:t>
            </w:r>
          </w:p>
        </w:tc>
      </w:tr>
    </w:tbl>
    <w:p>
      <w:r>
        <w:t>Feature selection is also a deployment strategy. Almahaqeri et al. reduce features from 46 to 23, with the workbook recording 30-51% inference-latency reduction, 33-40% training-time reduction, and maximum accuracy change within ±0.014 percentage points. This supports feature selection as an important efficiency component rather than a minor preprocessing choice.</w:t>
      </w:r>
    </w:p>
    <w:p>
      <w:pPr>
        <w:pStyle w:val="Heading1"/>
      </w:pPr>
      <w:r>
        <w:t>8. Credibility and Reproducibility</w:t>
      </w:r>
    </w:p>
    <w:tbl>
      <w:tblPr>
        <w:tblStyle w:val="TableGrid"/>
        <w:tblW w:type="auto" w:w="0"/>
        <w:jc w:val="center"/>
        <w:tblLook w:firstColumn="1" w:firstRow="1" w:lastColumn="0" w:lastRow="0" w:noHBand="0" w:noVBand="1" w:val="04A0"/>
      </w:tblPr>
      <w:tblGrid>
        <w:gridCol w:w="1260"/>
        <w:gridCol w:w="1260"/>
        <w:gridCol w:w="1260"/>
        <w:gridCol w:w="1260"/>
        <w:gridCol w:w="1260"/>
        <w:gridCol w:w="1260"/>
        <w:gridCol w:w="1260"/>
        <w:gridCol w:w="1260"/>
      </w:tblGrid>
      <w:tr>
        <w:tc>
          <w:tcPr>
            <w:tcW w:type="dxa" w:w="1260"/>
            <w:vAlign w:val="center"/>
            <w:shd w:fill="D9EAF7"/>
          </w:tcPr>
          <w:p>
            <w:r/>
            <w:r>
              <w:rPr>
                <w:rFonts w:ascii="Times New Roman" w:hAnsi="Times New Roman"/>
                <w:b/>
                <w:sz w:val="14"/>
              </w:rPr>
              <w:t>Study</w:t>
            </w:r>
          </w:p>
        </w:tc>
        <w:tc>
          <w:tcPr>
            <w:tcW w:type="dxa" w:w="1260"/>
            <w:vAlign w:val="center"/>
            <w:shd w:fill="D9EAF7"/>
          </w:tcPr>
          <w:p>
            <w:r/>
            <w:r>
              <w:rPr>
                <w:rFonts w:ascii="Times New Roman" w:hAnsi="Times New Roman"/>
                <w:b/>
                <w:sz w:val="14"/>
              </w:rPr>
              <w:t>Natural test</w:t>
            </w:r>
          </w:p>
        </w:tc>
        <w:tc>
          <w:tcPr>
            <w:tcW w:type="dxa" w:w="1260"/>
            <w:vAlign w:val="center"/>
            <w:shd w:fill="D9EAF7"/>
          </w:tcPr>
          <w:p>
            <w:r/>
            <w:r>
              <w:rPr>
                <w:rFonts w:ascii="Times New Roman" w:hAnsi="Times New Roman"/>
                <w:b/>
                <w:sz w:val="14"/>
              </w:rPr>
              <w:t>Macro/per-class metrics</w:t>
            </w:r>
          </w:p>
        </w:tc>
        <w:tc>
          <w:tcPr>
            <w:tcW w:type="dxa" w:w="1260"/>
            <w:vAlign w:val="center"/>
            <w:shd w:fill="D9EAF7"/>
          </w:tcPr>
          <w:p>
            <w:r/>
            <w:r>
              <w:rPr>
                <w:rFonts w:ascii="Times New Roman" w:hAnsi="Times New Roman"/>
                <w:b/>
                <w:sz w:val="14"/>
              </w:rPr>
              <w:t>Repeated runs</w:t>
            </w:r>
          </w:p>
        </w:tc>
        <w:tc>
          <w:tcPr>
            <w:tcW w:type="dxa" w:w="1260"/>
            <w:vAlign w:val="center"/>
            <w:shd w:fill="D9EAF7"/>
          </w:tcPr>
          <w:p>
            <w:r/>
            <w:r>
              <w:rPr>
                <w:rFonts w:ascii="Times New Roman" w:hAnsi="Times New Roman"/>
                <w:b/>
                <w:sz w:val="14"/>
              </w:rPr>
              <w:t>Cost reported</w:t>
            </w:r>
          </w:p>
        </w:tc>
        <w:tc>
          <w:tcPr>
            <w:tcW w:type="dxa" w:w="1260"/>
            <w:vAlign w:val="center"/>
            <w:shd w:fill="D9EAF7"/>
          </w:tcPr>
          <w:p>
            <w:r/>
            <w:r>
              <w:rPr>
                <w:rFonts w:ascii="Times New Roman" w:hAnsi="Times New Roman"/>
                <w:b/>
                <w:sz w:val="14"/>
              </w:rPr>
              <w:t>Multiple datasets</w:t>
            </w:r>
          </w:p>
        </w:tc>
        <w:tc>
          <w:tcPr>
            <w:tcW w:type="dxa" w:w="1260"/>
            <w:vAlign w:val="center"/>
            <w:shd w:fill="D9EAF7"/>
          </w:tcPr>
          <w:p>
            <w:r/>
            <w:r>
              <w:rPr>
                <w:rFonts w:ascii="Times New Roman" w:hAnsi="Times New Roman"/>
                <w:b/>
                <w:sz w:val="14"/>
              </w:rPr>
              <w:t>Score</w:t>
            </w:r>
          </w:p>
        </w:tc>
        <w:tc>
          <w:tcPr>
            <w:tcW w:type="dxa" w:w="1260"/>
            <w:vAlign w:val="center"/>
            <w:shd w:fill="D9EAF7"/>
          </w:tcPr>
          <w:p>
            <w:r/>
            <w:r>
              <w:rPr>
                <w:rFonts w:ascii="Times New Roman" w:hAnsi="Times New Roman"/>
                <w:b/>
                <w:sz w:val="14"/>
              </w:rPr>
              <w:t>Band</w:t>
            </w:r>
          </w:p>
        </w:tc>
      </w:tr>
      <w:tr>
        <w:tc>
          <w:tcPr>
            <w:tcW w:type="dxa" w:w="1260"/>
            <w:vAlign w:val="center"/>
          </w:tcPr>
          <w:p>
            <w:r/>
            <w:r>
              <w:rPr>
                <w:rFonts w:ascii="Times New Roman" w:hAnsi="Times New Roman"/>
                <w:b w:val="0"/>
                <w:sz w:val="14"/>
              </w:rPr>
              <w:t>Kwari &amp; Rajkumar (2025)</w:t>
            </w:r>
          </w:p>
        </w:tc>
        <w:tc>
          <w:tcPr>
            <w:tcW w:type="dxa" w:w="1260"/>
            <w:vAlign w:val="center"/>
          </w:tcPr>
          <w:p>
            <w:r/>
            <w:r>
              <w:rPr>
                <w:rFonts w:ascii="Times New Roman" w:hAnsi="Times New Roman"/>
                <w:b w:val="0"/>
                <w:sz w:val="14"/>
              </w:rPr>
              <w:t>Yes</w:t>
            </w:r>
          </w:p>
        </w:tc>
        <w:tc>
          <w:tcPr>
            <w:tcW w:type="dxa" w:w="1260"/>
            <w:vAlign w:val="center"/>
          </w:tcPr>
          <w:p>
            <w:r/>
            <w:r>
              <w:rPr>
                <w:rFonts w:ascii="Times New Roman" w:hAnsi="Times New Roman"/>
                <w:b w:val="0"/>
                <w:sz w:val="14"/>
              </w:rPr>
              <w:t>Yes</w:t>
            </w:r>
          </w:p>
        </w:tc>
        <w:tc>
          <w:tcPr>
            <w:tcW w:type="dxa" w:w="1260"/>
            <w:vAlign w:val="center"/>
          </w:tcPr>
          <w:p>
            <w:r/>
            <w:r>
              <w:rPr>
                <w:rFonts w:ascii="Times New Roman" w:hAnsi="Times New Roman"/>
                <w:b w:val="0"/>
                <w:sz w:val="14"/>
              </w:rPr>
              <w:t>No</w:t>
            </w:r>
          </w:p>
        </w:tc>
        <w:tc>
          <w:tcPr>
            <w:tcW w:type="dxa" w:w="1260"/>
            <w:vAlign w:val="center"/>
          </w:tcPr>
          <w:p>
            <w:r/>
            <w:r>
              <w:rPr>
                <w:rFonts w:ascii="Times New Roman" w:hAnsi="Times New Roman"/>
                <w:b w:val="0"/>
                <w:sz w:val="14"/>
              </w:rPr>
              <w:t>No</w:t>
            </w:r>
          </w:p>
        </w:tc>
        <w:tc>
          <w:tcPr>
            <w:tcW w:type="dxa" w:w="1260"/>
            <w:vAlign w:val="center"/>
          </w:tcPr>
          <w:p>
            <w:r/>
            <w:r>
              <w:rPr>
                <w:rFonts w:ascii="Times New Roman" w:hAnsi="Times New Roman"/>
                <w:b w:val="0"/>
                <w:sz w:val="14"/>
              </w:rPr>
              <w:t>No</w:t>
            </w:r>
          </w:p>
        </w:tc>
        <w:tc>
          <w:tcPr>
            <w:tcW w:type="dxa" w:w="1260"/>
            <w:vAlign w:val="center"/>
          </w:tcPr>
          <w:p>
            <w:r/>
            <w:r>
              <w:rPr>
                <w:rFonts w:ascii="Times New Roman" w:hAnsi="Times New Roman"/>
                <w:b w:val="0"/>
                <w:sz w:val="14"/>
              </w:rPr>
              <w:t>2</w:t>
            </w:r>
          </w:p>
        </w:tc>
        <w:tc>
          <w:tcPr>
            <w:tcW w:type="dxa" w:w="1260"/>
            <w:vAlign w:val="center"/>
          </w:tcPr>
          <w:p>
            <w:r/>
            <w:r>
              <w:rPr>
                <w:rFonts w:ascii="Times New Roman" w:hAnsi="Times New Roman"/>
                <w:b w:val="0"/>
                <w:sz w:val="14"/>
              </w:rPr>
              <w:t>Medium</w:t>
            </w:r>
          </w:p>
        </w:tc>
      </w:tr>
      <w:tr>
        <w:tc>
          <w:tcPr>
            <w:tcW w:type="dxa" w:w="1260"/>
            <w:vAlign w:val="center"/>
          </w:tcPr>
          <w:p>
            <w:r/>
            <w:r>
              <w:rPr>
                <w:rFonts w:ascii="Times New Roman" w:hAnsi="Times New Roman"/>
                <w:b w:val="0"/>
                <w:sz w:val="14"/>
              </w:rPr>
              <w:t>Hajjouz &amp; Avksentieva (2024)</w:t>
            </w:r>
          </w:p>
        </w:tc>
        <w:tc>
          <w:tcPr>
            <w:tcW w:type="dxa" w:w="1260"/>
            <w:vAlign w:val="center"/>
          </w:tcPr>
          <w:p>
            <w:r/>
            <w:r>
              <w:rPr>
                <w:rFonts w:ascii="Times New Roman" w:hAnsi="Times New Roman"/>
                <w:b w:val="0"/>
                <w:sz w:val="14"/>
              </w:rPr>
              <w:t>Yes</w:t>
            </w:r>
          </w:p>
        </w:tc>
        <w:tc>
          <w:tcPr>
            <w:tcW w:type="dxa" w:w="1260"/>
            <w:vAlign w:val="center"/>
          </w:tcPr>
          <w:p>
            <w:r/>
            <w:r>
              <w:rPr>
                <w:rFonts w:ascii="Times New Roman" w:hAnsi="Times New Roman"/>
                <w:b w:val="0"/>
                <w:sz w:val="14"/>
              </w:rPr>
              <w:t>Partial</w:t>
            </w:r>
          </w:p>
        </w:tc>
        <w:tc>
          <w:tcPr>
            <w:tcW w:type="dxa" w:w="1260"/>
            <w:vAlign w:val="center"/>
          </w:tcPr>
          <w:p>
            <w:r/>
            <w:r>
              <w:rPr>
                <w:rFonts w:ascii="Times New Roman" w:hAnsi="Times New Roman"/>
                <w:b w:val="0"/>
                <w:sz w:val="14"/>
              </w:rPr>
              <w:t>Yes</w:t>
            </w:r>
          </w:p>
        </w:tc>
        <w:tc>
          <w:tcPr>
            <w:tcW w:type="dxa" w:w="1260"/>
            <w:vAlign w:val="center"/>
          </w:tcPr>
          <w:p>
            <w:r/>
            <w:r>
              <w:rPr>
                <w:rFonts w:ascii="Times New Roman" w:hAnsi="Times New Roman"/>
                <w:b w:val="0"/>
                <w:sz w:val="14"/>
              </w:rPr>
              <w:t>Yes</w:t>
            </w:r>
          </w:p>
        </w:tc>
        <w:tc>
          <w:tcPr>
            <w:tcW w:type="dxa" w:w="1260"/>
            <w:vAlign w:val="center"/>
          </w:tcPr>
          <w:p>
            <w:r/>
            <w:r>
              <w:rPr>
                <w:rFonts w:ascii="Times New Roman" w:hAnsi="Times New Roman"/>
                <w:b w:val="0"/>
                <w:sz w:val="14"/>
              </w:rPr>
              <w:t>No</w:t>
            </w:r>
          </w:p>
        </w:tc>
        <w:tc>
          <w:tcPr>
            <w:tcW w:type="dxa" w:w="1260"/>
            <w:vAlign w:val="center"/>
          </w:tcPr>
          <w:p>
            <w:r/>
            <w:r>
              <w:rPr>
                <w:rFonts w:ascii="Times New Roman" w:hAnsi="Times New Roman"/>
                <w:b w:val="0"/>
                <w:sz w:val="14"/>
              </w:rPr>
              <w:t>3</w:t>
            </w:r>
          </w:p>
        </w:tc>
        <w:tc>
          <w:tcPr>
            <w:tcW w:type="dxa" w:w="1260"/>
            <w:vAlign w:val="center"/>
          </w:tcPr>
          <w:p>
            <w:r/>
            <w:r>
              <w:rPr>
                <w:rFonts w:ascii="Times New Roman" w:hAnsi="Times New Roman"/>
                <w:b w:val="0"/>
                <w:sz w:val="14"/>
              </w:rPr>
              <w:t>Medium</w:t>
            </w:r>
          </w:p>
        </w:tc>
      </w:tr>
      <w:tr>
        <w:tc>
          <w:tcPr>
            <w:tcW w:type="dxa" w:w="1260"/>
            <w:vAlign w:val="center"/>
          </w:tcPr>
          <w:p>
            <w:r/>
            <w:r>
              <w:rPr>
                <w:rFonts w:ascii="Times New Roman" w:hAnsi="Times New Roman"/>
                <w:b w:val="0"/>
                <w:sz w:val="14"/>
              </w:rPr>
              <w:t>Almahaqeri et al. (2026)</w:t>
            </w:r>
          </w:p>
        </w:tc>
        <w:tc>
          <w:tcPr>
            <w:tcW w:type="dxa" w:w="1260"/>
            <w:vAlign w:val="center"/>
          </w:tcPr>
          <w:p>
            <w:r/>
            <w:r>
              <w:rPr>
                <w:rFonts w:ascii="Times New Roman" w:hAnsi="Times New Roman"/>
                <w:b w:val="0"/>
                <w:sz w:val="14"/>
              </w:rPr>
              <w:t>No</w:t>
            </w:r>
          </w:p>
        </w:tc>
        <w:tc>
          <w:tcPr>
            <w:tcW w:type="dxa" w:w="1260"/>
            <w:vAlign w:val="center"/>
          </w:tcPr>
          <w:p>
            <w:r/>
            <w:r>
              <w:rPr>
                <w:rFonts w:ascii="Times New Roman" w:hAnsi="Times New Roman"/>
                <w:b w:val="0"/>
                <w:sz w:val="14"/>
              </w:rPr>
              <w:t>Yes</w:t>
            </w:r>
          </w:p>
        </w:tc>
        <w:tc>
          <w:tcPr>
            <w:tcW w:type="dxa" w:w="1260"/>
            <w:vAlign w:val="center"/>
          </w:tcPr>
          <w:p>
            <w:r/>
            <w:r>
              <w:rPr>
                <w:rFonts w:ascii="Times New Roman" w:hAnsi="Times New Roman"/>
                <w:b w:val="0"/>
                <w:sz w:val="14"/>
              </w:rPr>
              <w:t>Not recorded</w:t>
            </w:r>
          </w:p>
        </w:tc>
        <w:tc>
          <w:tcPr>
            <w:tcW w:type="dxa" w:w="1260"/>
            <w:vAlign w:val="center"/>
          </w:tcPr>
          <w:p>
            <w:r/>
            <w:r>
              <w:rPr>
                <w:rFonts w:ascii="Times New Roman" w:hAnsi="Times New Roman"/>
                <w:b w:val="0"/>
                <w:sz w:val="14"/>
              </w:rPr>
              <w:t>Yes</w:t>
            </w:r>
          </w:p>
        </w:tc>
        <w:tc>
          <w:tcPr>
            <w:tcW w:type="dxa" w:w="1260"/>
            <w:vAlign w:val="center"/>
          </w:tcPr>
          <w:p>
            <w:r/>
            <w:r>
              <w:rPr>
                <w:rFonts w:ascii="Times New Roman" w:hAnsi="Times New Roman"/>
                <w:b w:val="0"/>
                <w:sz w:val="14"/>
              </w:rPr>
              <w:t>No</w:t>
            </w:r>
          </w:p>
        </w:tc>
        <w:tc>
          <w:tcPr>
            <w:tcW w:type="dxa" w:w="1260"/>
            <w:vAlign w:val="center"/>
          </w:tcPr>
          <w:p>
            <w:r/>
            <w:r>
              <w:rPr>
                <w:rFonts w:ascii="Times New Roman" w:hAnsi="Times New Roman"/>
                <w:b w:val="0"/>
                <w:sz w:val="14"/>
              </w:rPr>
              <w:t>2</w:t>
            </w:r>
          </w:p>
        </w:tc>
        <w:tc>
          <w:tcPr>
            <w:tcW w:type="dxa" w:w="1260"/>
            <w:vAlign w:val="center"/>
          </w:tcPr>
          <w:p>
            <w:r/>
            <w:r>
              <w:rPr>
                <w:rFonts w:ascii="Times New Roman" w:hAnsi="Times New Roman"/>
                <w:b w:val="0"/>
                <w:sz w:val="14"/>
              </w:rPr>
              <w:t>Medium</w:t>
            </w:r>
          </w:p>
        </w:tc>
      </w:tr>
      <w:tr>
        <w:tc>
          <w:tcPr>
            <w:tcW w:type="dxa" w:w="1260"/>
            <w:vAlign w:val="center"/>
          </w:tcPr>
          <w:p>
            <w:r/>
            <w:r>
              <w:rPr>
                <w:rFonts w:ascii="Times New Roman" w:hAnsi="Times New Roman"/>
                <w:b w:val="0"/>
                <w:sz w:val="14"/>
              </w:rPr>
              <w:t>Imran et al. (2026)</w:t>
            </w:r>
          </w:p>
        </w:tc>
        <w:tc>
          <w:tcPr>
            <w:tcW w:type="dxa" w:w="1260"/>
            <w:vAlign w:val="center"/>
          </w:tcPr>
          <w:p>
            <w:r/>
            <w:r>
              <w:rPr>
                <w:rFonts w:ascii="Times New Roman" w:hAnsi="Times New Roman"/>
                <w:b w:val="0"/>
                <w:sz w:val="14"/>
              </w:rPr>
              <w:t>Not recorded</w:t>
            </w:r>
          </w:p>
        </w:tc>
        <w:tc>
          <w:tcPr>
            <w:tcW w:type="dxa" w:w="1260"/>
            <w:vAlign w:val="center"/>
          </w:tcPr>
          <w:p>
            <w:r/>
            <w:r>
              <w:rPr>
                <w:rFonts w:ascii="Times New Roman" w:hAnsi="Times New Roman"/>
                <w:b w:val="0"/>
                <w:sz w:val="14"/>
              </w:rPr>
              <w:t>Partial</w:t>
            </w:r>
          </w:p>
        </w:tc>
        <w:tc>
          <w:tcPr>
            <w:tcW w:type="dxa" w:w="1260"/>
            <w:vAlign w:val="center"/>
          </w:tcPr>
          <w:p>
            <w:r/>
            <w:r>
              <w:rPr>
                <w:rFonts w:ascii="Times New Roman" w:hAnsi="Times New Roman"/>
                <w:b w:val="0"/>
                <w:sz w:val="14"/>
              </w:rPr>
              <w:t>Yes</w:t>
            </w:r>
          </w:p>
        </w:tc>
        <w:tc>
          <w:tcPr>
            <w:tcW w:type="dxa" w:w="1260"/>
            <w:vAlign w:val="center"/>
          </w:tcPr>
          <w:p>
            <w:r/>
            <w:r>
              <w:rPr>
                <w:rFonts w:ascii="Times New Roman" w:hAnsi="Times New Roman"/>
                <w:b w:val="0"/>
                <w:sz w:val="14"/>
              </w:rPr>
              <w:t>Yes</w:t>
            </w:r>
          </w:p>
        </w:tc>
        <w:tc>
          <w:tcPr>
            <w:tcW w:type="dxa" w:w="1260"/>
            <w:vAlign w:val="center"/>
          </w:tcPr>
          <w:p>
            <w:r/>
            <w:r>
              <w:rPr>
                <w:rFonts w:ascii="Times New Roman" w:hAnsi="Times New Roman"/>
                <w:b w:val="0"/>
                <w:sz w:val="14"/>
              </w:rPr>
              <w:t>Yes</w:t>
            </w:r>
          </w:p>
        </w:tc>
        <w:tc>
          <w:tcPr>
            <w:tcW w:type="dxa" w:w="1260"/>
            <w:vAlign w:val="center"/>
          </w:tcPr>
          <w:p>
            <w:r/>
            <w:r>
              <w:rPr>
                <w:rFonts w:ascii="Times New Roman" w:hAnsi="Times New Roman"/>
                <w:b w:val="0"/>
                <w:sz w:val="14"/>
              </w:rPr>
              <w:t>3</w:t>
            </w:r>
          </w:p>
        </w:tc>
        <w:tc>
          <w:tcPr>
            <w:tcW w:type="dxa" w:w="1260"/>
            <w:vAlign w:val="center"/>
          </w:tcPr>
          <w:p>
            <w:r/>
            <w:r>
              <w:rPr>
                <w:rFonts w:ascii="Times New Roman" w:hAnsi="Times New Roman"/>
                <w:b w:val="0"/>
                <w:sz w:val="14"/>
              </w:rPr>
              <w:t>Medium</w:t>
            </w:r>
          </w:p>
        </w:tc>
      </w:tr>
      <w:tr>
        <w:tc>
          <w:tcPr>
            <w:tcW w:type="dxa" w:w="1260"/>
            <w:vAlign w:val="center"/>
          </w:tcPr>
          <w:p>
            <w:r/>
            <w:r>
              <w:rPr>
                <w:rFonts w:ascii="Times New Roman" w:hAnsi="Times New Roman"/>
                <w:b w:val="0"/>
                <w:sz w:val="14"/>
              </w:rPr>
              <w:t>Khan et al. (2026)</w:t>
            </w:r>
          </w:p>
        </w:tc>
        <w:tc>
          <w:tcPr>
            <w:tcW w:type="dxa" w:w="1260"/>
            <w:vAlign w:val="center"/>
          </w:tcPr>
          <w:p>
            <w:r/>
            <w:r>
              <w:rPr>
                <w:rFonts w:ascii="Times New Roman" w:hAnsi="Times New Roman"/>
                <w:b w:val="0"/>
                <w:sz w:val="14"/>
              </w:rPr>
              <w:t>Not recorded</w:t>
            </w:r>
          </w:p>
        </w:tc>
        <w:tc>
          <w:tcPr>
            <w:tcW w:type="dxa" w:w="1260"/>
            <w:vAlign w:val="center"/>
          </w:tcPr>
          <w:p>
            <w:r/>
            <w:r>
              <w:rPr>
                <w:rFonts w:ascii="Times New Roman" w:hAnsi="Times New Roman"/>
                <w:b w:val="0"/>
                <w:sz w:val="14"/>
              </w:rPr>
              <w:t>Not recorded</w:t>
            </w:r>
          </w:p>
        </w:tc>
        <w:tc>
          <w:tcPr>
            <w:tcW w:type="dxa" w:w="1260"/>
            <w:vAlign w:val="center"/>
          </w:tcPr>
          <w:p>
            <w:r/>
            <w:r>
              <w:rPr>
                <w:rFonts w:ascii="Times New Roman" w:hAnsi="Times New Roman"/>
                <w:b w:val="0"/>
                <w:sz w:val="14"/>
              </w:rPr>
              <w:t>Not recorded</w:t>
            </w:r>
          </w:p>
        </w:tc>
        <w:tc>
          <w:tcPr>
            <w:tcW w:type="dxa" w:w="1260"/>
            <w:vAlign w:val="center"/>
          </w:tcPr>
          <w:p>
            <w:r/>
            <w:r>
              <w:rPr>
                <w:rFonts w:ascii="Times New Roman" w:hAnsi="Times New Roman"/>
                <w:b w:val="0"/>
                <w:sz w:val="14"/>
              </w:rPr>
              <w:t>Yes</w:t>
            </w:r>
          </w:p>
        </w:tc>
        <w:tc>
          <w:tcPr>
            <w:tcW w:type="dxa" w:w="1260"/>
            <w:vAlign w:val="center"/>
          </w:tcPr>
          <w:p>
            <w:r/>
            <w:r>
              <w:rPr>
                <w:rFonts w:ascii="Times New Roman" w:hAnsi="Times New Roman"/>
                <w:b w:val="0"/>
                <w:sz w:val="14"/>
              </w:rPr>
              <w:t>Yes</w:t>
            </w:r>
          </w:p>
        </w:tc>
        <w:tc>
          <w:tcPr>
            <w:tcW w:type="dxa" w:w="1260"/>
            <w:vAlign w:val="center"/>
          </w:tcPr>
          <w:p>
            <w:r/>
            <w:r>
              <w:rPr>
                <w:rFonts w:ascii="Times New Roman" w:hAnsi="Times New Roman"/>
                <w:b w:val="0"/>
                <w:sz w:val="14"/>
              </w:rPr>
              <w:t>2</w:t>
            </w:r>
          </w:p>
        </w:tc>
        <w:tc>
          <w:tcPr>
            <w:tcW w:type="dxa" w:w="1260"/>
            <w:vAlign w:val="center"/>
          </w:tcPr>
          <w:p>
            <w:r/>
            <w:r>
              <w:rPr>
                <w:rFonts w:ascii="Times New Roman" w:hAnsi="Times New Roman"/>
                <w:b w:val="0"/>
                <w:sz w:val="14"/>
              </w:rPr>
              <w:t>Medium</w:t>
            </w:r>
          </w:p>
        </w:tc>
      </w:tr>
      <w:tr>
        <w:tc>
          <w:tcPr>
            <w:tcW w:type="dxa" w:w="1260"/>
            <w:vAlign w:val="center"/>
          </w:tcPr>
          <w:p>
            <w:r/>
            <w:r>
              <w:rPr>
                <w:rFonts w:ascii="Times New Roman" w:hAnsi="Times New Roman"/>
                <w:b w:val="0"/>
                <w:sz w:val="14"/>
              </w:rPr>
              <w:t>Mondragon et al. (2025)</w:t>
            </w:r>
          </w:p>
        </w:tc>
        <w:tc>
          <w:tcPr>
            <w:tcW w:type="dxa" w:w="1260"/>
            <w:vAlign w:val="center"/>
          </w:tcPr>
          <w:p>
            <w:r/>
            <w:r>
              <w:rPr>
                <w:rFonts w:ascii="Times New Roman" w:hAnsi="Times New Roman"/>
                <w:b w:val="0"/>
                <w:sz w:val="14"/>
              </w:rPr>
              <w:t>Not recorded</w:t>
            </w:r>
          </w:p>
        </w:tc>
        <w:tc>
          <w:tcPr>
            <w:tcW w:type="dxa" w:w="1260"/>
            <w:vAlign w:val="center"/>
          </w:tcPr>
          <w:p>
            <w:r/>
            <w:r>
              <w:rPr>
                <w:rFonts w:ascii="Times New Roman" w:hAnsi="Times New Roman"/>
                <w:b w:val="0"/>
                <w:sz w:val="14"/>
              </w:rPr>
              <w:t>Yes</w:t>
            </w:r>
          </w:p>
        </w:tc>
        <w:tc>
          <w:tcPr>
            <w:tcW w:type="dxa" w:w="1260"/>
            <w:vAlign w:val="center"/>
          </w:tcPr>
          <w:p>
            <w:r/>
            <w:r>
              <w:rPr>
                <w:rFonts w:ascii="Times New Roman" w:hAnsi="Times New Roman"/>
                <w:b w:val="0"/>
                <w:sz w:val="14"/>
              </w:rPr>
              <w:t>Not recorded</w:t>
            </w:r>
          </w:p>
        </w:tc>
        <w:tc>
          <w:tcPr>
            <w:tcW w:type="dxa" w:w="1260"/>
            <w:vAlign w:val="center"/>
          </w:tcPr>
          <w:p>
            <w:r/>
            <w:r>
              <w:rPr>
                <w:rFonts w:ascii="Times New Roman" w:hAnsi="Times New Roman"/>
                <w:b w:val="0"/>
                <w:sz w:val="14"/>
              </w:rPr>
              <w:t>Not recorded</w:t>
            </w:r>
          </w:p>
        </w:tc>
        <w:tc>
          <w:tcPr>
            <w:tcW w:type="dxa" w:w="1260"/>
            <w:vAlign w:val="center"/>
          </w:tcPr>
          <w:p>
            <w:r/>
            <w:r>
              <w:rPr>
                <w:rFonts w:ascii="Times New Roman" w:hAnsi="Times New Roman"/>
                <w:b w:val="0"/>
                <w:sz w:val="14"/>
              </w:rPr>
              <w:t>Yes</w:t>
            </w:r>
          </w:p>
        </w:tc>
        <w:tc>
          <w:tcPr>
            <w:tcW w:type="dxa" w:w="1260"/>
            <w:vAlign w:val="center"/>
          </w:tcPr>
          <w:p>
            <w:r/>
            <w:r>
              <w:rPr>
                <w:rFonts w:ascii="Times New Roman" w:hAnsi="Times New Roman"/>
                <w:b w:val="0"/>
                <w:sz w:val="14"/>
              </w:rPr>
              <w:t>2</w:t>
            </w:r>
          </w:p>
        </w:tc>
        <w:tc>
          <w:tcPr>
            <w:tcW w:type="dxa" w:w="1260"/>
            <w:vAlign w:val="center"/>
          </w:tcPr>
          <w:p>
            <w:r/>
            <w:r>
              <w:rPr>
                <w:rFonts w:ascii="Times New Roman" w:hAnsi="Times New Roman"/>
                <w:b w:val="0"/>
                <w:sz w:val="14"/>
              </w:rPr>
              <w:t>Medium</w:t>
            </w:r>
          </w:p>
        </w:tc>
      </w:tr>
      <w:tr>
        <w:tc>
          <w:tcPr>
            <w:tcW w:type="dxa" w:w="1260"/>
            <w:vAlign w:val="center"/>
          </w:tcPr>
          <w:p>
            <w:r/>
            <w:r>
              <w:rPr>
                <w:rFonts w:ascii="Times New Roman" w:hAnsi="Times New Roman"/>
                <w:b w:val="0"/>
                <w:sz w:val="14"/>
              </w:rPr>
              <w:t>Scoring: 'Yes' = 1; 'Partial', 'No' and 'Not recorded' = 0. Based on the paper text I read; 'Not recorded' is not a finding of omission. Bands: High = 4-5 criteria, Medium = 2-3, Low = 0-1.</w:t>
            </w:r>
          </w:p>
        </w:tc>
        <w:tc>
          <w:tcPr>
            <w:tcW w:type="dxa" w:w="1260"/>
            <w:vAlign w:val="center"/>
          </w:tcPr>
          <w:p>
            <w:r/>
            <w:r>
              <w:rPr>
                <w:rFonts w:ascii="Times New Roman" w:hAnsi="Times New Roman"/>
                <w:b w:val="0"/>
                <w:sz w:val="14"/>
              </w:rPr>
              <w:t>nan</w:t>
            </w:r>
          </w:p>
        </w:tc>
        <w:tc>
          <w:tcPr>
            <w:tcW w:type="dxa" w:w="1260"/>
            <w:vAlign w:val="center"/>
          </w:tcPr>
          <w:p>
            <w:r/>
            <w:r>
              <w:rPr>
                <w:rFonts w:ascii="Times New Roman" w:hAnsi="Times New Roman"/>
                <w:b w:val="0"/>
                <w:sz w:val="14"/>
              </w:rPr>
              <w:t>nan</w:t>
            </w:r>
          </w:p>
        </w:tc>
        <w:tc>
          <w:tcPr>
            <w:tcW w:type="dxa" w:w="1260"/>
            <w:vAlign w:val="center"/>
          </w:tcPr>
          <w:p>
            <w:r/>
            <w:r>
              <w:rPr>
                <w:rFonts w:ascii="Times New Roman" w:hAnsi="Times New Roman"/>
                <w:b w:val="0"/>
                <w:sz w:val="14"/>
              </w:rPr>
              <w:t>nan</w:t>
            </w:r>
          </w:p>
        </w:tc>
        <w:tc>
          <w:tcPr>
            <w:tcW w:type="dxa" w:w="1260"/>
            <w:vAlign w:val="center"/>
          </w:tcPr>
          <w:p>
            <w:r/>
            <w:r>
              <w:rPr>
                <w:rFonts w:ascii="Times New Roman" w:hAnsi="Times New Roman"/>
                <w:b w:val="0"/>
                <w:sz w:val="14"/>
              </w:rPr>
              <w:t>nan</w:t>
            </w:r>
          </w:p>
        </w:tc>
        <w:tc>
          <w:tcPr>
            <w:tcW w:type="dxa" w:w="1260"/>
            <w:vAlign w:val="center"/>
          </w:tcPr>
          <w:p>
            <w:r/>
            <w:r>
              <w:rPr>
                <w:rFonts w:ascii="Times New Roman" w:hAnsi="Times New Roman"/>
                <w:b w:val="0"/>
                <w:sz w:val="14"/>
              </w:rPr>
              <w:t>nan</w:t>
            </w:r>
          </w:p>
        </w:tc>
        <w:tc>
          <w:tcPr>
            <w:tcW w:type="dxa" w:w="1260"/>
            <w:vAlign w:val="center"/>
          </w:tcPr>
          <w:p>
            <w:r/>
            <w:r>
              <w:rPr>
                <w:rFonts w:ascii="Times New Roman" w:hAnsi="Times New Roman"/>
                <w:b w:val="0"/>
                <w:sz w:val="14"/>
              </w:rPr>
              <w:t>Not reported</w:t>
            </w:r>
          </w:p>
        </w:tc>
        <w:tc>
          <w:tcPr>
            <w:tcW w:type="dxa" w:w="1260"/>
            <w:vAlign w:val="center"/>
          </w:tcPr>
          <w:p>
            <w:r/>
            <w:r>
              <w:rPr>
                <w:rFonts w:ascii="Times New Roman" w:hAnsi="Times New Roman"/>
                <w:b w:val="0"/>
                <w:sz w:val="14"/>
              </w:rPr>
              <w:t>nan</w:t>
            </w:r>
          </w:p>
        </w:tc>
      </w:tr>
      <w:tr>
        <w:tc>
          <w:tcPr>
            <w:tcW w:type="dxa" w:w="1260"/>
            <w:vAlign w:val="center"/>
          </w:tcPr>
          <w:p>
            <w:r/>
            <w:r>
              <w:rPr>
                <w:rFonts w:ascii="Times New Roman" w:hAnsi="Times New Roman"/>
                <w:b w:val="0"/>
                <w:sz w:val="14"/>
              </w:rPr>
              <w:t>Studies meeting all 5 criteria:</w:t>
            </w:r>
          </w:p>
        </w:tc>
        <w:tc>
          <w:tcPr>
            <w:tcW w:type="dxa" w:w="1260"/>
            <w:vAlign w:val="center"/>
          </w:tcPr>
          <w:p>
            <w:r/>
            <w:r>
              <w:rPr>
                <w:rFonts w:ascii="Times New Roman" w:hAnsi="Times New Roman"/>
                <w:b w:val="0"/>
                <w:sz w:val="14"/>
              </w:rPr>
              <w:t>0</w:t>
            </w:r>
          </w:p>
        </w:tc>
        <w:tc>
          <w:tcPr>
            <w:tcW w:type="dxa" w:w="1260"/>
            <w:vAlign w:val="center"/>
          </w:tcPr>
          <w:p>
            <w:r/>
            <w:r>
              <w:rPr>
                <w:rFonts w:ascii="Times New Roman" w:hAnsi="Times New Roman"/>
                <w:b w:val="0"/>
                <w:sz w:val="14"/>
              </w:rPr>
              <w:t>nan</w:t>
            </w:r>
          </w:p>
        </w:tc>
        <w:tc>
          <w:tcPr>
            <w:tcW w:type="dxa" w:w="1260"/>
            <w:vAlign w:val="center"/>
          </w:tcPr>
          <w:p>
            <w:r/>
            <w:r>
              <w:rPr>
                <w:rFonts w:ascii="Times New Roman" w:hAnsi="Times New Roman"/>
                <w:b w:val="0"/>
                <w:sz w:val="14"/>
              </w:rPr>
              <w:t>nan</w:t>
            </w:r>
          </w:p>
        </w:tc>
        <w:tc>
          <w:tcPr>
            <w:tcW w:type="dxa" w:w="1260"/>
            <w:vAlign w:val="center"/>
          </w:tcPr>
          <w:p>
            <w:r/>
            <w:r>
              <w:rPr>
                <w:rFonts w:ascii="Times New Roman" w:hAnsi="Times New Roman"/>
                <w:b w:val="0"/>
                <w:sz w:val="14"/>
              </w:rPr>
              <w:t>nan</w:t>
            </w:r>
          </w:p>
        </w:tc>
        <w:tc>
          <w:tcPr>
            <w:tcW w:type="dxa" w:w="1260"/>
            <w:vAlign w:val="center"/>
          </w:tcPr>
          <w:p>
            <w:r/>
            <w:r>
              <w:rPr>
                <w:rFonts w:ascii="Times New Roman" w:hAnsi="Times New Roman"/>
                <w:b w:val="0"/>
                <w:sz w:val="14"/>
              </w:rPr>
              <w:t>nan</w:t>
            </w:r>
          </w:p>
        </w:tc>
        <w:tc>
          <w:tcPr>
            <w:tcW w:type="dxa" w:w="1260"/>
            <w:vAlign w:val="center"/>
          </w:tcPr>
          <w:p>
            <w:r/>
            <w:r>
              <w:rPr>
                <w:rFonts w:ascii="Times New Roman" w:hAnsi="Times New Roman"/>
                <w:b w:val="0"/>
                <w:sz w:val="14"/>
              </w:rPr>
              <w:t>Not reported</w:t>
            </w:r>
          </w:p>
        </w:tc>
        <w:tc>
          <w:tcPr>
            <w:tcW w:type="dxa" w:w="1260"/>
            <w:vAlign w:val="center"/>
          </w:tcPr>
          <w:p>
            <w:r/>
            <w:r>
              <w:rPr>
                <w:rFonts w:ascii="Times New Roman" w:hAnsi="Times New Roman"/>
                <w:b w:val="0"/>
                <w:sz w:val="14"/>
              </w:rPr>
              <w:t>nan</w:t>
            </w:r>
          </w:p>
        </w:tc>
      </w:tr>
      <w:tr>
        <w:tc>
          <w:tcPr>
            <w:tcW w:type="dxa" w:w="1260"/>
            <w:vAlign w:val="center"/>
          </w:tcPr>
          <w:p>
            <w:r/>
            <w:r>
              <w:rPr>
                <w:rFonts w:ascii="Times New Roman" w:hAnsi="Times New Roman"/>
                <w:b w:val="0"/>
                <w:sz w:val="14"/>
              </w:rPr>
              <w:t>Highest criteria met:</w:t>
            </w:r>
          </w:p>
        </w:tc>
        <w:tc>
          <w:tcPr>
            <w:tcW w:type="dxa" w:w="1260"/>
            <w:vAlign w:val="center"/>
          </w:tcPr>
          <w:p>
            <w:r/>
            <w:r>
              <w:rPr>
                <w:rFonts w:ascii="Times New Roman" w:hAnsi="Times New Roman"/>
                <w:b w:val="0"/>
                <w:sz w:val="14"/>
              </w:rPr>
              <w:t>3</w:t>
            </w:r>
          </w:p>
        </w:tc>
        <w:tc>
          <w:tcPr>
            <w:tcW w:type="dxa" w:w="1260"/>
            <w:vAlign w:val="center"/>
          </w:tcPr>
          <w:p>
            <w:r/>
            <w:r>
              <w:rPr>
                <w:rFonts w:ascii="Times New Roman" w:hAnsi="Times New Roman"/>
                <w:b w:val="0"/>
                <w:sz w:val="14"/>
              </w:rPr>
              <w:t>nan</w:t>
            </w:r>
          </w:p>
        </w:tc>
        <w:tc>
          <w:tcPr>
            <w:tcW w:type="dxa" w:w="1260"/>
            <w:vAlign w:val="center"/>
          </w:tcPr>
          <w:p>
            <w:r/>
            <w:r>
              <w:rPr>
                <w:rFonts w:ascii="Times New Roman" w:hAnsi="Times New Roman"/>
                <w:b w:val="0"/>
                <w:sz w:val="14"/>
              </w:rPr>
              <w:t>nan</w:t>
            </w:r>
          </w:p>
        </w:tc>
        <w:tc>
          <w:tcPr>
            <w:tcW w:type="dxa" w:w="1260"/>
            <w:vAlign w:val="center"/>
          </w:tcPr>
          <w:p>
            <w:r/>
            <w:r>
              <w:rPr>
                <w:rFonts w:ascii="Times New Roman" w:hAnsi="Times New Roman"/>
                <w:b w:val="0"/>
                <w:sz w:val="14"/>
              </w:rPr>
              <w:t>nan</w:t>
            </w:r>
          </w:p>
        </w:tc>
        <w:tc>
          <w:tcPr>
            <w:tcW w:type="dxa" w:w="1260"/>
            <w:vAlign w:val="center"/>
          </w:tcPr>
          <w:p>
            <w:r/>
            <w:r>
              <w:rPr>
                <w:rFonts w:ascii="Times New Roman" w:hAnsi="Times New Roman"/>
                <w:b w:val="0"/>
                <w:sz w:val="14"/>
              </w:rPr>
              <w:t>nan</w:t>
            </w:r>
          </w:p>
        </w:tc>
        <w:tc>
          <w:tcPr>
            <w:tcW w:type="dxa" w:w="1260"/>
            <w:vAlign w:val="center"/>
          </w:tcPr>
          <w:p>
            <w:r/>
            <w:r>
              <w:rPr>
                <w:rFonts w:ascii="Times New Roman" w:hAnsi="Times New Roman"/>
                <w:b w:val="0"/>
                <w:sz w:val="14"/>
              </w:rPr>
              <w:t>Not reported</w:t>
            </w:r>
          </w:p>
        </w:tc>
        <w:tc>
          <w:tcPr>
            <w:tcW w:type="dxa" w:w="1260"/>
            <w:vAlign w:val="center"/>
          </w:tcPr>
          <w:p>
            <w:r/>
            <w:r>
              <w:rPr>
                <w:rFonts w:ascii="Times New Roman" w:hAnsi="Times New Roman"/>
                <w:b w:val="0"/>
                <w:sz w:val="14"/>
              </w:rPr>
              <w:t>nan</w:t>
            </w:r>
          </w:p>
        </w:tc>
      </w:tr>
    </w:tbl>
    <w:p>
      <w:r>
        <w:t>The workbook's rubric is deliberately conservative: 'Not recorded' is not interpreted as proof that a study omitted the criterion. Among the scored studies, all are in the Medium band and none meets all five criteria. This is an important SOTA finding: the literature contains impressive predictive numbers, but the evidence base does not provide enough standardised reproducibility information to support a single universal winner.</w:t>
      </w:r>
    </w:p>
    <w:p>
      <w:pPr>
        <w:pStyle w:val="Heading1"/>
      </w:pPr>
      <w:r>
        <w:t>9. Present Study: Positioning Against SOTA</w:t>
      </w:r>
    </w:p>
    <w:p>
      <w:r>
        <w:t>The present study evaluates DNN, DNN + Dropout, DNN + L2, Proposed DNN, GRU, LSTM, and Transformer on CICIoT2023. The test set contains 268,463 flows and retains its natural class distribution. Training uses 10,000 flows per class across eight classes, for 80,000 sampled training flows before an 80/20 stratified train-validation split.</w:t>
      </w:r>
    </w:p>
    <w:tbl>
      <w:tblPr>
        <w:tblStyle w:val="TableGrid"/>
        <w:tblW w:type="auto" w:w="0"/>
        <w:jc w:val="center"/>
        <w:tblLook w:firstColumn="1" w:firstRow="1" w:lastColumn="0" w:lastRow="0" w:noHBand="0" w:noVBand="1" w:val="04A0"/>
      </w:tblPr>
      <w:tblGrid>
        <w:gridCol w:w="1260"/>
        <w:gridCol w:w="1260"/>
        <w:gridCol w:w="1260"/>
        <w:gridCol w:w="1260"/>
        <w:gridCol w:w="1260"/>
        <w:gridCol w:w="1260"/>
        <w:gridCol w:w="1260"/>
        <w:gridCol w:w="1260"/>
      </w:tblGrid>
      <w:tr>
        <w:tc>
          <w:tcPr>
            <w:tcW w:type="dxa" w:w="1260"/>
            <w:vAlign w:val="center"/>
            <w:shd w:fill="D9EAF7"/>
          </w:tcPr>
          <w:p>
            <w:r/>
            <w:r>
              <w:rPr>
                <w:rFonts w:ascii="Times New Roman" w:hAnsi="Times New Roman"/>
                <w:b/>
                <w:sz w:val="15"/>
              </w:rPr>
              <w:t>Model</w:t>
            </w:r>
          </w:p>
        </w:tc>
        <w:tc>
          <w:tcPr>
            <w:tcW w:type="dxa" w:w="1260"/>
            <w:vAlign w:val="center"/>
            <w:shd w:fill="D9EAF7"/>
          </w:tcPr>
          <w:p>
            <w:r/>
            <w:r>
              <w:rPr>
                <w:rFonts w:ascii="Times New Roman" w:hAnsi="Times New Roman"/>
                <w:b/>
                <w:sz w:val="15"/>
              </w:rPr>
              <w:t>Accuracy</w:t>
            </w:r>
          </w:p>
        </w:tc>
        <w:tc>
          <w:tcPr>
            <w:tcW w:type="dxa" w:w="1260"/>
            <w:vAlign w:val="center"/>
            <w:shd w:fill="D9EAF7"/>
          </w:tcPr>
          <w:p>
            <w:r/>
            <w:r>
              <w:rPr>
                <w:rFonts w:ascii="Times New Roman" w:hAnsi="Times New Roman"/>
                <w:b/>
                <w:sz w:val="15"/>
              </w:rPr>
              <w:t>Macro-precision</w:t>
            </w:r>
          </w:p>
        </w:tc>
        <w:tc>
          <w:tcPr>
            <w:tcW w:type="dxa" w:w="1260"/>
            <w:vAlign w:val="center"/>
            <w:shd w:fill="D9EAF7"/>
          </w:tcPr>
          <w:p>
            <w:r/>
            <w:r>
              <w:rPr>
                <w:rFonts w:ascii="Times New Roman" w:hAnsi="Times New Roman"/>
                <w:b/>
                <w:sz w:val="15"/>
              </w:rPr>
              <w:t>Macro-recall</w:t>
            </w:r>
          </w:p>
        </w:tc>
        <w:tc>
          <w:tcPr>
            <w:tcW w:type="dxa" w:w="1260"/>
            <w:vAlign w:val="center"/>
            <w:shd w:fill="D9EAF7"/>
          </w:tcPr>
          <w:p>
            <w:r/>
            <w:r>
              <w:rPr>
                <w:rFonts w:ascii="Times New Roman" w:hAnsi="Times New Roman"/>
                <w:b/>
                <w:sz w:val="15"/>
              </w:rPr>
              <w:t>Macro-F1</w:t>
            </w:r>
          </w:p>
        </w:tc>
        <w:tc>
          <w:tcPr>
            <w:tcW w:type="dxa" w:w="1260"/>
            <w:vAlign w:val="center"/>
            <w:shd w:fill="D9EAF7"/>
          </w:tcPr>
          <w:p>
            <w:r/>
            <w:r>
              <w:rPr>
                <w:rFonts w:ascii="Times New Roman" w:hAnsi="Times New Roman"/>
                <w:b/>
                <w:sz w:val="15"/>
              </w:rPr>
              <w:t>Training time (s)</w:t>
            </w:r>
          </w:p>
        </w:tc>
        <w:tc>
          <w:tcPr>
            <w:tcW w:type="dxa" w:w="1260"/>
            <w:vAlign w:val="center"/>
            <w:shd w:fill="D9EAF7"/>
          </w:tcPr>
          <w:p>
            <w:r/>
            <w:r>
              <w:rPr>
                <w:rFonts w:ascii="Times New Roman" w:hAnsi="Times New Roman"/>
                <w:b/>
                <w:sz w:val="15"/>
              </w:rPr>
              <w:t>Accuracy rank</w:t>
            </w:r>
          </w:p>
        </w:tc>
        <w:tc>
          <w:tcPr>
            <w:tcW w:type="dxa" w:w="1260"/>
            <w:vAlign w:val="center"/>
            <w:shd w:fill="D9EAF7"/>
          </w:tcPr>
          <w:p>
            <w:r/>
            <w:r>
              <w:rPr>
                <w:rFonts w:ascii="Times New Roman" w:hAnsi="Times New Roman"/>
                <w:b/>
                <w:sz w:val="15"/>
              </w:rPr>
              <w:t>Macro-F1 rank</w:t>
            </w:r>
          </w:p>
        </w:tc>
      </w:tr>
      <w:tr>
        <w:tc>
          <w:tcPr>
            <w:tcW w:type="dxa" w:w="1260"/>
            <w:vAlign w:val="center"/>
          </w:tcPr>
          <w:p>
            <w:r/>
            <w:r>
              <w:rPr>
                <w:rFonts w:ascii="Times New Roman" w:hAnsi="Times New Roman"/>
                <w:b w:val="0"/>
                <w:sz w:val="15"/>
              </w:rPr>
              <w:t>DNN</w:t>
            </w:r>
          </w:p>
        </w:tc>
        <w:tc>
          <w:tcPr>
            <w:tcW w:type="dxa" w:w="1260"/>
            <w:vAlign w:val="center"/>
          </w:tcPr>
          <w:p>
            <w:r/>
            <w:r>
              <w:rPr>
                <w:rFonts w:ascii="Times New Roman" w:hAnsi="Times New Roman"/>
                <w:b w:val="0"/>
                <w:sz w:val="15"/>
              </w:rPr>
              <w:t>75.44%</w:t>
            </w:r>
          </w:p>
        </w:tc>
        <w:tc>
          <w:tcPr>
            <w:tcW w:type="dxa" w:w="1260"/>
            <w:vAlign w:val="center"/>
          </w:tcPr>
          <w:p>
            <w:r/>
            <w:r>
              <w:rPr>
                <w:rFonts w:ascii="Times New Roman" w:hAnsi="Times New Roman"/>
                <w:b w:val="0"/>
                <w:sz w:val="15"/>
              </w:rPr>
              <w:t>64.03%</w:t>
            </w:r>
          </w:p>
        </w:tc>
        <w:tc>
          <w:tcPr>
            <w:tcW w:type="dxa" w:w="1260"/>
            <w:vAlign w:val="center"/>
          </w:tcPr>
          <w:p>
            <w:r/>
            <w:r>
              <w:rPr>
                <w:rFonts w:ascii="Times New Roman" w:hAnsi="Times New Roman"/>
                <w:b w:val="0"/>
                <w:sz w:val="15"/>
              </w:rPr>
              <w:t>70.31%</w:t>
            </w:r>
          </w:p>
        </w:tc>
        <w:tc>
          <w:tcPr>
            <w:tcW w:type="dxa" w:w="1260"/>
            <w:vAlign w:val="center"/>
          </w:tcPr>
          <w:p>
            <w:r/>
            <w:r>
              <w:rPr>
                <w:rFonts w:ascii="Times New Roman" w:hAnsi="Times New Roman"/>
                <w:b w:val="0"/>
                <w:sz w:val="15"/>
              </w:rPr>
              <w:t>63.46%</w:t>
            </w:r>
          </w:p>
        </w:tc>
        <w:tc>
          <w:tcPr>
            <w:tcW w:type="dxa" w:w="1260"/>
            <w:vAlign w:val="center"/>
          </w:tcPr>
          <w:p>
            <w:r/>
            <w:r>
              <w:rPr>
                <w:rFonts w:ascii="Times New Roman" w:hAnsi="Times New Roman"/>
                <w:b w:val="0"/>
                <w:sz w:val="15"/>
              </w:rPr>
              <w:t>19.48</w:t>
            </w:r>
          </w:p>
        </w:tc>
        <w:tc>
          <w:tcPr>
            <w:tcW w:type="dxa" w:w="1260"/>
            <w:vAlign w:val="center"/>
          </w:tcPr>
          <w:p>
            <w:r/>
            <w:r>
              <w:rPr>
                <w:rFonts w:ascii="Times New Roman" w:hAnsi="Times New Roman"/>
                <w:b w:val="0"/>
                <w:sz w:val="15"/>
              </w:rPr>
              <w:t>1</w:t>
            </w:r>
          </w:p>
        </w:tc>
        <w:tc>
          <w:tcPr>
            <w:tcW w:type="dxa" w:w="1260"/>
            <w:vAlign w:val="center"/>
          </w:tcPr>
          <w:p>
            <w:r/>
            <w:r>
              <w:rPr>
                <w:rFonts w:ascii="Times New Roman" w:hAnsi="Times New Roman"/>
                <w:b w:val="0"/>
                <w:sz w:val="15"/>
              </w:rPr>
              <w:t>1</w:t>
            </w:r>
          </w:p>
        </w:tc>
      </w:tr>
      <w:tr>
        <w:tc>
          <w:tcPr>
            <w:tcW w:type="dxa" w:w="1260"/>
            <w:vAlign w:val="center"/>
          </w:tcPr>
          <w:p>
            <w:r/>
            <w:r>
              <w:rPr>
                <w:rFonts w:ascii="Times New Roman" w:hAnsi="Times New Roman"/>
                <w:b w:val="0"/>
                <w:sz w:val="15"/>
              </w:rPr>
              <w:t>DNN + Dropout</w:t>
            </w:r>
          </w:p>
        </w:tc>
        <w:tc>
          <w:tcPr>
            <w:tcW w:type="dxa" w:w="1260"/>
            <w:vAlign w:val="center"/>
          </w:tcPr>
          <w:p>
            <w:r/>
            <w:r>
              <w:rPr>
                <w:rFonts w:ascii="Times New Roman" w:hAnsi="Times New Roman"/>
                <w:b w:val="0"/>
                <w:sz w:val="15"/>
              </w:rPr>
              <w:t>73.73%</w:t>
            </w:r>
          </w:p>
        </w:tc>
        <w:tc>
          <w:tcPr>
            <w:tcW w:type="dxa" w:w="1260"/>
            <w:vAlign w:val="center"/>
          </w:tcPr>
          <w:p>
            <w:r/>
            <w:r>
              <w:rPr>
                <w:rFonts w:ascii="Times New Roman" w:hAnsi="Times New Roman"/>
                <w:b w:val="0"/>
                <w:sz w:val="15"/>
              </w:rPr>
              <w:t>63.91%</w:t>
            </w:r>
          </w:p>
        </w:tc>
        <w:tc>
          <w:tcPr>
            <w:tcW w:type="dxa" w:w="1260"/>
            <w:vAlign w:val="center"/>
          </w:tcPr>
          <w:p>
            <w:r/>
            <w:r>
              <w:rPr>
                <w:rFonts w:ascii="Times New Roman" w:hAnsi="Times New Roman"/>
                <w:b w:val="0"/>
                <w:sz w:val="15"/>
              </w:rPr>
              <w:t>69.02%</w:t>
            </w:r>
          </w:p>
        </w:tc>
        <w:tc>
          <w:tcPr>
            <w:tcW w:type="dxa" w:w="1260"/>
            <w:vAlign w:val="center"/>
          </w:tcPr>
          <w:p>
            <w:r/>
            <w:r>
              <w:rPr>
                <w:rFonts w:ascii="Times New Roman" w:hAnsi="Times New Roman"/>
                <w:b w:val="0"/>
                <w:sz w:val="15"/>
              </w:rPr>
              <w:t>62.10%</w:t>
            </w:r>
          </w:p>
        </w:tc>
        <w:tc>
          <w:tcPr>
            <w:tcW w:type="dxa" w:w="1260"/>
            <w:vAlign w:val="center"/>
          </w:tcPr>
          <w:p>
            <w:r/>
            <w:r>
              <w:rPr>
                <w:rFonts w:ascii="Times New Roman" w:hAnsi="Times New Roman"/>
                <w:b w:val="0"/>
                <w:sz w:val="15"/>
              </w:rPr>
              <w:t>21.84</w:t>
            </w:r>
          </w:p>
        </w:tc>
        <w:tc>
          <w:tcPr>
            <w:tcW w:type="dxa" w:w="1260"/>
            <w:vAlign w:val="center"/>
          </w:tcPr>
          <w:p>
            <w:r/>
            <w:r>
              <w:rPr>
                <w:rFonts w:ascii="Times New Roman" w:hAnsi="Times New Roman"/>
                <w:b w:val="0"/>
                <w:sz w:val="15"/>
              </w:rPr>
              <w:t>4</w:t>
            </w:r>
          </w:p>
        </w:tc>
        <w:tc>
          <w:tcPr>
            <w:tcW w:type="dxa" w:w="1260"/>
            <w:vAlign w:val="center"/>
          </w:tcPr>
          <w:p>
            <w:r/>
            <w:r>
              <w:rPr>
                <w:rFonts w:ascii="Times New Roman" w:hAnsi="Times New Roman"/>
                <w:b w:val="0"/>
                <w:sz w:val="15"/>
              </w:rPr>
              <w:t>5</w:t>
            </w:r>
          </w:p>
        </w:tc>
      </w:tr>
      <w:tr>
        <w:tc>
          <w:tcPr>
            <w:tcW w:type="dxa" w:w="1260"/>
            <w:vAlign w:val="center"/>
          </w:tcPr>
          <w:p>
            <w:r/>
            <w:r>
              <w:rPr>
                <w:rFonts w:ascii="Times New Roman" w:hAnsi="Times New Roman"/>
                <w:b w:val="0"/>
                <w:sz w:val="15"/>
              </w:rPr>
              <w:t>DNN + L2</w:t>
            </w:r>
          </w:p>
        </w:tc>
        <w:tc>
          <w:tcPr>
            <w:tcW w:type="dxa" w:w="1260"/>
            <w:vAlign w:val="center"/>
          </w:tcPr>
          <w:p>
            <w:r/>
            <w:r>
              <w:rPr>
                <w:rFonts w:ascii="Times New Roman" w:hAnsi="Times New Roman"/>
                <w:b w:val="0"/>
                <w:sz w:val="15"/>
              </w:rPr>
              <w:t>75.08%</w:t>
            </w:r>
          </w:p>
        </w:tc>
        <w:tc>
          <w:tcPr>
            <w:tcW w:type="dxa" w:w="1260"/>
            <w:vAlign w:val="center"/>
          </w:tcPr>
          <w:p>
            <w:r/>
            <w:r>
              <w:rPr>
                <w:rFonts w:ascii="Times New Roman" w:hAnsi="Times New Roman"/>
                <w:b w:val="0"/>
                <w:sz w:val="15"/>
              </w:rPr>
              <w:t>63.43%</w:t>
            </w:r>
          </w:p>
        </w:tc>
        <w:tc>
          <w:tcPr>
            <w:tcW w:type="dxa" w:w="1260"/>
            <w:vAlign w:val="center"/>
          </w:tcPr>
          <w:p>
            <w:r/>
            <w:r>
              <w:rPr>
                <w:rFonts w:ascii="Times New Roman" w:hAnsi="Times New Roman"/>
                <w:b w:val="0"/>
                <w:sz w:val="15"/>
              </w:rPr>
              <w:t>68.96%</w:t>
            </w:r>
          </w:p>
        </w:tc>
        <w:tc>
          <w:tcPr>
            <w:tcW w:type="dxa" w:w="1260"/>
            <w:vAlign w:val="center"/>
          </w:tcPr>
          <w:p>
            <w:r/>
            <w:r>
              <w:rPr>
                <w:rFonts w:ascii="Times New Roman" w:hAnsi="Times New Roman"/>
                <w:b w:val="0"/>
                <w:sz w:val="15"/>
              </w:rPr>
              <w:t>63.05%</w:t>
            </w:r>
          </w:p>
        </w:tc>
        <w:tc>
          <w:tcPr>
            <w:tcW w:type="dxa" w:w="1260"/>
            <w:vAlign w:val="center"/>
          </w:tcPr>
          <w:p>
            <w:r/>
            <w:r>
              <w:rPr>
                <w:rFonts w:ascii="Times New Roman" w:hAnsi="Times New Roman"/>
                <w:b w:val="0"/>
                <w:sz w:val="15"/>
              </w:rPr>
              <w:t>18.46</w:t>
            </w:r>
          </w:p>
        </w:tc>
        <w:tc>
          <w:tcPr>
            <w:tcW w:type="dxa" w:w="1260"/>
            <w:vAlign w:val="center"/>
          </w:tcPr>
          <w:p>
            <w:r/>
            <w:r>
              <w:rPr>
                <w:rFonts w:ascii="Times New Roman" w:hAnsi="Times New Roman"/>
                <w:b w:val="0"/>
                <w:sz w:val="15"/>
              </w:rPr>
              <w:t>2</w:t>
            </w:r>
          </w:p>
        </w:tc>
        <w:tc>
          <w:tcPr>
            <w:tcW w:type="dxa" w:w="1260"/>
            <w:vAlign w:val="center"/>
          </w:tcPr>
          <w:p>
            <w:r/>
            <w:r>
              <w:rPr>
                <w:rFonts w:ascii="Times New Roman" w:hAnsi="Times New Roman"/>
                <w:b w:val="0"/>
                <w:sz w:val="15"/>
              </w:rPr>
              <w:t>2</w:t>
            </w:r>
          </w:p>
        </w:tc>
      </w:tr>
      <w:tr>
        <w:tc>
          <w:tcPr>
            <w:tcW w:type="dxa" w:w="1260"/>
            <w:vAlign w:val="center"/>
          </w:tcPr>
          <w:p>
            <w:r/>
            <w:r>
              <w:rPr>
                <w:rFonts w:ascii="Times New Roman" w:hAnsi="Times New Roman"/>
                <w:b w:val="0"/>
                <w:sz w:val="15"/>
              </w:rPr>
              <w:t>Proposed DNN</w:t>
            </w:r>
          </w:p>
        </w:tc>
        <w:tc>
          <w:tcPr>
            <w:tcW w:type="dxa" w:w="1260"/>
            <w:vAlign w:val="center"/>
          </w:tcPr>
          <w:p>
            <w:r/>
            <w:r>
              <w:rPr>
                <w:rFonts w:ascii="Times New Roman" w:hAnsi="Times New Roman"/>
                <w:b w:val="0"/>
                <w:sz w:val="15"/>
              </w:rPr>
              <w:t>74.07%</w:t>
            </w:r>
          </w:p>
        </w:tc>
        <w:tc>
          <w:tcPr>
            <w:tcW w:type="dxa" w:w="1260"/>
            <w:vAlign w:val="center"/>
          </w:tcPr>
          <w:p>
            <w:r/>
            <w:r>
              <w:rPr>
                <w:rFonts w:ascii="Times New Roman" w:hAnsi="Times New Roman"/>
                <w:b w:val="0"/>
                <w:sz w:val="15"/>
              </w:rPr>
              <w:t>64.51%</w:t>
            </w:r>
          </w:p>
        </w:tc>
        <w:tc>
          <w:tcPr>
            <w:tcW w:type="dxa" w:w="1260"/>
            <w:vAlign w:val="center"/>
          </w:tcPr>
          <w:p>
            <w:r/>
            <w:r>
              <w:rPr>
                <w:rFonts w:ascii="Times New Roman" w:hAnsi="Times New Roman"/>
                <w:b w:val="0"/>
                <w:sz w:val="15"/>
              </w:rPr>
              <w:t>68.98%</w:t>
            </w:r>
          </w:p>
        </w:tc>
        <w:tc>
          <w:tcPr>
            <w:tcW w:type="dxa" w:w="1260"/>
            <w:vAlign w:val="center"/>
          </w:tcPr>
          <w:p>
            <w:r/>
            <w:r>
              <w:rPr>
                <w:rFonts w:ascii="Times New Roman" w:hAnsi="Times New Roman"/>
                <w:b w:val="0"/>
                <w:sz w:val="15"/>
              </w:rPr>
              <w:t>62.26%</w:t>
            </w:r>
          </w:p>
        </w:tc>
        <w:tc>
          <w:tcPr>
            <w:tcW w:type="dxa" w:w="1260"/>
            <w:vAlign w:val="center"/>
          </w:tcPr>
          <w:p>
            <w:r/>
            <w:r>
              <w:rPr>
                <w:rFonts w:ascii="Times New Roman" w:hAnsi="Times New Roman"/>
                <w:b w:val="0"/>
                <w:sz w:val="15"/>
              </w:rPr>
              <w:t>25.70</w:t>
            </w:r>
          </w:p>
        </w:tc>
        <w:tc>
          <w:tcPr>
            <w:tcW w:type="dxa" w:w="1260"/>
            <w:vAlign w:val="center"/>
          </w:tcPr>
          <w:p>
            <w:r/>
            <w:r>
              <w:rPr>
                <w:rFonts w:ascii="Times New Roman" w:hAnsi="Times New Roman"/>
                <w:b w:val="0"/>
                <w:sz w:val="15"/>
              </w:rPr>
              <w:t>3</w:t>
            </w:r>
          </w:p>
        </w:tc>
        <w:tc>
          <w:tcPr>
            <w:tcW w:type="dxa" w:w="1260"/>
            <w:vAlign w:val="center"/>
          </w:tcPr>
          <w:p>
            <w:r/>
            <w:r>
              <w:rPr>
                <w:rFonts w:ascii="Times New Roman" w:hAnsi="Times New Roman"/>
                <w:b w:val="0"/>
                <w:sz w:val="15"/>
              </w:rPr>
              <w:t>4</w:t>
            </w:r>
          </w:p>
        </w:tc>
      </w:tr>
      <w:tr>
        <w:tc>
          <w:tcPr>
            <w:tcW w:type="dxa" w:w="1260"/>
            <w:vAlign w:val="center"/>
          </w:tcPr>
          <w:p>
            <w:r/>
            <w:r>
              <w:rPr>
                <w:rFonts w:ascii="Times New Roman" w:hAnsi="Times New Roman"/>
                <w:b w:val="0"/>
                <w:sz w:val="15"/>
              </w:rPr>
              <w:t>GRU</w:t>
            </w:r>
          </w:p>
        </w:tc>
        <w:tc>
          <w:tcPr>
            <w:tcW w:type="dxa" w:w="1260"/>
            <w:vAlign w:val="center"/>
          </w:tcPr>
          <w:p>
            <w:r/>
            <w:r>
              <w:rPr>
                <w:rFonts w:ascii="Times New Roman" w:hAnsi="Times New Roman"/>
                <w:b w:val="0"/>
                <w:sz w:val="15"/>
              </w:rPr>
              <w:t>69.82%</w:t>
            </w:r>
          </w:p>
        </w:tc>
        <w:tc>
          <w:tcPr>
            <w:tcW w:type="dxa" w:w="1260"/>
            <w:vAlign w:val="center"/>
          </w:tcPr>
          <w:p>
            <w:r/>
            <w:r>
              <w:rPr>
                <w:rFonts w:ascii="Times New Roman" w:hAnsi="Times New Roman"/>
                <w:b w:val="0"/>
                <w:sz w:val="15"/>
              </w:rPr>
              <w:t>60.34%</w:t>
            </w:r>
          </w:p>
        </w:tc>
        <w:tc>
          <w:tcPr>
            <w:tcW w:type="dxa" w:w="1260"/>
            <w:vAlign w:val="center"/>
          </w:tcPr>
          <w:p>
            <w:r/>
            <w:r>
              <w:rPr>
                <w:rFonts w:ascii="Times New Roman" w:hAnsi="Times New Roman"/>
                <w:b w:val="0"/>
                <w:sz w:val="15"/>
              </w:rPr>
              <w:t>65.51%</w:t>
            </w:r>
          </w:p>
        </w:tc>
        <w:tc>
          <w:tcPr>
            <w:tcW w:type="dxa" w:w="1260"/>
            <w:vAlign w:val="center"/>
          </w:tcPr>
          <w:p>
            <w:r/>
            <w:r>
              <w:rPr>
                <w:rFonts w:ascii="Times New Roman" w:hAnsi="Times New Roman"/>
                <w:b w:val="0"/>
                <w:sz w:val="15"/>
              </w:rPr>
              <w:t>58.68%</w:t>
            </w:r>
          </w:p>
        </w:tc>
        <w:tc>
          <w:tcPr>
            <w:tcW w:type="dxa" w:w="1260"/>
            <w:vAlign w:val="center"/>
          </w:tcPr>
          <w:p>
            <w:r/>
            <w:r>
              <w:rPr>
                <w:rFonts w:ascii="Times New Roman" w:hAnsi="Times New Roman"/>
                <w:b w:val="0"/>
                <w:sz w:val="15"/>
              </w:rPr>
              <w:t>668.69</w:t>
            </w:r>
          </w:p>
        </w:tc>
        <w:tc>
          <w:tcPr>
            <w:tcW w:type="dxa" w:w="1260"/>
            <w:vAlign w:val="center"/>
          </w:tcPr>
          <w:p>
            <w:r/>
            <w:r>
              <w:rPr>
                <w:rFonts w:ascii="Times New Roman" w:hAnsi="Times New Roman"/>
                <w:b w:val="0"/>
                <w:sz w:val="15"/>
              </w:rPr>
              <w:t>5</w:t>
            </w:r>
          </w:p>
        </w:tc>
        <w:tc>
          <w:tcPr>
            <w:tcW w:type="dxa" w:w="1260"/>
            <w:vAlign w:val="center"/>
          </w:tcPr>
          <w:p>
            <w:r/>
            <w:r>
              <w:rPr>
                <w:rFonts w:ascii="Times New Roman" w:hAnsi="Times New Roman"/>
                <w:b w:val="0"/>
                <w:sz w:val="15"/>
              </w:rPr>
              <w:t>6</w:t>
            </w:r>
          </w:p>
        </w:tc>
      </w:tr>
      <w:tr>
        <w:tc>
          <w:tcPr>
            <w:tcW w:type="dxa" w:w="1260"/>
            <w:vAlign w:val="center"/>
          </w:tcPr>
          <w:p>
            <w:r/>
            <w:r>
              <w:rPr>
                <w:rFonts w:ascii="Times New Roman" w:hAnsi="Times New Roman"/>
                <w:b w:val="0"/>
                <w:sz w:val="15"/>
              </w:rPr>
              <w:t>LSTM</w:t>
            </w:r>
          </w:p>
        </w:tc>
        <w:tc>
          <w:tcPr>
            <w:tcW w:type="dxa" w:w="1260"/>
            <w:vAlign w:val="center"/>
          </w:tcPr>
          <w:p>
            <w:r/>
            <w:r>
              <w:rPr>
                <w:rFonts w:ascii="Times New Roman" w:hAnsi="Times New Roman"/>
                <w:b w:val="0"/>
                <w:sz w:val="15"/>
              </w:rPr>
              <w:t>55.24%</w:t>
            </w:r>
          </w:p>
        </w:tc>
        <w:tc>
          <w:tcPr>
            <w:tcW w:type="dxa" w:w="1260"/>
            <w:vAlign w:val="center"/>
          </w:tcPr>
          <w:p>
            <w:r/>
            <w:r>
              <w:rPr>
                <w:rFonts w:ascii="Times New Roman" w:hAnsi="Times New Roman"/>
                <w:b w:val="0"/>
                <w:sz w:val="15"/>
              </w:rPr>
              <w:t>52.20%</w:t>
            </w:r>
          </w:p>
        </w:tc>
        <w:tc>
          <w:tcPr>
            <w:tcW w:type="dxa" w:w="1260"/>
            <w:vAlign w:val="center"/>
          </w:tcPr>
          <w:p>
            <w:r/>
            <w:r>
              <w:rPr>
                <w:rFonts w:ascii="Times New Roman" w:hAnsi="Times New Roman"/>
                <w:b w:val="0"/>
                <w:sz w:val="15"/>
              </w:rPr>
              <w:t>51.43%</w:t>
            </w:r>
          </w:p>
        </w:tc>
        <w:tc>
          <w:tcPr>
            <w:tcW w:type="dxa" w:w="1260"/>
            <w:vAlign w:val="center"/>
          </w:tcPr>
          <w:p>
            <w:r/>
            <w:r>
              <w:rPr>
                <w:rFonts w:ascii="Times New Roman" w:hAnsi="Times New Roman"/>
                <w:b w:val="0"/>
                <w:sz w:val="15"/>
              </w:rPr>
              <w:t>45.71%</w:t>
            </w:r>
          </w:p>
        </w:tc>
        <w:tc>
          <w:tcPr>
            <w:tcW w:type="dxa" w:w="1260"/>
            <w:vAlign w:val="center"/>
          </w:tcPr>
          <w:p>
            <w:r/>
            <w:r>
              <w:rPr>
                <w:rFonts w:ascii="Times New Roman" w:hAnsi="Times New Roman"/>
                <w:b w:val="0"/>
                <w:sz w:val="15"/>
              </w:rPr>
              <w:t>173.61</w:t>
            </w:r>
          </w:p>
        </w:tc>
        <w:tc>
          <w:tcPr>
            <w:tcW w:type="dxa" w:w="1260"/>
            <w:vAlign w:val="center"/>
          </w:tcPr>
          <w:p>
            <w:r/>
            <w:r>
              <w:rPr>
                <w:rFonts w:ascii="Times New Roman" w:hAnsi="Times New Roman"/>
                <w:b w:val="0"/>
                <w:sz w:val="15"/>
              </w:rPr>
              <w:t>6</w:t>
            </w:r>
          </w:p>
        </w:tc>
        <w:tc>
          <w:tcPr>
            <w:tcW w:type="dxa" w:w="1260"/>
            <w:vAlign w:val="center"/>
          </w:tcPr>
          <w:p>
            <w:r/>
            <w:r>
              <w:rPr>
                <w:rFonts w:ascii="Times New Roman" w:hAnsi="Times New Roman"/>
                <w:b w:val="0"/>
                <w:sz w:val="15"/>
              </w:rPr>
              <w:t>7</w:t>
            </w:r>
          </w:p>
        </w:tc>
      </w:tr>
      <w:tr>
        <w:tc>
          <w:tcPr>
            <w:tcW w:type="dxa" w:w="1260"/>
            <w:vAlign w:val="center"/>
          </w:tcPr>
          <w:p>
            <w:r/>
            <w:r>
              <w:rPr>
                <w:rFonts w:ascii="Times New Roman" w:hAnsi="Times New Roman"/>
                <w:b w:val="0"/>
                <w:sz w:val="15"/>
              </w:rPr>
              <w:t>Transformer</w:t>
            </w:r>
          </w:p>
        </w:tc>
        <w:tc>
          <w:tcPr>
            <w:tcW w:type="dxa" w:w="1260"/>
            <w:vAlign w:val="center"/>
          </w:tcPr>
          <w:p>
            <w:r/>
            <w:r>
              <w:rPr>
                <w:rFonts w:ascii="Times New Roman" w:hAnsi="Times New Roman"/>
                <w:b w:val="0"/>
                <w:sz w:val="15"/>
              </w:rPr>
              <w:t>72.53%</w:t>
            </w:r>
          </w:p>
        </w:tc>
        <w:tc>
          <w:tcPr>
            <w:tcW w:type="dxa" w:w="1260"/>
            <w:vAlign w:val="center"/>
          </w:tcPr>
          <w:p>
            <w:r/>
            <w:r>
              <w:rPr>
                <w:rFonts w:ascii="Times New Roman" w:hAnsi="Times New Roman"/>
                <w:b w:val="0"/>
                <w:sz w:val="15"/>
              </w:rPr>
              <w:t>65.39%</w:t>
            </w:r>
          </w:p>
        </w:tc>
        <w:tc>
          <w:tcPr>
            <w:tcW w:type="dxa" w:w="1260"/>
            <w:vAlign w:val="center"/>
          </w:tcPr>
          <w:p>
            <w:r/>
            <w:r>
              <w:rPr>
                <w:rFonts w:ascii="Times New Roman" w:hAnsi="Times New Roman"/>
                <w:b w:val="0"/>
                <w:sz w:val="15"/>
              </w:rPr>
              <w:t>71.05%</w:t>
            </w:r>
          </w:p>
        </w:tc>
        <w:tc>
          <w:tcPr>
            <w:tcW w:type="dxa" w:w="1260"/>
            <w:vAlign w:val="center"/>
          </w:tcPr>
          <w:p>
            <w:r/>
            <w:r>
              <w:rPr>
                <w:rFonts w:ascii="Times New Roman" w:hAnsi="Times New Roman"/>
                <w:b w:val="0"/>
                <w:sz w:val="15"/>
              </w:rPr>
              <w:t>62.63%</w:t>
            </w:r>
          </w:p>
        </w:tc>
        <w:tc>
          <w:tcPr>
            <w:tcW w:type="dxa" w:w="1260"/>
            <w:vAlign w:val="center"/>
          </w:tcPr>
          <w:p>
            <w:r/>
            <w:r>
              <w:rPr>
                <w:rFonts w:ascii="Times New Roman" w:hAnsi="Times New Roman"/>
                <w:b w:val="0"/>
                <w:sz w:val="15"/>
              </w:rPr>
              <w:t>3497.91</w:t>
            </w:r>
          </w:p>
        </w:tc>
        <w:tc>
          <w:tcPr>
            <w:tcW w:type="dxa" w:w="1260"/>
            <w:vAlign w:val="center"/>
          </w:tcPr>
          <w:p>
            <w:r/>
            <w:r>
              <w:rPr>
                <w:rFonts w:ascii="Times New Roman" w:hAnsi="Times New Roman"/>
                <w:b w:val="0"/>
                <w:sz w:val="15"/>
              </w:rPr>
              <w:t>7</w:t>
            </w:r>
          </w:p>
        </w:tc>
        <w:tc>
          <w:tcPr>
            <w:tcW w:type="dxa" w:w="1260"/>
            <w:vAlign w:val="center"/>
          </w:tcPr>
          <w:p>
            <w:r/>
            <w:r>
              <w:rPr>
                <w:rFonts w:ascii="Times New Roman" w:hAnsi="Times New Roman"/>
                <w:b w:val="0"/>
                <w:sz w:val="15"/>
              </w:rPr>
              <w:t>3</w:t>
            </w:r>
          </w:p>
        </w:tc>
      </w:tr>
    </w:tbl>
    <w:p>
      <w:r>
        <w:t>Within the present experiment, DNN is the accuracy and macro-F1 leader. The Transformer is third by macro-F1 and seventh by accuracy, but it has the highest macro precision and macro recall among the listed models. Therefore, the Transformer should be described as a competitive attention-based model rather than the SOTA accuracy model.</w:t>
      </w:r>
    </w:p>
    <w:p>
      <w:r>
        <w:t>The workbook also records important experimental caveats: one run per model, no fixed random seed for model weights, different epoch budgets, early stopping applied only to selected models, CPU-only training, no inference-latency measurement, and incomplete LSTM training logs. GRU and Transformer reached their epoch limits while validation loss was still falling. Consequently, small differences of one or two percentage points should not be treated as statistically established architectural advantages.</w:t>
      </w:r>
    </w:p>
    <w:p>
      <w:pPr>
        <w:pStyle w:val="Heading1"/>
      </w:pPr>
      <w:r>
        <w:t>10. Per-Class and Metric-Level Interpretation</w:t>
      </w:r>
    </w:p>
    <w:p>
      <w:r>
        <w:t>The workbook's own results show why macro metrics matter. The Transformer obtains high performance on some classes while remaining weak on others. In the recorded classification report, Mirai reaches an F1 of 1.00, while BruteForce and Web-based are much weaker. This produces a macro-F1 of 0.6263 despite an overall accuracy of 72.53%. The same principle explains why studies reporting 99% accuracy without macro/per-class results cannot automatically be considered stronger than a lower-accuracy study that evaluates all classes under natural imbalance.</w:t>
      </w:r>
    </w:p>
    <w:p>
      <w:pPr>
        <w:pStyle w:val="Heading1"/>
      </w:pPr>
      <w:r>
        <w:t>11. Areas Where No SOTA Is Established</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AF7"/>
          </w:tcPr>
          <w:p>
            <w:r/>
            <w:r>
              <w:rPr>
                <w:rFonts w:ascii="Times New Roman" w:hAnsi="Times New Roman"/>
                <w:b/>
                <w:sz w:val="15"/>
              </w:rPr>
              <w:t>Capability</w:t>
            </w:r>
          </w:p>
        </w:tc>
        <w:tc>
          <w:tcPr>
            <w:tcW w:type="dxa" w:w="3360"/>
            <w:vAlign w:val="center"/>
            <w:shd w:fill="D9EAF7"/>
          </w:tcPr>
          <w:p>
            <w:r/>
            <w:r>
              <w:rPr>
                <w:rFonts w:ascii="Times New Roman" w:hAnsi="Times New Roman"/>
                <w:b/>
                <w:sz w:val="15"/>
              </w:rPr>
              <w:t>Evidence in corpus</w:t>
            </w:r>
          </w:p>
        </w:tc>
        <w:tc>
          <w:tcPr>
            <w:tcW w:type="dxa" w:w="3360"/>
            <w:vAlign w:val="center"/>
            <w:shd w:fill="D9EAF7"/>
          </w:tcPr>
          <w:p>
            <w:r/>
            <w:r>
              <w:rPr>
                <w:rFonts w:ascii="Times New Roman" w:hAnsi="Times New Roman"/>
                <w:b/>
                <w:sz w:val="15"/>
              </w:rPr>
              <w:t>SOTA status</w:t>
            </w:r>
          </w:p>
        </w:tc>
      </w:tr>
      <w:tr>
        <w:tc>
          <w:tcPr>
            <w:tcW w:type="dxa" w:w="3360"/>
            <w:vAlign w:val="center"/>
          </w:tcPr>
          <w:p>
            <w:r/>
            <w:r>
              <w:rPr>
                <w:rFonts w:ascii="Times New Roman" w:hAnsi="Times New Roman"/>
                <w:b w:val="0"/>
                <w:sz w:val="15"/>
              </w:rPr>
              <w:t>Explainability</w:t>
            </w:r>
          </w:p>
        </w:tc>
        <w:tc>
          <w:tcPr>
            <w:tcW w:type="dxa" w:w="3360"/>
            <w:vAlign w:val="center"/>
          </w:tcPr>
          <w:p>
            <w:r/>
            <w:r>
              <w:rPr>
                <w:rFonts w:ascii="Times New Roman" w:hAnsi="Times New Roman"/>
                <w:b w:val="0"/>
                <w:sz w:val="15"/>
              </w:rPr>
              <w:t>SHAP/LIME used (Imran et al.; Hajjouz &amp; Avksentieva). Top features differ between studies: flow duration, packet rate, bytes/s vs IAT, SYN flag count, total size</w:t>
            </w:r>
          </w:p>
        </w:tc>
        <w:tc>
          <w:tcPr>
            <w:tcW w:type="dxa" w:w="3360"/>
            <w:vAlign w:val="center"/>
          </w:tcPr>
          <w:p>
            <w:r/>
            <w:r>
              <w:rPr>
                <w:rFonts w:ascii="Times New Roman" w:hAnsi="Times New Roman"/>
                <w:b w:val="0"/>
                <w:sz w:val="15"/>
              </w:rPr>
              <w:t>Qualitative only; no fidelity or stability numbers</w:t>
            </w:r>
          </w:p>
        </w:tc>
      </w:tr>
      <w:tr>
        <w:tc>
          <w:tcPr>
            <w:tcW w:type="dxa" w:w="3360"/>
            <w:vAlign w:val="center"/>
          </w:tcPr>
          <w:p>
            <w:r/>
            <w:r>
              <w:rPr>
                <w:rFonts w:ascii="Times New Roman" w:hAnsi="Times New Roman"/>
                <w:b w:val="0"/>
                <w:sz w:val="15"/>
              </w:rPr>
              <w:t>Adversarial robustness</w:t>
            </w:r>
          </w:p>
        </w:tc>
        <w:tc>
          <w:tcPr>
            <w:tcW w:type="dxa" w:w="3360"/>
            <w:vAlign w:val="center"/>
          </w:tcPr>
          <w:p>
            <w:r/>
            <w:r>
              <w:rPr>
                <w:rFonts w:ascii="Times New Roman" w:hAnsi="Times New Roman"/>
                <w:b w:val="0"/>
                <w:sz w:val="15"/>
              </w:rPr>
              <w:t>Under 5% of 216 robustness studies use CICIoT2023 (Winanto &amp; Idris, 2026); about 4% of ML-IDS papers test robustness (Ahmed et al., 2026)</w:t>
            </w:r>
          </w:p>
        </w:tc>
        <w:tc>
          <w:tcPr>
            <w:tcW w:type="dxa" w:w="3360"/>
            <w:vAlign w:val="center"/>
          </w:tcPr>
          <w:p>
            <w:r/>
            <w:r>
              <w:rPr>
                <w:rFonts w:ascii="Times New Roman" w:hAnsi="Times New Roman"/>
                <w:b w:val="0"/>
                <w:sz w:val="15"/>
              </w:rPr>
              <w:t>No CICIoT2023 result here is robustness-tested</w:t>
            </w:r>
          </w:p>
        </w:tc>
      </w:tr>
      <w:tr>
        <w:tc>
          <w:tcPr>
            <w:tcW w:type="dxa" w:w="3360"/>
            <w:vAlign w:val="center"/>
          </w:tcPr>
          <w:p>
            <w:r/>
            <w:r>
              <w:rPr>
                <w:rFonts w:ascii="Times New Roman" w:hAnsi="Times New Roman"/>
                <w:b w:val="0"/>
                <w:sz w:val="15"/>
              </w:rPr>
              <w:t>Federated, privacy-preserving training</w:t>
            </w:r>
          </w:p>
        </w:tc>
        <w:tc>
          <w:tcPr>
            <w:tcW w:type="dxa" w:w="3360"/>
            <w:vAlign w:val="center"/>
          </w:tcPr>
          <w:p>
            <w:r/>
            <w:r>
              <w:rPr>
                <w:rFonts w:ascii="Times New Roman" w:hAnsi="Times New Roman"/>
                <w:b w:val="0"/>
                <w:sz w:val="15"/>
              </w:rPr>
              <w:t>Federated stage of Mishra &amp; Reddy not yet run; most FL-IDS work stops at data locality (Bunko et al., 2026)</w:t>
            </w:r>
          </w:p>
        </w:tc>
        <w:tc>
          <w:tcPr>
            <w:tcW w:type="dxa" w:w="3360"/>
            <w:vAlign w:val="center"/>
          </w:tcPr>
          <w:p>
            <w:r/>
            <w:r>
              <w:rPr>
                <w:rFonts w:ascii="Times New Roman" w:hAnsi="Times New Roman"/>
                <w:b w:val="0"/>
                <w:sz w:val="15"/>
              </w:rPr>
              <w:t>No validated result</w:t>
            </w:r>
          </w:p>
        </w:tc>
      </w:tr>
      <w:tr>
        <w:tc>
          <w:tcPr>
            <w:tcW w:type="dxa" w:w="3360"/>
            <w:vAlign w:val="center"/>
          </w:tcPr>
          <w:p>
            <w:r/>
            <w:r>
              <w:rPr>
                <w:rFonts w:ascii="Times New Roman" w:hAnsi="Times New Roman"/>
                <w:b w:val="0"/>
                <w:sz w:val="15"/>
              </w:rPr>
              <w:t>Production or streaming validation</w:t>
            </w:r>
          </w:p>
        </w:tc>
        <w:tc>
          <w:tcPr>
            <w:tcW w:type="dxa" w:w="3360"/>
            <w:vAlign w:val="center"/>
          </w:tcPr>
          <w:p>
            <w:r/>
            <w:r>
              <w:rPr>
                <w:rFonts w:ascii="Times New Roman" w:hAnsi="Times New Roman"/>
                <w:b w:val="0"/>
                <w:sz w:val="15"/>
              </w:rPr>
              <w:t>None of 125 reviewed ML-IDS papers validates in production (Ahmed et al., 2026)</w:t>
            </w:r>
          </w:p>
        </w:tc>
        <w:tc>
          <w:tcPr>
            <w:tcW w:type="dxa" w:w="3360"/>
            <w:vAlign w:val="center"/>
          </w:tcPr>
          <w:p>
            <w:r/>
            <w:r>
              <w:rPr>
                <w:rFonts w:ascii="Times New Roman" w:hAnsi="Times New Roman"/>
                <w:b w:val="0"/>
                <w:sz w:val="15"/>
              </w:rPr>
              <w:t>No result</w:t>
            </w:r>
          </w:p>
        </w:tc>
      </w:tr>
      <w:tr>
        <w:tc>
          <w:tcPr>
            <w:tcW w:type="dxa" w:w="3360"/>
            <w:vAlign w:val="center"/>
          </w:tcPr>
          <w:p>
            <w:r/>
            <w:r>
              <w:rPr>
                <w:rFonts w:ascii="Times New Roman" w:hAnsi="Times New Roman"/>
                <w:b w:val="0"/>
                <w:sz w:val="15"/>
              </w:rPr>
              <w:t>Cross-dataset generalisation</w:t>
            </w:r>
          </w:p>
        </w:tc>
        <w:tc>
          <w:tcPr>
            <w:tcW w:type="dxa" w:w="3360"/>
            <w:vAlign w:val="center"/>
          </w:tcPr>
          <w:p>
            <w:r/>
            <w:r>
              <w:rPr>
                <w:rFonts w:ascii="Times New Roman" w:hAnsi="Times New Roman"/>
                <w:b w:val="0"/>
                <w:sz w:val="15"/>
              </w:rPr>
              <w:t>Best method changes by dataset; real-traffic LITNET scores lowest (Mondragon et al., 2025)</w:t>
            </w:r>
          </w:p>
        </w:tc>
        <w:tc>
          <w:tcPr>
            <w:tcW w:type="dxa" w:w="3360"/>
            <w:vAlign w:val="center"/>
          </w:tcPr>
          <w:p>
            <w:r/>
            <w:r>
              <w:rPr>
                <w:rFonts w:ascii="Times New Roman" w:hAnsi="Times New Roman"/>
                <w:b w:val="0"/>
                <w:sz w:val="15"/>
              </w:rPr>
              <w:t>Evidence against a universal best model</w:t>
            </w:r>
          </w:p>
        </w:tc>
      </w:tr>
    </w:tbl>
    <w:p>
      <w:r>
        <w:t>These gaps are central to the interpretation of SOTA. A model cannot reasonably be described as state of the art for robust real-world IoT IDS if it has not been tested for adversarial robustness, cross-dataset generalisation, deployment conditions, or explanation stability. The workbook explicitly records that none of these dimensions has a validated result in the corpus.</w:t>
      </w:r>
    </w:p>
    <w:p>
      <w:pPr>
        <w:pStyle w:val="Heading1"/>
      </w:pPr>
      <w:r>
        <w:t>12. Research Gap and Opportunity</w:t>
      </w:r>
    </w:p>
    <w:p>
      <w:r>
        <w:t>The strongest research opportunity is not simply to build a larger neural network. The evidence suggests a need for a reproducible, multi-dimensional benchmark that evaluates predictive performance, class fairness, robustness, explainability, computational cost, and transferability together.</w:t>
      </w:r>
    </w:p>
    <w:p>
      <w:r>
        <w:t>• Standardise label sets and report task granularity explicitly.</w:t>
      </w:r>
    </w:p>
    <w:p>
      <w:r>
        <w:t>• Use natural-distribution test sets whenever the objective is realistic deployment; if undersampling is used, report it separately.</w:t>
      </w:r>
    </w:p>
    <w:p>
      <w:r>
        <w:t>• Report accuracy together with macro precision, macro recall, macro-F1, per-class F1, and preferably MCC or AUC-PR.</w:t>
      </w:r>
    </w:p>
    <w:p>
      <w:r>
        <w:t>• Run multiple seeds or repeated trials so small model differences are not over-interpreted.</w:t>
      </w:r>
    </w:p>
    <w:p>
      <w:r>
        <w:t>• Include strong tree-based baselines because CICIoT2023 flow data are tabular.</w:t>
      </w:r>
    </w:p>
    <w:p>
      <w:r>
        <w:t>• Measure inference latency and memory, not only training time.</w:t>
      </w:r>
    </w:p>
    <w:p>
      <w:r>
        <w:t>• Evaluate adversarial robustness and explainability quantitatively.</w:t>
      </w:r>
    </w:p>
    <w:p>
      <w:r>
        <w:t>• Test cross-dataset generalisation and, where possible, real traffic.</w:t>
      </w:r>
    </w:p>
    <w:p>
      <w:r>
        <w:t>• Assess federated/privacy-preserving variants with actual executed experiments rather than planned architectures.</w:t>
      </w:r>
    </w:p>
    <w:p>
      <w:pPr>
        <w:pStyle w:val="Heading1"/>
      </w:pPr>
      <w:r>
        <w:t>13. SOTA Positioning Statement for the Present Project</w:t>
      </w:r>
    </w:p>
    <w:p>
      <w:r>
        <w:t>Based strictly on the supplied SOTA workbook, the present project should not claim that its Transformer is the state-of-the-art model by accuracy. The strongest defensible statement is: "The study evaluates contemporary deep-learning architectures on an eight-class CICIoT2023 setting and compares them with the literature's reported SOTA results under explicitly documented task and distribution differences. The DNN achieves the highest accuracy and macro-F1 within the proposed experimental comparison, while the Transformer provides competitive macro precision and recall. The study therefore contributes a transparent comparative benchmark rather than an unsupported claim of universal SOTA superiority."</w:t>
      </w:r>
    </w:p>
    <w:p>
      <w:r>
        <w:t>For a formal paper, the term 'SOTA' should be used with a qualifier such as 'reported SOTA under the corresponding task and evaluation protocol' rather than as a universal ranking.</w:t>
      </w:r>
    </w:p>
    <w:p>
      <w:pPr>
        <w:pStyle w:val="Heading1"/>
      </w:pPr>
      <w:r>
        <w:t>14. Limitations of This SOTA Analysis</w:t>
      </w:r>
    </w:p>
    <w:p>
      <w:r>
        <w:t>This document is grounded in the supplied workbook and therefore inherits its evidence boundaries. The corpus is not an exhaustive search of every IoT IDS publication. Some results are reported as lower bounds, ranges, or statements such as 'above 85%'. Some studies do not report macro-F1 or per-class results. Efficiency measures use different units and measurement bases. The present experiment is a single run and does not include a tree-based baseline or inference-latency measurement. These limitations prevent a statistically rigorous universal ranking and are part of the reason the analysis separates task-specific SOTA from overall claims.</w:t>
      </w:r>
    </w:p>
    <w:p>
      <w:pPr>
        <w:pStyle w:val="Heading1"/>
      </w:pPr>
      <w:r>
        <w:t>15. Conclusion</w:t>
      </w:r>
    </w:p>
    <w:p>
      <w:r>
        <w:t>The SOTA landscape for IoT intrusion detection is heterogeneous. Reported accuracy above 99% is achievable, particularly with boosted trees, CNN/LSTM hybrids, and selected ensemble configurations, but these results often involve task restrictions, undersampling, subsets, or incomplete reporting. The strongest evidence for real-traffic comparability is therefore not necessarily the highest accuracy number.</w:t>
      </w:r>
    </w:p>
    <w:p>
      <w:r>
        <w:t>For CICIoT2023, the evidence supports a task-specific view of SOTA. CatBoost and gradient-boosting methods provide extremely strong results under their respective configurations, while recurrent and hybrid deep models also achieve high reported accuracy. The present eight-class natural-distribution experiment is deliberately more conservative: its DNN reaches 75.44% accuracy and 63.46% macro-F1, while its Transformer reaches 72.53% accuracy and 62.63% macro-F1 with higher macro precision and recall. This is a valid research result even though it is not the highest headline accuracy in the literature.</w:t>
      </w:r>
    </w:p>
    <w:p>
      <w:r>
        <w:t>The most important SOTA gap is therefore methodological: the field needs common, reproducible evaluation across natural distributions, rare classes, multiple datasets, robustness, explainability, and deployment cost. A study that reports these dimensions transparently can make a stronger scientific contribution than one that reports a single higher accuracy number under a less comparable setup.</w:t>
      </w:r>
    </w:p>
    <w:p>
      <w:pPr>
        <w:pStyle w:val="Heading1"/>
      </w:pPr>
      <w:r>
        <w:t>Appendix A. Corpus Overview</w:t>
      </w:r>
    </w:p>
    <w:tbl>
      <w:tblPr>
        <w:tblStyle w:val="TableGrid"/>
        <w:tblW w:type="auto" w:w="0"/>
        <w:jc w:val="center"/>
        <w:tblLook w:firstColumn="1" w:firstRow="1" w:lastColumn="0" w:lastRow="0" w:noHBand="0" w:noVBand="1" w:val="04A0"/>
      </w:tblPr>
      <w:tblGrid>
        <w:gridCol w:w="1680"/>
        <w:gridCol w:w="1680"/>
        <w:gridCol w:w="1680"/>
        <w:gridCol w:w="1680"/>
        <w:gridCol w:w="1680"/>
        <w:gridCol w:w="1680"/>
      </w:tblGrid>
      <w:tr>
        <w:tc>
          <w:tcPr>
            <w:tcW w:type="dxa" w:w="1680"/>
            <w:vAlign w:val="center"/>
            <w:shd w:fill="D9EAF7"/>
          </w:tcPr>
          <w:p>
            <w:r/>
            <w:r>
              <w:rPr>
                <w:rFonts w:ascii="Times New Roman" w:hAnsi="Times New Roman"/>
                <w:b/>
                <w:sz w:val="13"/>
              </w:rPr>
              <w:t>#</w:t>
            </w:r>
          </w:p>
        </w:tc>
        <w:tc>
          <w:tcPr>
            <w:tcW w:type="dxa" w:w="1680"/>
            <w:vAlign w:val="center"/>
            <w:shd w:fill="D9EAF7"/>
          </w:tcPr>
          <w:p>
            <w:r/>
            <w:r>
              <w:rPr>
                <w:rFonts w:ascii="Times New Roman" w:hAnsi="Times New Roman"/>
                <w:b/>
                <w:sz w:val="13"/>
              </w:rPr>
              <w:t>Study</w:t>
            </w:r>
          </w:p>
        </w:tc>
        <w:tc>
          <w:tcPr>
            <w:tcW w:type="dxa" w:w="1680"/>
            <w:vAlign w:val="center"/>
            <w:shd w:fill="D9EAF7"/>
          </w:tcPr>
          <w:p>
            <w:r/>
            <w:r>
              <w:rPr>
                <w:rFonts w:ascii="Times New Roman" w:hAnsi="Times New Roman"/>
                <w:b/>
                <w:sz w:val="13"/>
              </w:rPr>
              <w:t>Type</w:t>
            </w:r>
          </w:p>
        </w:tc>
        <w:tc>
          <w:tcPr>
            <w:tcW w:type="dxa" w:w="1680"/>
            <w:vAlign w:val="center"/>
            <w:shd w:fill="D9EAF7"/>
          </w:tcPr>
          <w:p>
            <w:r/>
            <w:r>
              <w:rPr>
                <w:rFonts w:ascii="Times New Roman" w:hAnsi="Times New Roman"/>
                <w:b/>
                <w:sz w:val="13"/>
              </w:rPr>
              <w:t>Data</w:t>
            </w:r>
          </w:p>
        </w:tc>
        <w:tc>
          <w:tcPr>
            <w:tcW w:type="dxa" w:w="1680"/>
            <w:vAlign w:val="center"/>
            <w:shd w:fill="D9EAF7"/>
          </w:tcPr>
          <w:p>
            <w:r/>
            <w:r>
              <w:rPr>
                <w:rFonts w:ascii="Times New Roman" w:hAnsi="Times New Roman"/>
                <w:b/>
                <w:sz w:val="13"/>
              </w:rPr>
              <w:t>Main focus</w:t>
            </w:r>
          </w:p>
        </w:tc>
        <w:tc>
          <w:tcPr>
            <w:tcW w:type="dxa" w:w="1680"/>
            <w:vAlign w:val="center"/>
            <w:shd w:fill="D9EAF7"/>
          </w:tcPr>
          <w:p>
            <w:r/>
            <w:r>
              <w:rPr>
                <w:rFonts w:ascii="Times New Roman" w:hAnsi="Times New Roman"/>
                <w:b/>
                <w:sz w:val="13"/>
              </w:rPr>
              <w:t>CICIoT2023?</w:t>
            </w:r>
          </w:p>
        </w:tc>
      </w:tr>
      <w:tr>
        <w:tc>
          <w:tcPr>
            <w:tcW w:type="dxa" w:w="1680"/>
            <w:vAlign w:val="center"/>
          </w:tcPr>
          <w:p>
            <w:r/>
            <w:r>
              <w:rPr>
                <w:rFonts w:ascii="Times New Roman" w:hAnsi="Times New Roman"/>
                <w:b w:val="0"/>
                <w:sz w:val="13"/>
              </w:rPr>
              <w:t>1</w:t>
            </w:r>
          </w:p>
        </w:tc>
        <w:tc>
          <w:tcPr>
            <w:tcW w:type="dxa" w:w="1680"/>
            <w:vAlign w:val="center"/>
          </w:tcPr>
          <w:p>
            <w:r/>
            <w:r>
              <w:rPr>
                <w:rFonts w:ascii="Times New Roman" w:hAnsi="Times New Roman"/>
                <w:b w:val="0"/>
                <w:sz w:val="13"/>
              </w:rPr>
              <w:t>Poltoratskyi &amp; Gavrylenko (2026)</w:t>
            </w:r>
          </w:p>
        </w:tc>
        <w:tc>
          <w:tcPr>
            <w:tcW w:type="dxa" w:w="1680"/>
            <w:vAlign w:val="center"/>
          </w:tcPr>
          <w:p>
            <w:r/>
            <w:r>
              <w:rPr>
                <w:rFonts w:ascii="Times New Roman" w:hAnsi="Times New Roman"/>
                <w:b w:val="0"/>
                <w:sz w:val="13"/>
              </w:rPr>
              <w:t>Review</w:t>
            </w:r>
          </w:p>
        </w:tc>
        <w:tc>
          <w:tcPr>
            <w:tcW w:type="dxa" w:w="1680"/>
            <w:vAlign w:val="center"/>
          </w:tcPr>
          <w:p>
            <w:r/>
            <w:r>
              <w:rPr>
                <w:rFonts w:ascii="Times New Roman" w:hAnsi="Times New Roman"/>
                <w:b w:val="0"/>
                <w:sz w:val="13"/>
              </w:rPr>
              <w:t>Many datasets</w:t>
            </w:r>
          </w:p>
        </w:tc>
        <w:tc>
          <w:tcPr>
            <w:tcW w:type="dxa" w:w="1680"/>
            <w:vAlign w:val="center"/>
          </w:tcPr>
          <w:p>
            <w:r/>
            <w:r>
              <w:rPr>
                <w:rFonts w:ascii="Times New Roman" w:hAnsi="Times New Roman"/>
                <w:b w:val="0"/>
                <w:sz w:val="13"/>
              </w:rPr>
              <w:t>IDS evolution, taxonomy, datasets, metrics</w:t>
            </w:r>
          </w:p>
        </w:tc>
        <w:tc>
          <w:tcPr>
            <w:tcW w:type="dxa" w:w="1680"/>
            <w:vAlign w:val="center"/>
          </w:tcPr>
          <w:p>
            <w:r/>
            <w:r>
              <w:rPr>
                <w:rFonts w:ascii="Times New Roman" w:hAnsi="Times New Roman"/>
                <w:b w:val="0"/>
                <w:sz w:val="13"/>
              </w:rPr>
              <w:t>Discussed</w:t>
            </w:r>
          </w:p>
        </w:tc>
      </w:tr>
      <w:tr>
        <w:tc>
          <w:tcPr>
            <w:tcW w:type="dxa" w:w="1680"/>
            <w:vAlign w:val="center"/>
          </w:tcPr>
          <w:p>
            <w:r/>
            <w:r>
              <w:rPr>
                <w:rFonts w:ascii="Times New Roman" w:hAnsi="Times New Roman"/>
                <w:b w:val="0"/>
                <w:sz w:val="13"/>
              </w:rPr>
              <w:t>2</w:t>
            </w:r>
          </w:p>
        </w:tc>
        <w:tc>
          <w:tcPr>
            <w:tcW w:type="dxa" w:w="1680"/>
            <w:vAlign w:val="center"/>
          </w:tcPr>
          <w:p>
            <w:r/>
            <w:r>
              <w:rPr>
                <w:rFonts w:ascii="Times New Roman" w:hAnsi="Times New Roman"/>
                <w:b w:val="0"/>
                <w:sz w:val="13"/>
              </w:rPr>
              <w:t>Rivandi &amp; Oskouei (2025)</w:t>
            </w:r>
          </w:p>
        </w:tc>
        <w:tc>
          <w:tcPr>
            <w:tcW w:type="dxa" w:w="1680"/>
            <w:vAlign w:val="center"/>
          </w:tcPr>
          <w:p>
            <w:r/>
            <w:r>
              <w:rPr>
                <w:rFonts w:ascii="Times New Roman" w:hAnsi="Times New Roman"/>
                <w:b w:val="0"/>
                <w:sz w:val="13"/>
              </w:rPr>
              <w:t>Experimental</w:t>
            </w:r>
          </w:p>
        </w:tc>
        <w:tc>
          <w:tcPr>
            <w:tcW w:type="dxa" w:w="1680"/>
            <w:vAlign w:val="center"/>
          </w:tcPr>
          <w:p>
            <w:r/>
            <w:r>
              <w:rPr>
                <w:rFonts w:ascii="Times New Roman" w:hAnsi="Times New Roman"/>
                <w:b w:val="0"/>
                <w:sz w:val="13"/>
              </w:rPr>
              <w:t>NS2 simulation</w:t>
            </w:r>
          </w:p>
        </w:tc>
        <w:tc>
          <w:tcPr>
            <w:tcW w:type="dxa" w:w="1680"/>
            <w:vAlign w:val="center"/>
          </w:tcPr>
          <w:p>
            <w:r/>
            <w:r>
              <w:rPr>
                <w:rFonts w:ascii="Times New Roman" w:hAnsi="Times New Roman"/>
                <w:b w:val="0"/>
                <w:sz w:val="13"/>
              </w:rPr>
              <w:t>Social-network IDS for ad hoc networks</w:t>
            </w:r>
          </w:p>
        </w:tc>
        <w:tc>
          <w:tcPr>
            <w:tcW w:type="dxa" w:w="1680"/>
            <w:vAlign w:val="center"/>
          </w:tcPr>
          <w:p>
            <w:r/>
            <w:r>
              <w:rPr>
                <w:rFonts w:ascii="Times New Roman" w:hAnsi="Times New Roman"/>
                <w:b w:val="0"/>
                <w:sz w:val="13"/>
              </w:rPr>
              <w:t>No</w:t>
            </w:r>
          </w:p>
        </w:tc>
      </w:tr>
      <w:tr>
        <w:tc>
          <w:tcPr>
            <w:tcW w:type="dxa" w:w="1680"/>
            <w:vAlign w:val="center"/>
          </w:tcPr>
          <w:p>
            <w:r/>
            <w:r>
              <w:rPr>
                <w:rFonts w:ascii="Times New Roman" w:hAnsi="Times New Roman"/>
                <w:b w:val="0"/>
                <w:sz w:val="13"/>
              </w:rPr>
              <w:t>3</w:t>
            </w:r>
          </w:p>
        </w:tc>
        <w:tc>
          <w:tcPr>
            <w:tcW w:type="dxa" w:w="1680"/>
            <w:vAlign w:val="center"/>
          </w:tcPr>
          <w:p>
            <w:r/>
            <w:r>
              <w:rPr>
                <w:rFonts w:ascii="Times New Roman" w:hAnsi="Times New Roman"/>
                <w:b w:val="0"/>
                <w:sz w:val="13"/>
              </w:rPr>
              <w:t>Meena &amp; Indian (2025)</w:t>
            </w:r>
          </w:p>
        </w:tc>
        <w:tc>
          <w:tcPr>
            <w:tcW w:type="dxa" w:w="1680"/>
            <w:vAlign w:val="center"/>
          </w:tcPr>
          <w:p>
            <w:r/>
            <w:r>
              <w:rPr>
                <w:rFonts w:ascii="Times New Roman" w:hAnsi="Times New Roman"/>
                <w:b w:val="0"/>
                <w:sz w:val="13"/>
              </w:rPr>
              <w:t>Experimental</w:t>
            </w:r>
          </w:p>
        </w:tc>
        <w:tc>
          <w:tcPr>
            <w:tcW w:type="dxa" w:w="1680"/>
            <w:vAlign w:val="center"/>
          </w:tcPr>
          <w:p>
            <w:r/>
            <w:r>
              <w:rPr>
                <w:rFonts w:ascii="Times New Roman" w:hAnsi="Times New Roman"/>
                <w:b w:val="0"/>
                <w:sz w:val="13"/>
              </w:rPr>
              <w:t>KDD'99, NSL-KDD, UNSW-NB15, CICIoT2023</w:t>
            </w:r>
          </w:p>
        </w:tc>
        <w:tc>
          <w:tcPr>
            <w:tcW w:type="dxa" w:w="1680"/>
            <w:vAlign w:val="center"/>
          </w:tcPr>
          <w:p>
            <w:r/>
            <w:r>
              <w:rPr>
                <w:rFonts w:ascii="Times New Roman" w:hAnsi="Times New Roman"/>
                <w:b w:val="0"/>
                <w:sz w:val="13"/>
              </w:rPr>
              <w:t>Enhanced LSTM</w:t>
            </w:r>
          </w:p>
        </w:tc>
        <w:tc>
          <w:tcPr>
            <w:tcW w:type="dxa" w:w="1680"/>
            <w:vAlign w:val="center"/>
          </w:tcPr>
          <w:p>
            <w:r/>
            <w:r>
              <w:rPr>
                <w:rFonts w:ascii="Times New Roman" w:hAnsi="Times New Roman"/>
                <w:b w:val="0"/>
                <w:sz w:val="13"/>
              </w:rPr>
              <w:t>Yes</w:t>
            </w:r>
          </w:p>
        </w:tc>
      </w:tr>
      <w:tr>
        <w:tc>
          <w:tcPr>
            <w:tcW w:type="dxa" w:w="1680"/>
            <w:vAlign w:val="center"/>
          </w:tcPr>
          <w:p>
            <w:r/>
            <w:r>
              <w:rPr>
                <w:rFonts w:ascii="Times New Roman" w:hAnsi="Times New Roman"/>
                <w:b w:val="0"/>
                <w:sz w:val="13"/>
              </w:rPr>
              <w:t>4</w:t>
            </w:r>
          </w:p>
        </w:tc>
        <w:tc>
          <w:tcPr>
            <w:tcW w:type="dxa" w:w="1680"/>
            <w:vAlign w:val="center"/>
          </w:tcPr>
          <w:p>
            <w:r/>
            <w:r>
              <w:rPr>
                <w:rFonts w:ascii="Times New Roman" w:hAnsi="Times New Roman"/>
                <w:b w:val="0"/>
                <w:sz w:val="13"/>
              </w:rPr>
              <w:t>Kwari &amp; Rajkumar (2025)</w:t>
            </w:r>
          </w:p>
        </w:tc>
        <w:tc>
          <w:tcPr>
            <w:tcW w:type="dxa" w:w="1680"/>
            <w:vAlign w:val="center"/>
          </w:tcPr>
          <w:p>
            <w:r/>
            <w:r>
              <w:rPr>
                <w:rFonts w:ascii="Times New Roman" w:hAnsi="Times New Roman"/>
                <w:b w:val="0"/>
                <w:sz w:val="13"/>
              </w:rPr>
              <w:t>Experimental</w:t>
            </w:r>
          </w:p>
        </w:tc>
        <w:tc>
          <w:tcPr>
            <w:tcW w:type="dxa" w:w="1680"/>
            <w:vAlign w:val="center"/>
          </w:tcPr>
          <w:p>
            <w:r/>
            <w:r>
              <w:rPr>
                <w:rFonts w:ascii="Times New Roman" w:hAnsi="Times New Roman"/>
                <w:b w:val="0"/>
                <w:sz w:val="13"/>
              </w:rPr>
              <w:t>CICIoT2023</w:t>
            </w:r>
          </w:p>
        </w:tc>
        <w:tc>
          <w:tcPr>
            <w:tcW w:type="dxa" w:w="1680"/>
            <w:vAlign w:val="center"/>
          </w:tcPr>
          <w:p>
            <w:r/>
            <w:r>
              <w:rPr>
                <w:rFonts w:ascii="Times New Roman" w:hAnsi="Times New Roman"/>
                <w:b w:val="0"/>
                <w:sz w:val="13"/>
              </w:rPr>
              <w:t>Soft-voting ensemble, imbalance analysis</w:t>
            </w:r>
          </w:p>
        </w:tc>
        <w:tc>
          <w:tcPr>
            <w:tcW w:type="dxa" w:w="1680"/>
            <w:vAlign w:val="center"/>
          </w:tcPr>
          <w:p>
            <w:r/>
            <w:r>
              <w:rPr>
                <w:rFonts w:ascii="Times New Roman" w:hAnsi="Times New Roman"/>
                <w:b w:val="0"/>
                <w:sz w:val="13"/>
              </w:rPr>
              <w:t>Yes</w:t>
            </w:r>
          </w:p>
        </w:tc>
      </w:tr>
      <w:tr>
        <w:tc>
          <w:tcPr>
            <w:tcW w:type="dxa" w:w="1680"/>
            <w:vAlign w:val="center"/>
          </w:tcPr>
          <w:p>
            <w:r/>
            <w:r>
              <w:rPr>
                <w:rFonts w:ascii="Times New Roman" w:hAnsi="Times New Roman"/>
                <w:b w:val="0"/>
                <w:sz w:val="13"/>
              </w:rPr>
              <w:t>5</w:t>
            </w:r>
          </w:p>
        </w:tc>
        <w:tc>
          <w:tcPr>
            <w:tcW w:type="dxa" w:w="1680"/>
            <w:vAlign w:val="center"/>
          </w:tcPr>
          <w:p>
            <w:r/>
            <w:r>
              <w:rPr>
                <w:rFonts w:ascii="Times New Roman" w:hAnsi="Times New Roman"/>
                <w:b w:val="0"/>
                <w:sz w:val="13"/>
              </w:rPr>
              <w:t>Salakhutdinov (n.d.)</w:t>
            </w:r>
          </w:p>
        </w:tc>
        <w:tc>
          <w:tcPr>
            <w:tcW w:type="dxa" w:w="1680"/>
            <w:vAlign w:val="center"/>
          </w:tcPr>
          <w:p>
            <w:r/>
            <w:r>
              <w:rPr>
                <w:rFonts w:ascii="Times New Roman" w:hAnsi="Times New Roman"/>
                <w:b w:val="0"/>
                <w:sz w:val="13"/>
              </w:rPr>
              <w:t>Review</w:t>
            </w:r>
          </w:p>
        </w:tc>
        <w:tc>
          <w:tcPr>
            <w:tcW w:type="dxa" w:w="1680"/>
            <w:vAlign w:val="center"/>
          </w:tcPr>
          <w:p>
            <w:r/>
            <w:r>
              <w:rPr>
                <w:rFonts w:ascii="Times New Roman" w:hAnsi="Times New Roman"/>
                <w:b w:val="0"/>
                <w:sz w:val="13"/>
              </w:rPr>
              <w:t>IoT datasets</w:t>
            </w:r>
          </w:p>
        </w:tc>
        <w:tc>
          <w:tcPr>
            <w:tcW w:type="dxa" w:w="1680"/>
            <w:vAlign w:val="center"/>
          </w:tcPr>
          <w:p>
            <w:r/>
            <w:r>
              <w:rPr>
                <w:rFonts w:ascii="Times New Roman" w:hAnsi="Times New Roman"/>
                <w:b w:val="0"/>
                <w:sz w:val="13"/>
              </w:rPr>
              <w:t>Conceptual deployment framework</w:t>
            </w:r>
          </w:p>
        </w:tc>
        <w:tc>
          <w:tcPr>
            <w:tcW w:type="dxa" w:w="1680"/>
            <w:vAlign w:val="center"/>
          </w:tcPr>
          <w:p>
            <w:r/>
            <w:r>
              <w:rPr>
                <w:rFonts w:ascii="Times New Roman" w:hAnsi="Times New Roman"/>
                <w:b w:val="0"/>
                <w:sz w:val="13"/>
              </w:rPr>
              <w:t>Discussed</w:t>
            </w:r>
          </w:p>
        </w:tc>
      </w:tr>
      <w:tr>
        <w:tc>
          <w:tcPr>
            <w:tcW w:type="dxa" w:w="1680"/>
            <w:vAlign w:val="center"/>
          </w:tcPr>
          <w:p>
            <w:r/>
            <w:r>
              <w:rPr>
                <w:rFonts w:ascii="Times New Roman" w:hAnsi="Times New Roman"/>
                <w:b w:val="0"/>
                <w:sz w:val="13"/>
              </w:rPr>
              <w:t>6</w:t>
            </w:r>
          </w:p>
        </w:tc>
        <w:tc>
          <w:tcPr>
            <w:tcW w:type="dxa" w:w="1680"/>
            <w:vAlign w:val="center"/>
          </w:tcPr>
          <w:p>
            <w:r/>
            <w:r>
              <w:rPr>
                <w:rFonts w:ascii="Times New Roman" w:hAnsi="Times New Roman"/>
                <w:b w:val="0"/>
                <w:sz w:val="13"/>
              </w:rPr>
              <w:t>Imran et al. (2026)</w:t>
            </w:r>
          </w:p>
        </w:tc>
        <w:tc>
          <w:tcPr>
            <w:tcW w:type="dxa" w:w="1680"/>
            <w:vAlign w:val="center"/>
          </w:tcPr>
          <w:p>
            <w:r/>
            <w:r>
              <w:rPr>
                <w:rFonts w:ascii="Times New Roman" w:hAnsi="Times New Roman"/>
                <w:b w:val="0"/>
                <w:sz w:val="13"/>
              </w:rPr>
              <w:t>Experimental</w:t>
            </w:r>
          </w:p>
        </w:tc>
        <w:tc>
          <w:tcPr>
            <w:tcW w:type="dxa" w:w="1680"/>
            <w:vAlign w:val="center"/>
          </w:tcPr>
          <w:p>
            <w:r/>
            <w:r>
              <w:rPr>
                <w:rFonts w:ascii="Times New Roman" w:hAnsi="Times New Roman"/>
                <w:b w:val="0"/>
                <w:sz w:val="13"/>
              </w:rPr>
              <w:t>CICIoT2023, IoT-23</w:t>
            </w:r>
          </w:p>
        </w:tc>
        <w:tc>
          <w:tcPr>
            <w:tcW w:type="dxa" w:w="1680"/>
            <w:vAlign w:val="center"/>
          </w:tcPr>
          <w:p>
            <w:r/>
            <w:r>
              <w:rPr>
                <w:rFonts w:ascii="Times New Roman" w:hAnsi="Times New Roman"/>
                <w:b w:val="0"/>
                <w:sz w:val="13"/>
              </w:rPr>
              <w:t>Six models with SHAP and LIME</w:t>
            </w:r>
          </w:p>
        </w:tc>
        <w:tc>
          <w:tcPr>
            <w:tcW w:type="dxa" w:w="1680"/>
            <w:vAlign w:val="center"/>
          </w:tcPr>
          <w:p>
            <w:r/>
            <w:r>
              <w:rPr>
                <w:rFonts w:ascii="Times New Roman" w:hAnsi="Times New Roman"/>
                <w:b w:val="0"/>
                <w:sz w:val="13"/>
              </w:rPr>
              <w:t>Yes</w:t>
            </w:r>
          </w:p>
        </w:tc>
      </w:tr>
      <w:tr>
        <w:tc>
          <w:tcPr>
            <w:tcW w:type="dxa" w:w="1680"/>
            <w:vAlign w:val="center"/>
          </w:tcPr>
          <w:p>
            <w:r/>
            <w:r>
              <w:rPr>
                <w:rFonts w:ascii="Times New Roman" w:hAnsi="Times New Roman"/>
                <w:b w:val="0"/>
                <w:sz w:val="13"/>
              </w:rPr>
              <w:t>7</w:t>
            </w:r>
          </w:p>
        </w:tc>
        <w:tc>
          <w:tcPr>
            <w:tcW w:type="dxa" w:w="1680"/>
            <w:vAlign w:val="center"/>
          </w:tcPr>
          <w:p>
            <w:r/>
            <w:r>
              <w:rPr>
                <w:rFonts w:ascii="Times New Roman" w:hAnsi="Times New Roman"/>
                <w:b w:val="0"/>
                <w:sz w:val="13"/>
              </w:rPr>
              <w:t>Hajjouz &amp; Avksentieva (2024)</w:t>
            </w:r>
          </w:p>
        </w:tc>
        <w:tc>
          <w:tcPr>
            <w:tcW w:type="dxa" w:w="1680"/>
            <w:vAlign w:val="center"/>
          </w:tcPr>
          <w:p>
            <w:r/>
            <w:r>
              <w:rPr>
                <w:rFonts w:ascii="Times New Roman" w:hAnsi="Times New Roman"/>
                <w:b w:val="0"/>
                <w:sz w:val="13"/>
              </w:rPr>
              <w:t>Experimental</w:t>
            </w:r>
          </w:p>
        </w:tc>
        <w:tc>
          <w:tcPr>
            <w:tcW w:type="dxa" w:w="1680"/>
            <w:vAlign w:val="center"/>
          </w:tcPr>
          <w:p>
            <w:r/>
            <w:r>
              <w:rPr>
                <w:rFonts w:ascii="Times New Roman" w:hAnsi="Times New Roman"/>
                <w:b w:val="0"/>
                <w:sz w:val="13"/>
              </w:rPr>
              <w:t>CICIoT2023</w:t>
            </w:r>
          </w:p>
        </w:tc>
        <w:tc>
          <w:tcPr>
            <w:tcW w:type="dxa" w:w="1680"/>
            <w:vAlign w:val="center"/>
          </w:tcPr>
          <w:p>
            <w:r/>
            <w:r>
              <w:rPr>
                <w:rFonts w:ascii="Times New Roman" w:hAnsi="Times New Roman"/>
                <w:b w:val="0"/>
                <w:sz w:val="13"/>
              </w:rPr>
              <w:t>CatBoost, hierarchical feature selection</w:t>
            </w:r>
          </w:p>
        </w:tc>
        <w:tc>
          <w:tcPr>
            <w:tcW w:type="dxa" w:w="1680"/>
            <w:vAlign w:val="center"/>
          </w:tcPr>
          <w:p>
            <w:r/>
            <w:r>
              <w:rPr>
                <w:rFonts w:ascii="Times New Roman" w:hAnsi="Times New Roman"/>
                <w:b w:val="0"/>
                <w:sz w:val="13"/>
              </w:rPr>
              <w:t>Yes</w:t>
            </w:r>
          </w:p>
        </w:tc>
      </w:tr>
      <w:tr>
        <w:tc>
          <w:tcPr>
            <w:tcW w:type="dxa" w:w="1680"/>
            <w:vAlign w:val="center"/>
          </w:tcPr>
          <w:p>
            <w:r/>
            <w:r>
              <w:rPr>
                <w:rFonts w:ascii="Times New Roman" w:hAnsi="Times New Roman"/>
                <w:b w:val="0"/>
                <w:sz w:val="13"/>
              </w:rPr>
              <w:t>8</w:t>
            </w:r>
          </w:p>
        </w:tc>
        <w:tc>
          <w:tcPr>
            <w:tcW w:type="dxa" w:w="1680"/>
            <w:vAlign w:val="center"/>
          </w:tcPr>
          <w:p>
            <w:r/>
            <w:r>
              <w:rPr>
                <w:rFonts w:ascii="Times New Roman" w:hAnsi="Times New Roman"/>
                <w:b w:val="0"/>
                <w:sz w:val="13"/>
              </w:rPr>
              <w:t>Winanto &amp; Idris (2026)</w:t>
            </w:r>
          </w:p>
        </w:tc>
        <w:tc>
          <w:tcPr>
            <w:tcW w:type="dxa" w:w="1680"/>
            <w:vAlign w:val="center"/>
          </w:tcPr>
          <w:p>
            <w:r/>
            <w:r>
              <w:rPr>
                <w:rFonts w:ascii="Times New Roman" w:hAnsi="Times New Roman"/>
                <w:b w:val="0"/>
                <w:sz w:val="13"/>
              </w:rPr>
              <w:t>Systematic review</w:t>
            </w:r>
          </w:p>
        </w:tc>
        <w:tc>
          <w:tcPr>
            <w:tcW w:type="dxa" w:w="1680"/>
            <w:vAlign w:val="center"/>
          </w:tcPr>
          <w:p>
            <w:r/>
            <w:r>
              <w:rPr>
                <w:rFonts w:ascii="Times New Roman" w:hAnsi="Times New Roman"/>
                <w:b w:val="0"/>
                <w:sz w:val="13"/>
              </w:rPr>
              <w:t>216 studies</w:t>
            </w:r>
          </w:p>
        </w:tc>
        <w:tc>
          <w:tcPr>
            <w:tcW w:type="dxa" w:w="1680"/>
            <w:vAlign w:val="center"/>
          </w:tcPr>
          <w:p>
            <w:r/>
            <w:r>
              <w:rPr>
                <w:rFonts w:ascii="Times New Roman" w:hAnsi="Times New Roman"/>
                <w:b w:val="0"/>
                <w:sz w:val="13"/>
              </w:rPr>
              <w:t>Adversarial robustness of DL-IDS</w:t>
            </w:r>
          </w:p>
        </w:tc>
        <w:tc>
          <w:tcPr>
            <w:tcW w:type="dxa" w:w="1680"/>
            <w:vAlign w:val="center"/>
          </w:tcPr>
          <w:p>
            <w:r/>
            <w:r>
              <w:rPr>
                <w:rFonts w:ascii="Times New Roman" w:hAnsi="Times New Roman"/>
                <w:b w:val="0"/>
                <w:sz w:val="13"/>
              </w:rPr>
              <w:t>Discussed</w:t>
            </w:r>
          </w:p>
        </w:tc>
      </w:tr>
      <w:tr>
        <w:tc>
          <w:tcPr>
            <w:tcW w:type="dxa" w:w="1680"/>
            <w:vAlign w:val="center"/>
          </w:tcPr>
          <w:p>
            <w:r/>
            <w:r>
              <w:rPr>
                <w:rFonts w:ascii="Times New Roman" w:hAnsi="Times New Roman"/>
                <w:b w:val="0"/>
                <w:sz w:val="13"/>
              </w:rPr>
              <w:t>9</w:t>
            </w:r>
          </w:p>
        </w:tc>
        <w:tc>
          <w:tcPr>
            <w:tcW w:type="dxa" w:w="1680"/>
            <w:vAlign w:val="center"/>
          </w:tcPr>
          <w:p>
            <w:r/>
            <w:r>
              <w:rPr>
                <w:rFonts w:ascii="Times New Roman" w:hAnsi="Times New Roman"/>
                <w:b w:val="0"/>
                <w:sz w:val="13"/>
              </w:rPr>
              <w:t>Erskine (2025)</w:t>
            </w:r>
          </w:p>
        </w:tc>
        <w:tc>
          <w:tcPr>
            <w:tcW w:type="dxa" w:w="1680"/>
            <w:vAlign w:val="center"/>
          </w:tcPr>
          <w:p>
            <w:r/>
            <w:r>
              <w:rPr>
                <w:rFonts w:ascii="Times New Roman" w:hAnsi="Times New Roman"/>
                <w:b w:val="0"/>
                <w:sz w:val="13"/>
              </w:rPr>
              <w:t>Experimental</w:t>
            </w:r>
          </w:p>
        </w:tc>
        <w:tc>
          <w:tcPr>
            <w:tcW w:type="dxa" w:w="1680"/>
            <w:vAlign w:val="center"/>
          </w:tcPr>
          <w:p>
            <w:r/>
            <w:r>
              <w:rPr>
                <w:rFonts w:ascii="Times New Roman" w:hAnsi="Times New Roman"/>
                <w:b w:val="0"/>
                <w:sz w:val="13"/>
              </w:rPr>
              <w:t>CICIoT2023</w:t>
            </w:r>
          </w:p>
        </w:tc>
        <w:tc>
          <w:tcPr>
            <w:tcW w:type="dxa" w:w="1680"/>
            <w:vAlign w:val="center"/>
          </w:tcPr>
          <w:p>
            <w:r/>
            <w:r>
              <w:rPr>
                <w:rFonts w:ascii="Times New Roman" w:hAnsi="Times New Roman"/>
                <w:b w:val="0"/>
                <w:sz w:val="13"/>
              </w:rPr>
              <w:t>DLMLP detection and prevention</w:t>
            </w:r>
          </w:p>
        </w:tc>
        <w:tc>
          <w:tcPr>
            <w:tcW w:type="dxa" w:w="1680"/>
            <w:vAlign w:val="center"/>
          </w:tcPr>
          <w:p>
            <w:r/>
            <w:r>
              <w:rPr>
                <w:rFonts w:ascii="Times New Roman" w:hAnsi="Times New Roman"/>
                <w:b w:val="0"/>
                <w:sz w:val="13"/>
              </w:rPr>
              <w:t>Yes</w:t>
            </w:r>
          </w:p>
        </w:tc>
      </w:tr>
      <w:tr>
        <w:tc>
          <w:tcPr>
            <w:tcW w:type="dxa" w:w="1680"/>
            <w:vAlign w:val="center"/>
          </w:tcPr>
          <w:p>
            <w:r/>
            <w:r>
              <w:rPr>
                <w:rFonts w:ascii="Times New Roman" w:hAnsi="Times New Roman"/>
                <w:b w:val="0"/>
                <w:sz w:val="13"/>
              </w:rPr>
              <w:t>10</w:t>
            </w:r>
          </w:p>
        </w:tc>
        <w:tc>
          <w:tcPr>
            <w:tcW w:type="dxa" w:w="1680"/>
            <w:vAlign w:val="center"/>
          </w:tcPr>
          <w:p>
            <w:r/>
            <w:r>
              <w:rPr>
                <w:rFonts w:ascii="Times New Roman" w:hAnsi="Times New Roman"/>
                <w:b w:val="0"/>
                <w:sz w:val="13"/>
              </w:rPr>
              <w:t>Diana et al. (2025)</w:t>
            </w:r>
          </w:p>
        </w:tc>
        <w:tc>
          <w:tcPr>
            <w:tcW w:type="dxa" w:w="1680"/>
            <w:vAlign w:val="center"/>
          </w:tcPr>
          <w:p>
            <w:r/>
            <w:r>
              <w:rPr>
                <w:rFonts w:ascii="Times New Roman" w:hAnsi="Times New Roman"/>
                <w:b w:val="0"/>
                <w:sz w:val="13"/>
              </w:rPr>
              <w:t>Review</w:t>
            </w:r>
          </w:p>
        </w:tc>
        <w:tc>
          <w:tcPr>
            <w:tcW w:type="dxa" w:w="1680"/>
            <w:vAlign w:val="center"/>
          </w:tcPr>
          <w:p>
            <w:r/>
            <w:r>
              <w:rPr>
                <w:rFonts w:ascii="Times New Roman" w:hAnsi="Times New Roman"/>
                <w:b w:val="0"/>
                <w:sz w:val="13"/>
              </w:rPr>
              <w:t>General</w:t>
            </w:r>
          </w:p>
        </w:tc>
        <w:tc>
          <w:tcPr>
            <w:tcW w:type="dxa" w:w="1680"/>
            <w:vAlign w:val="center"/>
          </w:tcPr>
          <w:p>
            <w:r/>
            <w:r>
              <w:rPr>
                <w:rFonts w:ascii="Times New Roman" w:hAnsi="Times New Roman"/>
                <w:b w:val="0"/>
                <w:sz w:val="13"/>
              </w:rPr>
              <w:t>IDS architectures, techniques, environments</w:t>
            </w:r>
          </w:p>
        </w:tc>
        <w:tc>
          <w:tcPr>
            <w:tcW w:type="dxa" w:w="1680"/>
            <w:vAlign w:val="center"/>
          </w:tcPr>
          <w:p>
            <w:r/>
            <w:r>
              <w:rPr>
                <w:rFonts w:ascii="Times New Roman" w:hAnsi="Times New Roman"/>
                <w:b w:val="0"/>
                <w:sz w:val="13"/>
              </w:rPr>
              <w:t>No</w:t>
            </w:r>
          </w:p>
        </w:tc>
      </w:tr>
      <w:tr>
        <w:tc>
          <w:tcPr>
            <w:tcW w:type="dxa" w:w="1680"/>
            <w:vAlign w:val="center"/>
          </w:tcPr>
          <w:p>
            <w:r/>
            <w:r>
              <w:rPr>
                <w:rFonts w:ascii="Times New Roman" w:hAnsi="Times New Roman"/>
                <w:b w:val="0"/>
                <w:sz w:val="13"/>
              </w:rPr>
              <w:t>11</w:t>
            </w:r>
          </w:p>
        </w:tc>
        <w:tc>
          <w:tcPr>
            <w:tcW w:type="dxa" w:w="1680"/>
            <w:vAlign w:val="center"/>
          </w:tcPr>
          <w:p>
            <w:r/>
            <w:r>
              <w:rPr>
                <w:rFonts w:ascii="Times New Roman" w:hAnsi="Times New Roman"/>
                <w:b w:val="0"/>
                <w:sz w:val="13"/>
              </w:rPr>
              <w:t>Yaras &amp; Dener (2024)</w:t>
            </w:r>
          </w:p>
        </w:tc>
        <w:tc>
          <w:tcPr>
            <w:tcW w:type="dxa" w:w="1680"/>
            <w:vAlign w:val="center"/>
          </w:tcPr>
          <w:p>
            <w:r/>
            <w:r>
              <w:rPr>
                <w:rFonts w:ascii="Times New Roman" w:hAnsi="Times New Roman"/>
                <w:b w:val="0"/>
                <w:sz w:val="13"/>
              </w:rPr>
              <w:t>Experimental</w:t>
            </w:r>
          </w:p>
        </w:tc>
        <w:tc>
          <w:tcPr>
            <w:tcW w:type="dxa" w:w="1680"/>
            <w:vAlign w:val="center"/>
          </w:tcPr>
          <w:p>
            <w:r/>
            <w:r>
              <w:rPr>
                <w:rFonts w:ascii="Times New Roman" w:hAnsi="Times New Roman"/>
                <w:b w:val="0"/>
                <w:sz w:val="13"/>
              </w:rPr>
              <w:t>CICIoT2023, TON_IoT</w:t>
            </w:r>
          </w:p>
        </w:tc>
        <w:tc>
          <w:tcPr>
            <w:tcW w:type="dxa" w:w="1680"/>
            <w:vAlign w:val="center"/>
          </w:tcPr>
          <w:p>
            <w:r/>
            <w:r>
              <w:rPr>
                <w:rFonts w:ascii="Times New Roman" w:hAnsi="Times New Roman"/>
                <w:b w:val="0"/>
                <w:sz w:val="13"/>
              </w:rPr>
              <w:t>Hybrid 1D-CNN and LSTM in PySpark</w:t>
            </w:r>
          </w:p>
        </w:tc>
        <w:tc>
          <w:tcPr>
            <w:tcW w:type="dxa" w:w="1680"/>
            <w:vAlign w:val="center"/>
          </w:tcPr>
          <w:p>
            <w:r/>
            <w:r>
              <w:rPr>
                <w:rFonts w:ascii="Times New Roman" w:hAnsi="Times New Roman"/>
                <w:b w:val="0"/>
                <w:sz w:val="13"/>
              </w:rPr>
              <w:t>Yes</w:t>
            </w:r>
          </w:p>
        </w:tc>
      </w:tr>
      <w:tr>
        <w:tc>
          <w:tcPr>
            <w:tcW w:type="dxa" w:w="1680"/>
            <w:vAlign w:val="center"/>
          </w:tcPr>
          <w:p>
            <w:r/>
            <w:r>
              <w:rPr>
                <w:rFonts w:ascii="Times New Roman" w:hAnsi="Times New Roman"/>
                <w:b w:val="0"/>
                <w:sz w:val="13"/>
              </w:rPr>
              <w:t>12</w:t>
            </w:r>
          </w:p>
        </w:tc>
        <w:tc>
          <w:tcPr>
            <w:tcW w:type="dxa" w:w="1680"/>
            <w:vAlign w:val="center"/>
          </w:tcPr>
          <w:p>
            <w:r/>
            <w:r>
              <w:rPr>
                <w:rFonts w:ascii="Times New Roman" w:hAnsi="Times New Roman"/>
                <w:b w:val="0"/>
                <w:sz w:val="13"/>
              </w:rPr>
              <w:t>Mughogho (2025)</w:t>
            </w:r>
          </w:p>
        </w:tc>
        <w:tc>
          <w:tcPr>
            <w:tcW w:type="dxa" w:w="1680"/>
            <w:vAlign w:val="center"/>
          </w:tcPr>
          <w:p>
            <w:r/>
            <w:r>
              <w:rPr>
                <w:rFonts w:ascii="Times New Roman" w:hAnsi="Times New Roman"/>
                <w:b w:val="0"/>
                <w:sz w:val="13"/>
              </w:rPr>
              <w:t>Experimental (MSc)</w:t>
            </w:r>
          </w:p>
        </w:tc>
        <w:tc>
          <w:tcPr>
            <w:tcW w:type="dxa" w:w="1680"/>
            <w:vAlign w:val="center"/>
          </w:tcPr>
          <w:p>
            <w:r/>
            <w:r>
              <w:rPr>
                <w:rFonts w:ascii="Times New Roman" w:hAnsi="Times New Roman"/>
                <w:b w:val="0"/>
                <w:sz w:val="13"/>
              </w:rPr>
              <w:t>CICIoT2023</w:t>
            </w:r>
          </w:p>
        </w:tc>
        <w:tc>
          <w:tcPr>
            <w:tcW w:type="dxa" w:w="1680"/>
            <w:vAlign w:val="center"/>
          </w:tcPr>
          <w:p>
            <w:r/>
            <w:r>
              <w:rPr>
                <w:rFonts w:ascii="Times New Roman" w:hAnsi="Times New Roman"/>
                <w:b w:val="0"/>
                <w:sz w:val="13"/>
              </w:rPr>
              <w:t>Soft-voting ensemble, binary and multiclass</w:t>
            </w:r>
          </w:p>
        </w:tc>
        <w:tc>
          <w:tcPr>
            <w:tcW w:type="dxa" w:w="1680"/>
            <w:vAlign w:val="center"/>
          </w:tcPr>
          <w:p>
            <w:r/>
            <w:r>
              <w:rPr>
                <w:rFonts w:ascii="Times New Roman" w:hAnsi="Times New Roman"/>
                <w:b w:val="0"/>
                <w:sz w:val="13"/>
              </w:rPr>
              <w:t>Yes</w:t>
            </w:r>
          </w:p>
        </w:tc>
      </w:tr>
      <w:tr>
        <w:tc>
          <w:tcPr>
            <w:tcW w:type="dxa" w:w="1680"/>
            <w:vAlign w:val="center"/>
          </w:tcPr>
          <w:p>
            <w:r/>
            <w:r>
              <w:rPr>
                <w:rFonts w:ascii="Times New Roman" w:hAnsi="Times New Roman"/>
                <w:b w:val="0"/>
                <w:sz w:val="13"/>
              </w:rPr>
              <w:t>13</w:t>
            </w:r>
          </w:p>
        </w:tc>
        <w:tc>
          <w:tcPr>
            <w:tcW w:type="dxa" w:w="1680"/>
            <w:vAlign w:val="center"/>
          </w:tcPr>
          <w:p>
            <w:r/>
            <w:r>
              <w:rPr>
                <w:rFonts w:ascii="Times New Roman" w:hAnsi="Times New Roman"/>
                <w:b w:val="0"/>
                <w:sz w:val="13"/>
              </w:rPr>
              <w:t>Ahmed et al. (2026)</w:t>
            </w:r>
          </w:p>
        </w:tc>
        <w:tc>
          <w:tcPr>
            <w:tcW w:type="dxa" w:w="1680"/>
            <w:vAlign w:val="center"/>
          </w:tcPr>
          <w:p>
            <w:r/>
            <w:r>
              <w:rPr>
                <w:rFonts w:ascii="Times New Roman" w:hAnsi="Times New Roman"/>
                <w:b w:val="0"/>
                <w:sz w:val="13"/>
              </w:rPr>
              <w:t>Systematic review</w:t>
            </w:r>
          </w:p>
        </w:tc>
        <w:tc>
          <w:tcPr>
            <w:tcW w:type="dxa" w:w="1680"/>
            <w:vAlign w:val="center"/>
          </w:tcPr>
          <w:p>
            <w:r/>
            <w:r>
              <w:rPr>
                <w:rFonts w:ascii="Times New Roman" w:hAnsi="Times New Roman"/>
                <w:b w:val="0"/>
                <w:sz w:val="13"/>
              </w:rPr>
              <w:t>125 studies</w:t>
            </w:r>
          </w:p>
        </w:tc>
        <w:tc>
          <w:tcPr>
            <w:tcW w:type="dxa" w:w="1680"/>
            <w:vAlign w:val="center"/>
          </w:tcPr>
          <w:p>
            <w:r/>
            <w:r>
              <w:rPr>
                <w:rFonts w:ascii="Times New Roman" w:hAnsi="Times New Roman"/>
                <w:b w:val="0"/>
                <w:sz w:val="13"/>
              </w:rPr>
              <w:t>ML-IDS themes and gaps</w:t>
            </w:r>
          </w:p>
        </w:tc>
        <w:tc>
          <w:tcPr>
            <w:tcW w:type="dxa" w:w="1680"/>
            <w:vAlign w:val="center"/>
          </w:tcPr>
          <w:p>
            <w:r/>
            <w:r>
              <w:rPr>
                <w:rFonts w:ascii="Times New Roman" w:hAnsi="Times New Roman"/>
                <w:b w:val="0"/>
                <w:sz w:val="13"/>
              </w:rPr>
              <w:t>Discussed</w:t>
            </w:r>
          </w:p>
        </w:tc>
      </w:tr>
      <w:tr>
        <w:tc>
          <w:tcPr>
            <w:tcW w:type="dxa" w:w="1680"/>
            <w:vAlign w:val="center"/>
          </w:tcPr>
          <w:p>
            <w:r/>
            <w:r>
              <w:rPr>
                <w:rFonts w:ascii="Times New Roman" w:hAnsi="Times New Roman"/>
                <w:b w:val="0"/>
                <w:sz w:val="13"/>
              </w:rPr>
              <w:t>14</w:t>
            </w:r>
          </w:p>
        </w:tc>
        <w:tc>
          <w:tcPr>
            <w:tcW w:type="dxa" w:w="1680"/>
            <w:vAlign w:val="center"/>
          </w:tcPr>
          <w:p>
            <w:r/>
            <w:r>
              <w:rPr>
                <w:rFonts w:ascii="Times New Roman" w:hAnsi="Times New Roman"/>
                <w:b w:val="0"/>
                <w:sz w:val="13"/>
              </w:rPr>
              <w:t>Bunko et al. (2026)</w:t>
            </w:r>
          </w:p>
        </w:tc>
        <w:tc>
          <w:tcPr>
            <w:tcW w:type="dxa" w:w="1680"/>
            <w:vAlign w:val="center"/>
          </w:tcPr>
          <w:p>
            <w:r/>
            <w:r>
              <w:rPr>
                <w:rFonts w:ascii="Times New Roman" w:hAnsi="Times New Roman"/>
                <w:b w:val="0"/>
                <w:sz w:val="13"/>
              </w:rPr>
              <w:t>Survey</w:t>
            </w:r>
          </w:p>
        </w:tc>
        <w:tc>
          <w:tcPr>
            <w:tcW w:type="dxa" w:w="1680"/>
            <w:vAlign w:val="center"/>
          </w:tcPr>
          <w:p>
            <w:r/>
            <w:r>
              <w:rPr>
                <w:rFonts w:ascii="Times New Roman" w:hAnsi="Times New Roman"/>
                <w:b w:val="0"/>
                <w:sz w:val="13"/>
              </w:rPr>
              <w:t>FL-IDS literature</w:t>
            </w:r>
          </w:p>
        </w:tc>
        <w:tc>
          <w:tcPr>
            <w:tcW w:type="dxa" w:w="1680"/>
            <w:vAlign w:val="center"/>
          </w:tcPr>
          <w:p>
            <w:r/>
            <w:r>
              <w:rPr>
                <w:rFonts w:ascii="Times New Roman" w:hAnsi="Times New Roman"/>
                <w:b w:val="0"/>
                <w:sz w:val="13"/>
              </w:rPr>
              <w:t>Privacy-preserving federated learning</w:t>
            </w:r>
          </w:p>
        </w:tc>
        <w:tc>
          <w:tcPr>
            <w:tcW w:type="dxa" w:w="1680"/>
            <w:vAlign w:val="center"/>
          </w:tcPr>
          <w:p>
            <w:r/>
            <w:r>
              <w:rPr>
                <w:rFonts w:ascii="Times New Roman" w:hAnsi="Times New Roman"/>
                <w:b w:val="0"/>
                <w:sz w:val="13"/>
              </w:rPr>
              <w:t>Discussed</w:t>
            </w:r>
          </w:p>
        </w:tc>
      </w:tr>
      <w:tr>
        <w:tc>
          <w:tcPr>
            <w:tcW w:type="dxa" w:w="1680"/>
            <w:vAlign w:val="center"/>
          </w:tcPr>
          <w:p>
            <w:r/>
            <w:r>
              <w:rPr>
                <w:rFonts w:ascii="Times New Roman" w:hAnsi="Times New Roman"/>
                <w:b w:val="0"/>
                <w:sz w:val="13"/>
              </w:rPr>
              <w:t>15</w:t>
            </w:r>
          </w:p>
        </w:tc>
        <w:tc>
          <w:tcPr>
            <w:tcW w:type="dxa" w:w="1680"/>
            <w:vAlign w:val="center"/>
          </w:tcPr>
          <w:p>
            <w:r/>
            <w:r>
              <w:rPr>
                <w:rFonts w:ascii="Times New Roman" w:hAnsi="Times New Roman"/>
                <w:b w:val="0"/>
                <w:sz w:val="13"/>
              </w:rPr>
              <w:t>Mondragon et al. (2025)</w:t>
            </w:r>
          </w:p>
        </w:tc>
        <w:tc>
          <w:tcPr>
            <w:tcW w:type="dxa" w:w="1680"/>
            <w:vAlign w:val="center"/>
          </w:tcPr>
          <w:p>
            <w:r/>
            <w:r>
              <w:rPr>
                <w:rFonts w:ascii="Times New Roman" w:hAnsi="Times New Roman"/>
                <w:b w:val="0"/>
                <w:sz w:val="13"/>
              </w:rPr>
              <w:t>Benchmark</w:t>
            </w:r>
          </w:p>
        </w:tc>
        <w:tc>
          <w:tcPr>
            <w:tcW w:type="dxa" w:w="1680"/>
            <w:vAlign w:val="center"/>
          </w:tcPr>
          <w:p>
            <w:r/>
            <w:r>
              <w:rPr>
                <w:rFonts w:ascii="Times New Roman" w:hAnsi="Times New Roman"/>
                <w:b w:val="0"/>
                <w:sz w:val="13"/>
              </w:rPr>
              <w:t>14 flow datasets</w:t>
            </w:r>
          </w:p>
        </w:tc>
        <w:tc>
          <w:tcPr>
            <w:tcW w:type="dxa" w:w="1680"/>
            <w:vAlign w:val="center"/>
          </w:tcPr>
          <w:p>
            <w:r/>
            <w:r>
              <w:rPr>
                <w:rFonts w:ascii="Times New Roman" w:hAnsi="Times New Roman"/>
                <w:b w:val="0"/>
                <w:sz w:val="13"/>
              </w:rPr>
              <w:t>Seven algorithm categories by macro-F1</w:t>
            </w:r>
          </w:p>
        </w:tc>
        <w:tc>
          <w:tcPr>
            <w:tcW w:type="dxa" w:w="1680"/>
            <w:vAlign w:val="center"/>
          </w:tcPr>
          <w:p>
            <w:r/>
            <w:r>
              <w:rPr>
                <w:rFonts w:ascii="Times New Roman" w:hAnsi="Times New Roman"/>
                <w:b w:val="0"/>
                <w:sz w:val="13"/>
              </w:rPr>
              <w:t>Not recorded</w:t>
            </w:r>
          </w:p>
        </w:tc>
      </w:tr>
      <w:tr>
        <w:tc>
          <w:tcPr>
            <w:tcW w:type="dxa" w:w="1680"/>
            <w:vAlign w:val="center"/>
          </w:tcPr>
          <w:p>
            <w:r/>
            <w:r>
              <w:rPr>
                <w:rFonts w:ascii="Times New Roman" w:hAnsi="Times New Roman"/>
                <w:b w:val="0"/>
                <w:sz w:val="13"/>
              </w:rPr>
              <w:t>16</w:t>
            </w:r>
          </w:p>
        </w:tc>
        <w:tc>
          <w:tcPr>
            <w:tcW w:type="dxa" w:w="1680"/>
            <w:vAlign w:val="center"/>
          </w:tcPr>
          <w:p>
            <w:r/>
            <w:r>
              <w:rPr>
                <w:rFonts w:ascii="Times New Roman" w:hAnsi="Times New Roman"/>
                <w:b w:val="0"/>
                <w:sz w:val="13"/>
              </w:rPr>
              <w:t>Almahaqeri et al. (2026)</w:t>
            </w:r>
          </w:p>
        </w:tc>
        <w:tc>
          <w:tcPr>
            <w:tcW w:type="dxa" w:w="1680"/>
            <w:vAlign w:val="center"/>
          </w:tcPr>
          <w:p>
            <w:r/>
            <w:r>
              <w:rPr>
                <w:rFonts w:ascii="Times New Roman" w:hAnsi="Times New Roman"/>
                <w:b w:val="0"/>
                <w:sz w:val="13"/>
              </w:rPr>
              <w:t>Experimental</w:t>
            </w:r>
          </w:p>
        </w:tc>
        <w:tc>
          <w:tcPr>
            <w:tcW w:type="dxa" w:w="1680"/>
            <w:vAlign w:val="center"/>
          </w:tcPr>
          <w:p>
            <w:r/>
            <w:r>
              <w:rPr>
                <w:rFonts w:ascii="Times New Roman" w:hAnsi="Times New Roman"/>
                <w:b w:val="0"/>
                <w:sz w:val="13"/>
              </w:rPr>
              <w:t>CICIoT2023</w:t>
            </w:r>
          </w:p>
        </w:tc>
        <w:tc>
          <w:tcPr>
            <w:tcW w:type="dxa" w:w="1680"/>
            <w:vAlign w:val="center"/>
          </w:tcPr>
          <w:p>
            <w:r/>
            <w:r>
              <w:rPr>
                <w:rFonts w:ascii="Times New Roman" w:hAnsi="Times New Roman"/>
                <w:b w:val="0"/>
                <w:sz w:val="13"/>
              </w:rPr>
              <w:t>Gradient boosting, feature selection, latency</w:t>
            </w:r>
          </w:p>
        </w:tc>
        <w:tc>
          <w:tcPr>
            <w:tcW w:type="dxa" w:w="1680"/>
            <w:vAlign w:val="center"/>
          </w:tcPr>
          <w:p>
            <w:r/>
            <w:r>
              <w:rPr>
                <w:rFonts w:ascii="Times New Roman" w:hAnsi="Times New Roman"/>
                <w:b w:val="0"/>
                <w:sz w:val="13"/>
              </w:rPr>
              <w:t>Yes</w:t>
            </w:r>
          </w:p>
        </w:tc>
      </w:tr>
      <w:tr>
        <w:tc>
          <w:tcPr>
            <w:tcW w:type="dxa" w:w="1680"/>
            <w:vAlign w:val="center"/>
          </w:tcPr>
          <w:p>
            <w:r/>
            <w:r>
              <w:rPr>
                <w:rFonts w:ascii="Times New Roman" w:hAnsi="Times New Roman"/>
                <w:b w:val="0"/>
                <w:sz w:val="13"/>
              </w:rPr>
              <w:t>17</w:t>
            </w:r>
          </w:p>
        </w:tc>
        <w:tc>
          <w:tcPr>
            <w:tcW w:type="dxa" w:w="1680"/>
            <w:vAlign w:val="center"/>
          </w:tcPr>
          <w:p>
            <w:r/>
            <w:r>
              <w:rPr>
                <w:rFonts w:ascii="Times New Roman" w:hAnsi="Times New Roman"/>
                <w:b w:val="0"/>
                <w:sz w:val="13"/>
              </w:rPr>
              <w:t>Khan et al. (2026)</w:t>
            </w:r>
          </w:p>
        </w:tc>
        <w:tc>
          <w:tcPr>
            <w:tcW w:type="dxa" w:w="1680"/>
            <w:vAlign w:val="center"/>
          </w:tcPr>
          <w:p>
            <w:r/>
            <w:r>
              <w:rPr>
                <w:rFonts w:ascii="Times New Roman" w:hAnsi="Times New Roman"/>
                <w:b w:val="0"/>
                <w:sz w:val="13"/>
              </w:rPr>
              <w:t>Experimental</w:t>
            </w:r>
          </w:p>
        </w:tc>
        <w:tc>
          <w:tcPr>
            <w:tcW w:type="dxa" w:w="1680"/>
            <w:vAlign w:val="center"/>
          </w:tcPr>
          <w:p>
            <w:r/>
            <w:r>
              <w:rPr>
                <w:rFonts w:ascii="Times New Roman" w:hAnsi="Times New Roman"/>
                <w:b w:val="0"/>
                <w:sz w:val="13"/>
              </w:rPr>
              <w:t>TON_IoT, Raspberry Pi, CICIDS2018, CICIoT2023</w:t>
            </w:r>
          </w:p>
        </w:tc>
        <w:tc>
          <w:tcPr>
            <w:tcW w:type="dxa" w:w="1680"/>
            <w:vAlign w:val="center"/>
          </w:tcPr>
          <w:p>
            <w:r/>
            <w:r>
              <w:rPr>
                <w:rFonts w:ascii="Times New Roman" w:hAnsi="Times New Roman"/>
                <w:b w:val="0"/>
                <w:sz w:val="13"/>
              </w:rPr>
              <w:t>Resource-efficient BGL-RID</w:t>
            </w:r>
          </w:p>
        </w:tc>
        <w:tc>
          <w:tcPr>
            <w:tcW w:type="dxa" w:w="1680"/>
            <w:vAlign w:val="center"/>
          </w:tcPr>
          <w:p>
            <w:r/>
            <w:r>
              <w:rPr>
                <w:rFonts w:ascii="Times New Roman" w:hAnsi="Times New Roman"/>
                <w:b w:val="0"/>
                <w:sz w:val="13"/>
              </w:rPr>
              <w:t>Yes</w:t>
            </w:r>
          </w:p>
        </w:tc>
      </w:tr>
      <w:tr>
        <w:tc>
          <w:tcPr>
            <w:tcW w:type="dxa" w:w="1680"/>
            <w:vAlign w:val="center"/>
          </w:tcPr>
          <w:p>
            <w:r/>
            <w:r>
              <w:rPr>
                <w:rFonts w:ascii="Times New Roman" w:hAnsi="Times New Roman"/>
                <w:b w:val="0"/>
                <w:sz w:val="13"/>
              </w:rPr>
              <w:t>18</w:t>
            </w:r>
          </w:p>
        </w:tc>
        <w:tc>
          <w:tcPr>
            <w:tcW w:type="dxa" w:w="1680"/>
            <w:vAlign w:val="center"/>
          </w:tcPr>
          <w:p>
            <w:r/>
            <w:r>
              <w:rPr>
                <w:rFonts w:ascii="Times New Roman" w:hAnsi="Times New Roman"/>
                <w:b w:val="0"/>
                <w:sz w:val="13"/>
              </w:rPr>
              <w:t>Mallidi &amp; Ramisetty (2025)</w:t>
            </w:r>
          </w:p>
        </w:tc>
        <w:tc>
          <w:tcPr>
            <w:tcW w:type="dxa" w:w="1680"/>
            <w:vAlign w:val="center"/>
          </w:tcPr>
          <w:p>
            <w:r/>
            <w:r>
              <w:rPr>
                <w:rFonts w:ascii="Times New Roman" w:hAnsi="Times New Roman"/>
                <w:b w:val="0"/>
                <w:sz w:val="13"/>
              </w:rPr>
              <w:t>Systematic review</w:t>
            </w:r>
          </w:p>
        </w:tc>
        <w:tc>
          <w:tcPr>
            <w:tcW w:type="dxa" w:w="1680"/>
            <w:vAlign w:val="center"/>
          </w:tcPr>
          <w:p>
            <w:r/>
            <w:r>
              <w:rPr>
                <w:rFonts w:ascii="Times New Roman" w:hAnsi="Times New Roman"/>
                <w:b w:val="0"/>
                <w:sz w:val="13"/>
              </w:rPr>
              <w:t>IoT IDS literature</w:t>
            </w:r>
          </w:p>
        </w:tc>
        <w:tc>
          <w:tcPr>
            <w:tcW w:type="dxa" w:w="1680"/>
            <w:vAlign w:val="center"/>
          </w:tcPr>
          <w:p>
            <w:r/>
            <w:r>
              <w:rPr>
                <w:rFonts w:ascii="Times New Roman" w:hAnsi="Times New Roman"/>
                <w:b w:val="0"/>
                <w:sz w:val="13"/>
              </w:rPr>
              <w:t>Training and deployment strategies</w:t>
            </w:r>
          </w:p>
        </w:tc>
        <w:tc>
          <w:tcPr>
            <w:tcW w:type="dxa" w:w="1680"/>
            <w:vAlign w:val="center"/>
          </w:tcPr>
          <w:p>
            <w:r/>
            <w:r>
              <w:rPr>
                <w:rFonts w:ascii="Times New Roman" w:hAnsi="Times New Roman"/>
                <w:b w:val="0"/>
                <w:sz w:val="13"/>
              </w:rPr>
              <w:t>No</w:t>
            </w:r>
          </w:p>
        </w:tc>
      </w:tr>
      <w:tr>
        <w:tc>
          <w:tcPr>
            <w:tcW w:type="dxa" w:w="1680"/>
            <w:vAlign w:val="center"/>
          </w:tcPr>
          <w:p>
            <w:r/>
            <w:r>
              <w:rPr>
                <w:rFonts w:ascii="Times New Roman" w:hAnsi="Times New Roman"/>
                <w:b w:val="0"/>
                <w:sz w:val="13"/>
              </w:rPr>
              <w:t>19</w:t>
            </w:r>
          </w:p>
        </w:tc>
        <w:tc>
          <w:tcPr>
            <w:tcW w:type="dxa" w:w="1680"/>
            <w:vAlign w:val="center"/>
          </w:tcPr>
          <w:p>
            <w:r/>
            <w:r>
              <w:rPr>
                <w:rFonts w:ascii="Times New Roman" w:hAnsi="Times New Roman"/>
                <w:b w:val="0"/>
                <w:sz w:val="13"/>
              </w:rPr>
              <w:t>Hozouri et al. (2025)</w:t>
            </w:r>
          </w:p>
        </w:tc>
        <w:tc>
          <w:tcPr>
            <w:tcW w:type="dxa" w:w="1680"/>
            <w:vAlign w:val="center"/>
          </w:tcPr>
          <w:p>
            <w:r/>
            <w:r>
              <w:rPr>
                <w:rFonts w:ascii="Times New Roman" w:hAnsi="Times New Roman"/>
                <w:b w:val="0"/>
                <w:sz w:val="13"/>
              </w:rPr>
              <w:t>Survey</w:t>
            </w:r>
          </w:p>
        </w:tc>
        <w:tc>
          <w:tcPr>
            <w:tcW w:type="dxa" w:w="1680"/>
            <w:vAlign w:val="center"/>
          </w:tcPr>
          <w:p>
            <w:r/>
            <w:r>
              <w:rPr>
                <w:rFonts w:ascii="Times New Roman" w:hAnsi="Times New Roman"/>
                <w:b w:val="0"/>
                <w:sz w:val="13"/>
              </w:rPr>
              <w:t>General</w:t>
            </w:r>
          </w:p>
        </w:tc>
        <w:tc>
          <w:tcPr>
            <w:tcW w:type="dxa" w:w="1680"/>
            <w:vAlign w:val="center"/>
          </w:tcPr>
          <w:p>
            <w:r/>
            <w:r>
              <w:rPr>
                <w:rFonts w:ascii="Times New Roman" w:hAnsi="Times New Roman"/>
                <w:b w:val="0"/>
                <w:sz w:val="13"/>
              </w:rPr>
              <w:t>IDS types, ML/DL, legacy datasets</w:t>
            </w:r>
          </w:p>
        </w:tc>
        <w:tc>
          <w:tcPr>
            <w:tcW w:type="dxa" w:w="1680"/>
            <w:vAlign w:val="center"/>
          </w:tcPr>
          <w:p>
            <w:r/>
            <w:r>
              <w:rPr>
                <w:rFonts w:ascii="Times New Roman" w:hAnsi="Times New Roman"/>
                <w:b w:val="0"/>
                <w:sz w:val="13"/>
              </w:rPr>
              <w:t>No</w:t>
            </w:r>
          </w:p>
        </w:tc>
      </w:tr>
      <w:tr>
        <w:tc>
          <w:tcPr>
            <w:tcW w:type="dxa" w:w="1680"/>
            <w:vAlign w:val="center"/>
          </w:tcPr>
          <w:p>
            <w:r/>
            <w:r>
              <w:rPr>
                <w:rFonts w:ascii="Times New Roman" w:hAnsi="Times New Roman"/>
                <w:b w:val="0"/>
                <w:sz w:val="13"/>
              </w:rPr>
              <w:t>20</w:t>
            </w:r>
          </w:p>
        </w:tc>
        <w:tc>
          <w:tcPr>
            <w:tcW w:type="dxa" w:w="1680"/>
            <w:vAlign w:val="center"/>
          </w:tcPr>
          <w:p>
            <w:r/>
            <w:r>
              <w:rPr>
                <w:rFonts w:ascii="Times New Roman" w:hAnsi="Times New Roman"/>
                <w:b w:val="0"/>
                <w:sz w:val="13"/>
              </w:rPr>
              <w:t>Mishra &amp; Reddy (2026)</w:t>
            </w:r>
          </w:p>
        </w:tc>
        <w:tc>
          <w:tcPr>
            <w:tcW w:type="dxa" w:w="1680"/>
            <w:vAlign w:val="center"/>
          </w:tcPr>
          <w:p>
            <w:r/>
            <w:r>
              <w:rPr>
                <w:rFonts w:ascii="Times New Roman" w:hAnsi="Times New Roman"/>
                <w:b w:val="0"/>
                <w:sz w:val="13"/>
              </w:rPr>
              <w:t>Experimental (preprint)</w:t>
            </w:r>
          </w:p>
        </w:tc>
        <w:tc>
          <w:tcPr>
            <w:tcW w:type="dxa" w:w="1680"/>
            <w:vAlign w:val="center"/>
          </w:tcPr>
          <w:p>
            <w:r/>
            <w:r>
              <w:rPr>
                <w:rFonts w:ascii="Times New Roman" w:hAnsi="Times New Roman"/>
                <w:b w:val="0"/>
                <w:sz w:val="13"/>
              </w:rPr>
              <w:t>N-BaIoT, CICIoT2023, BoT-IoT</w:t>
            </w:r>
          </w:p>
        </w:tc>
        <w:tc>
          <w:tcPr>
            <w:tcW w:type="dxa" w:w="1680"/>
            <w:vAlign w:val="center"/>
          </w:tcPr>
          <w:p>
            <w:r/>
            <w:r>
              <w:rPr>
                <w:rFonts w:ascii="Times New Roman" w:hAnsi="Times New Roman"/>
                <w:b w:val="0"/>
                <w:sz w:val="13"/>
              </w:rPr>
              <w:t>Federated hybrid deep learning (partial)</w:t>
            </w:r>
          </w:p>
        </w:tc>
        <w:tc>
          <w:tcPr>
            <w:tcW w:type="dxa" w:w="1680"/>
            <w:vAlign w:val="center"/>
          </w:tcPr>
          <w:p>
            <w:r/>
            <w:r>
              <w:rPr>
                <w:rFonts w:ascii="Times New Roman" w:hAnsi="Times New Roman"/>
                <w:b w:val="0"/>
                <w:sz w:val="13"/>
              </w:rPr>
              <w:t>Yes</w:t>
            </w:r>
          </w:p>
        </w:tc>
      </w:tr>
    </w:tbl>
    <w:p>
      <w:pPr>
        <w:pStyle w:val="Heading1"/>
      </w:pPr>
      <w:r>
        <w:t>Appendix B. Interpretation Rules</w:t>
      </w:r>
    </w:p>
    <w:p>
      <w:r>
        <w:t>• Accuracy values are reproduced as reported in the workbook and are not treated as directly comparable across incompatible task definitions.</w:t>
      </w:r>
    </w:p>
    <w:p>
      <w:r>
        <w:t>• Lower-bound or 'above' values are labelled as such rather than converted into exact performance.</w:t>
      </w:r>
    </w:p>
    <w:p>
      <w:r>
        <w:t>• Natural-distribution test results are distinguished from undersampled or balanced evaluations.</w:t>
      </w:r>
    </w:p>
    <w:p>
      <w:r>
        <w:t>• The present experiment is separated from the 20-paper literature corpus.</w:t>
      </w:r>
    </w:p>
    <w:p>
      <w:r>
        <w:t>• Efficiency figures from different measurement bases are not ranked across incompatible units.</w:t>
      </w:r>
    </w:p>
    <w:p>
      <w:r>
        <w:t>• The credibility score uses the workbook's own five-criterion rubric; 'Not recorded' is not interpreted as proof of omission.</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Times New Roman" w:hAnsi="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sz w:val="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