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State-of-the-Art Analysis: Machine Learning and Deep Learning for IoT Intrusion Detection on CICIoT2023</w:t>
      </w:r>
    </w:p>
    <w:p>
      <w:pPr/>
      <w:r>
        <w:t xml:space="preserve">Oct 14, 2026</w:t>
      </w:r>
      <w:r>
        <w:t xml:space="preserve"> · </w:t>
      </w:r>
      <w:r>
        <w:t xml:space="preserve">@Namrata</w:t>
      </w:r>
    </w:p>
    <w:p>
      <w:pPr>
        <w:pStyle w:val="Heading2"/>
      </w:pPr>
      <w:r>
        <w:t xml:space="preserve">Abstract</w:t>
      </w:r>
    </w:p>
    <w:p>
      <w:pPr/>
      <w:r>
        <w:t xml:space="preserve">The highest reported accuracy on CICIoT2023 is 99.995% for binary detection and 99.96% for multiclass detection, but these numbers are not comparable across papers because label sets, subsampling and rebalancing differ. This analysis separates the state of the art (SOTA) by task, method family and cost, and grades how credible each claim is. Across 20 studies, results have reached a ceiling of about 99.9% on simplified tasks, boosted trees match or beat deep models at microsecond latency, and the only study that keeps the full 34-class natural imbalance reports 76.88% accuracy and 0.54 macro-F1. No SOTA exists yet for adversarial robustness, quantified explanation quality, privacy-preserving training or production validation on this dataset. The paper ends with a checklist for a credible SOTA claim.</w:t>
      </w:r>
    </w:p>
    <w:p>
      <w:pPr/>
      <w:r>
        <w:rPr>
          <w:b/>
        </w:rPr>
        <w:t xml:space="preserve">Keywords:</w:t>
      </w:r>
      <w:r>
        <w:t xml:space="preserve"> state of the art; intrusion detection; IoT; CICIoT2023; gradient boosting; deep learning; benchmarking; evaluation</w:t>
      </w:r>
    </w:p>
    <w:p>
      <w:pPr>
        <w:pStyle w:val="Heading2"/>
      </w:pPr>
      <w:r>
        <w:t xml:space="preserve">1. Scope and approach</w:t>
      </w:r>
    </w:p>
    <w:p>
      <w:pPr/>
      <w:r>
        <w:t xml:space="preserve">This analysis uses the same 20 papers as the companion literature review: eight reviews and surveys, eleven experimental studies and one multi-dataset benchmark. Ten of the eleven experimental studies use CICIoT2023, so it is the reference dataset here. Numbers are as reported by the authors and were not reproduced.</w:t>
      </w:r>
    </w:p>
    <w:p>
      <w:pPr/>
      <w:r>
        <w:t xml:space="preserve">A single leaderboard would mislead, so SOTA is defined along four axes:</w:t>
      </w:r>
    </w:p>
    <w:p>
      <w:pPr>
        <w:pStyle w:val="ListParagraph"/>
        <w:numPr>
          <w:ilvl w:val="0"/>
          <w:numId w:val="2"/>
        </w:numPr>
      </w:pPr>
      <w:r>
        <w:rPr>
          <w:b/>
        </w:rPr>
        <w:t xml:space="preserve">Task:</w:t>
      </w:r>
      <w:r>
        <w:t xml:space="preserve"> binary, coarse attack family, fine-grained subtype, or a custom subset.</w:t>
      </w:r>
    </w:p>
    <w:p>
      <w:pPr>
        <w:pStyle w:val="ListParagraph"/>
        <w:numPr>
          <w:ilvl w:val="0"/>
          <w:numId w:val="2"/>
        </w:numPr>
      </w:pPr>
      <w:r>
        <w:rPr>
          <w:b/>
        </w:rPr>
        <w:t xml:space="preserve">Method family:</w:t>
      </w:r>
      <w:r>
        <w:t xml:space="preserve"> boosted trees, classical ML and ensembles, deep learning, hybrids.</w:t>
      </w:r>
    </w:p>
    <w:p>
      <w:pPr>
        <w:pStyle w:val="ListParagraph"/>
        <w:numPr>
          <w:ilvl w:val="0"/>
          <w:numId w:val="2"/>
        </w:numPr>
      </w:pPr>
      <w:r>
        <w:rPr>
          <w:b/>
        </w:rPr>
        <w:t xml:space="preserve">Cost:</w:t>
      </w:r>
      <w:r>
        <w:t xml:space="preserve"> inference latency, training time, features used.</w:t>
      </w:r>
    </w:p>
    <w:p>
      <w:pPr>
        <w:pStyle w:val="ListParagraph"/>
        <w:numPr>
          <w:ilvl w:val="0"/>
          <w:numId w:val="2"/>
        </w:numPr>
      </w:pPr>
      <w:r>
        <w:rPr>
          <w:b/>
        </w:rPr>
        <w:t xml:space="preserve">Credibility:</w:t>
      </w:r>
      <w:r>
        <w:t xml:space="preserve"> whether the evaluation reflects realistic traffic (Section 7).</w:t>
      </w:r>
    </w:p>
    <w:p>
      <w:pPr>
        <w:pStyle w:val="Heading2"/>
      </w:pPr>
      <w:r>
        <w:t xml:space="preserve">2. SOTA by task</w:t>
      </w:r>
    </w:p>
    <w:p>
      <w:pPr/>
      <w:r>
        <w:t xml:space="preserve">The table lists the highest reported figure for each task type. "Comparable" means the setup resembles real traffic; most entries are not.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Task</w:t>
            </w:r>
          </w:p>
        </w:tc>
        <w:tc>
          <w:tcPr>
            <w:tcW w:w="2340" w:type="dxa"/>
            <w:shd w:val="clear" w:color="auto" w:fill="F2F2F2"/>
          </w:tcPr>
          <w:p>
            <w:pPr/>
            <w:r>
              <w:t xml:space="preserve">Highest reported</w:t>
            </w:r>
          </w:p>
        </w:tc>
        <w:tc>
          <w:tcPr>
            <w:tcW w:w="2340" w:type="dxa"/>
            <w:shd w:val="clear" w:color="auto" w:fill="F2F2F2"/>
          </w:tcPr>
          <w:p>
            <w:pPr/>
            <w:r>
              <w:t xml:space="preserve">Study and model</w:t>
            </w:r>
          </w:p>
        </w:tc>
        <w:tc>
          <w:tcPr>
            <w:tcW w:w="2340" w:type="dxa"/>
            <w:shd w:val="clear" w:color="auto" w:fill="F2F2F2"/>
          </w:tcPr>
          <w:p>
            <w:pPr/>
            <w:r>
              <w:t xml:space="preserve">Setup caveat</w:t>
            </w:r>
          </w:p>
        </w:tc>
      </w:tr>
      <w:tr>
        <w:tc>
          <w:tcPr>
            <w:tcW w:w="2340" w:type="dxa"/>
          </w:tcPr>
          <w:p>
            <w:pPr/>
            <w:r>
              <w:t xml:space="preserve">Binary (benign vs attack)</w:t>
            </w:r>
          </w:p>
        </w:tc>
        <w:tc>
          <w:tcPr>
            <w:tcW w:w="2340" w:type="dxa"/>
          </w:tcPr>
          <w:p>
            <w:pPr/>
            <w:r>
              <w:t xml:space="preserve">99.995%</w:t>
            </w:r>
          </w:p>
        </w:tc>
        <w:tc>
          <w:tcPr>
            <w:tcW w:w="2340" w:type="dxa"/>
          </w:tcPr>
          <w:p>
            <w:pPr/>
            <w:r>
              <w:t xml:space="preserve">Yaras &amp; Dener (2024), 1D-CNN + LSTM</w:t>
            </w:r>
          </w:p>
        </w:tc>
        <w:tc>
          <w:tcPr>
            <w:tcW w:w="2340" w:type="dxa"/>
          </w:tcPr>
          <w:p>
            <w:pPr/>
            <w:r>
              <w:t xml:space="preserve">Subset and balancing not recorded</w:t>
            </w:r>
          </w:p>
        </w:tc>
      </w:tr>
      <w:tr>
        <w:tc>
          <w:tcPr>
            <w:tcW w:w="2340" w:type="dxa"/>
          </w:tcPr>
          <w:p>
            <w:pPr/>
            <w:r>
              <w:t xml:space="preserve">Binary</w:t>
            </w:r>
          </w:p>
        </w:tc>
        <w:tc>
          <w:tcPr>
            <w:tcW w:w="2340" w:type="dxa"/>
          </w:tcPr>
          <w:p>
            <w:pPr/>
            <w:r>
              <w:t xml:space="preserve">99.80%</w:t>
            </w:r>
          </w:p>
        </w:tc>
        <w:tc>
          <w:tcPr>
            <w:tcW w:w="2340" w:type="dxa"/>
          </w:tcPr>
          <w:p>
            <w:pPr/>
            <w:r>
              <w:t xml:space="preserve">Mughogho (2025), soft-voting ensemble</w:t>
            </w:r>
          </w:p>
        </w:tc>
        <w:tc>
          <w:tcPr>
            <w:tcW w:w="2340" w:type="dxa"/>
          </w:tcPr>
          <w:p>
            <w:pPr/>
            <w:r>
              <w:t xml:space="preserve">Benign-class recall of members only 89–93%</w:t>
            </w:r>
          </w:p>
        </w:tc>
      </w:tr>
      <w:tr>
        <w:tc>
          <w:tcPr>
            <w:tcW w:w="2340" w:type="dxa"/>
          </w:tcPr>
          <w:p>
            <w:pPr/>
            <w:r>
              <w:t xml:space="preserve">Binary</w:t>
            </w:r>
          </w:p>
        </w:tc>
        <w:tc>
          <w:tcPr>
            <w:tcW w:w="2340" w:type="dxa"/>
          </w:tcPr>
          <w:p>
            <w:pPr/>
            <w:r>
              <w:t xml:space="preserve">99.61% (macro-F1 0.995)</w:t>
            </w:r>
          </w:p>
        </w:tc>
        <w:tc>
          <w:tcPr>
            <w:tcW w:w="2340" w:type="dxa"/>
          </w:tcPr>
          <w:p>
            <w:pPr/>
            <w:r>
              <w:t xml:space="preserve">Almahaqeri et al. (2026), XGBoost</w:t>
            </w:r>
          </w:p>
        </w:tc>
        <w:tc>
          <w:tcPr>
            <w:tcW w:w="2340" w:type="dxa"/>
          </w:tcPr>
          <w:p>
            <w:pPr/>
            <w:r>
              <w:t xml:space="preserve">Undersampled evaluation</w:t>
            </w:r>
          </w:p>
        </w:tc>
      </w:tr>
      <w:tr>
        <w:tc>
          <w:tcPr>
            <w:tcW w:w="2340" w:type="dxa"/>
          </w:tcPr>
          <w:p>
            <w:pPr/>
            <w:r>
              <w:t xml:space="preserve">Coarse attack family (8 classes)</w:t>
            </w:r>
          </w:p>
        </w:tc>
        <w:tc>
          <w:tcPr>
            <w:tcW w:w="2340" w:type="dxa"/>
          </w:tcPr>
          <w:p>
            <w:pPr/>
            <w:r>
              <w:t xml:space="preserve">Above 99.4%</w:t>
            </w:r>
          </w:p>
        </w:tc>
        <w:tc>
          <w:tcPr>
            <w:tcW w:w="2340" w:type="dxa"/>
          </w:tcPr>
          <w:p>
            <w:pPr/>
            <w:r>
              <w:t xml:space="preserve">Almahaqeri et al. (2026)</w:t>
            </w:r>
          </w:p>
        </w:tc>
        <w:tc>
          <w:tcPr>
            <w:tcW w:w="2340" w:type="dxa"/>
          </w:tcPr>
          <w:p>
            <w:pPr/>
            <w:r>
              <w:t xml:space="preserve">Undersampled evaluation</w:t>
            </w:r>
          </w:p>
        </w:tc>
      </w:tr>
      <w:tr>
        <w:tc>
          <w:tcPr>
            <w:tcW w:w="2340" w:type="dxa"/>
          </w:tcPr>
          <w:p>
            <w:pPr/>
            <w:r>
              <w:t xml:space="preserve">Fine-grained (34 classes)</w:t>
            </w:r>
          </w:p>
        </w:tc>
        <w:tc>
          <w:tcPr>
            <w:tcW w:w="2340" w:type="dxa"/>
          </w:tcPr>
          <w:p>
            <w:pPr/>
            <w:r>
              <w:t xml:space="preserve">Above 99.4%</w:t>
            </w:r>
          </w:p>
        </w:tc>
        <w:tc>
          <w:tcPr>
            <w:tcW w:w="2340" w:type="dxa"/>
          </w:tcPr>
          <w:p>
            <w:pPr/>
            <w:r>
              <w:t xml:space="preserve">Almahaqeri et al. (2026)</w:t>
            </w:r>
          </w:p>
        </w:tc>
        <w:tc>
          <w:tcPr>
            <w:tcW w:w="2340" w:type="dxa"/>
          </w:tcPr>
          <w:p>
            <w:pPr/>
            <w:r>
              <w:t xml:space="preserve">Undersampled evaluation</w:t>
            </w:r>
          </w:p>
        </w:tc>
      </w:tr>
      <w:tr>
        <w:tc>
          <w:tcPr>
            <w:tcW w:w="2340" w:type="dxa"/>
          </w:tcPr>
          <w:p>
            <w:pPr/>
            <w:r>
              <w:t xml:space="preserve">Fine-grained (34 classes)</w:t>
            </w:r>
          </w:p>
        </w:tc>
        <w:tc>
          <w:tcPr>
            <w:tcW w:w="2340" w:type="dxa"/>
          </w:tcPr>
          <w:p>
            <w:pPr/>
            <w:r>
              <w:t xml:space="preserve">98.58%</w:t>
            </w:r>
          </w:p>
        </w:tc>
        <w:tc>
          <w:tcPr>
            <w:tcW w:w="2340" w:type="dxa"/>
          </w:tcPr>
          <w:p>
            <w:pPr/>
            <w:r>
              <w:t xml:space="preserve">Meena &amp; Indian (2025), enhanced LSTM</w:t>
            </w:r>
          </w:p>
        </w:tc>
        <w:tc>
          <w:tcPr>
            <w:tcW w:w="2340" w:type="dxa"/>
          </w:tcPr>
          <w:p>
            <w:pPr/>
            <w:r>
              <w:t xml:space="preserve">Subset of about 2.54 million records</w:t>
            </w:r>
          </w:p>
        </w:tc>
      </w:tr>
      <w:tr>
        <w:tc>
          <w:tcPr>
            <w:tcW w:w="2340" w:type="dxa"/>
          </w:tcPr>
          <w:p>
            <w:pPr/>
            <w:r>
              <w:t xml:space="preserve">DoS, DDoS, Mirai and benign (20 classes)</w:t>
            </w:r>
          </w:p>
        </w:tc>
        <w:tc>
          <w:tcPr>
            <w:tcW w:w="2340" w:type="dxa"/>
          </w:tcPr>
          <w:p>
            <w:pPr/>
            <w:r>
              <w:t xml:space="preserve">99.96%</w:t>
            </w:r>
          </w:p>
        </w:tc>
        <w:tc>
          <w:tcPr>
            <w:tcW w:w="2340" w:type="dxa"/>
          </w:tcPr>
          <w:p>
            <w:pPr/>
            <w:r>
              <w:t xml:space="preserve">Hajjouz &amp; Avksentieva (2024), CatBoost</w:t>
            </w:r>
          </w:p>
        </w:tc>
        <w:tc>
          <w:tcPr>
            <w:tcW w:w="2340" w:type="dxa"/>
          </w:tcPr>
          <w:p>
            <w:pPr/>
            <w:r>
              <w:t xml:space="preserve">Full 45.8 million flows, stratified split, six-fold validation</w:t>
            </w:r>
          </w:p>
        </w:tc>
      </w:tr>
      <w:tr>
        <w:tc>
          <w:tcPr>
            <w:tcW w:w="2340" w:type="dxa"/>
          </w:tcPr>
          <w:p>
            <w:pPr/>
            <w:r>
              <w:t xml:space="preserve">Multiclass, other label sets</w:t>
            </w:r>
          </w:p>
        </w:tc>
        <w:tc>
          <w:tcPr>
            <w:tcW w:w="2340" w:type="dxa"/>
          </w:tcPr>
          <w:p>
            <w:pPr/>
            <w:r>
              <w:t xml:space="preserve">99.96% / 99.25% / 98.88%</w:t>
            </w:r>
          </w:p>
        </w:tc>
        <w:tc>
          <w:tcPr>
            <w:tcW w:w="2340" w:type="dxa"/>
          </w:tcPr>
          <w:p>
            <w:pPr/>
            <w:r>
              <w:t xml:space="preserve">Yaras &amp; Dener; Mughogho; Khan et al. (2026)</w:t>
            </w:r>
          </w:p>
        </w:tc>
        <w:tc>
          <w:tcPr>
            <w:tcW w:w="2340" w:type="dxa"/>
          </w:tcPr>
          <w:p>
            <w:pPr/>
            <w:r>
              <w:t xml:space="preserve">Class counts not always stated</w:t>
            </w:r>
          </w:p>
        </w:tc>
      </w:tr>
      <w:tr>
        <w:tc>
          <w:tcPr>
            <w:tcW w:w="2340" w:type="dxa"/>
          </w:tcPr>
          <w:p>
            <w:pPr/>
            <w:r>
              <w:t xml:space="preserve">Full 34 classes, natural imbalance</w:t>
            </w:r>
          </w:p>
        </w:tc>
        <w:tc>
          <w:tcPr>
            <w:tcW w:w="2340" w:type="dxa"/>
          </w:tcPr>
          <w:p>
            <w:pPr/>
            <w:r>
              <w:t xml:space="preserve">76.88% accuracy, 0.54 macro-F1</w:t>
            </w:r>
          </w:p>
        </w:tc>
        <w:tc>
          <w:tcPr>
            <w:tcW w:w="2340" w:type="dxa"/>
          </w:tcPr>
          <w:p>
            <w:pPr/>
            <w:r>
              <w:t xml:space="preserve">Kwari &amp; Rajkumar (2025), soft-voting ensemble</w:t>
            </w:r>
          </w:p>
        </w:tc>
        <w:tc>
          <w:tcPr>
            <w:tcW w:w="2340" w:type="dxa"/>
          </w:tcPr>
          <w:p>
            <w:pPr/>
            <w:r>
              <w:t xml:space="preserve">100,000-sample subset, no rebalancing</w:t>
            </w:r>
          </w:p>
        </w:tc>
      </w:tr>
      <w:tr>
        <w:tc>
          <w:tcPr>
            <w:tcW w:w="2340" w:type="dxa"/>
          </w:tcPr>
          <w:p>
            <w:pPr/>
            <w:r>
              <w:t xml:space="preserve">Six harmonised classes</w:t>
            </w:r>
          </w:p>
        </w:tc>
        <w:tc>
          <w:tcPr>
            <w:tcW w:w="2340" w:type="dxa"/>
          </w:tcPr>
          <w:p>
            <w:pPr/>
            <w:r>
              <w:t xml:space="preserve">96.02%</w:t>
            </w:r>
          </w:p>
        </w:tc>
        <w:tc>
          <w:tcPr>
            <w:tcW w:w="2340" w:type="dxa"/>
          </w:tcPr>
          <w:p>
            <w:pPr/>
            <w:r>
              <w:t xml:space="preserve">Imran et al. (2026), LSTM</w:t>
            </w:r>
          </w:p>
        </w:tc>
        <w:tc>
          <w:tcPr>
            <w:tcW w:w="2340" w:type="dxa"/>
          </w:tcPr>
          <w:p>
            <w:pPr/>
            <w:r>
              <w:t xml:space="preserve">18,000 samples from two datasets</w:t>
            </w:r>
          </w:p>
        </w:tc>
      </w:tr>
    </w:tbl>
    <w:p>
      <w:pPr/>
      <w:r>
        <w:rPr>
          <w:b/>
        </w:rPr>
        <w:t xml:space="preserve">Reading the table.</w:t>
      </w:r>
      <w:r>
        <w:t xml:space="preserve"> The strongest evidence for high performance on a large, realistic subset is Hajjouz &amp; Avksentieva, because the split is stratified and results hold across six folds (accuracy 0.99987–0.999925). Even so, their metrics are equal to each other, which suggests averaging by sample count, and macro-F1 is not reported. The only study designed to expose imbalance is Kwari &amp; Rajkumar, and it shows what the other numbers hide: rare classes such as Backdoor Malware, SQL Injection and XSS score F1 of 0.00.</w:t>
      </w:r>
    </w:p>
    <w:p>
      <w:pPr>
        <w:pStyle w:val="Heading2"/>
      </w:pPr>
      <w:r>
        <w:t xml:space="preserve">3. SOTA by method family</w:t>
      </w:r>
    </w:p>
    <w:p>
      <w:pPr>
        <w:pStyle w:val="Heading3"/>
      </w:pPr>
      <w:r>
        <w:t xml:space="preserve">3.1 Boosted trees with feature selection</w:t>
      </w:r>
    </w:p>
    <w:p>
      <w:pPr/>
      <w:r>
        <w:t xml:space="preserve">Boosted trees are the most consistent top performers. CatBoost reaches 99.96% on 20 classes after Spearman-based clustering reduced the features to 23 (Hajjouz &amp; Avksentieva, 2024). XGBoost reaches 99.61% in binary detection after features are halved from 46 to 23 (Almahaqeri et al., 2026). LightGBM with Boruta and greedy forward selection reaches 98.88% on CICIoT2023 (Khan et al., 2026). Halving features cuts inference latency by 30–51% and training time by 33–40% at a cost of at most 0.014 accuracy points.</w:t>
      </w:r>
    </w:p>
    <w:p>
      <w:pPr>
        <w:pStyle w:val="Heading3"/>
      </w:pPr>
      <w:r>
        <w:t xml:space="preserve">3.2 Deep learning</w:t>
      </w:r>
    </w:p>
    <w:p>
      <w:pPr/>
      <w:r>
        <w:t xml:space="preserve">Deep models also reach very high accuracy: a hybrid 1D-CNN and LSTM gives 99.995% binary and 99.96% multiclass (Yaras &amp; Dener, 2024), and an enhanced two-layer LSTM gives 98.58% on 34 classes (Meena &amp; Indian, 2025). Their advantage is clearest against weak baselines: in Meena &amp; Indian, logistic regression scores 80.13% and AdaBoost 66.79% on CICIoT2023, against 98.26% for a plain DNN. The enhanced LSTM leads the DNN by only 0.32 points.</w:t>
      </w:r>
    </w:p>
    <w:p>
      <w:pPr>
        <w:pStyle w:val="Heading3"/>
      </w:pPr>
      <w:r>
        <w:t xml:space="preserve">3.3 Head-to-head evidence disagrees</w:t>
      </w:r>
    </w:p>
    <w:p>
      <w:pPr/>
      <w:r>
        <w:t xml:space="preserve">Two studies compare deep and tree models on the same pipeline, and they disagree:</w:t>
      </w:r>
    </w:p>
    <w:p>
      <w:pPr>
        <w:pStyle w:val="ListParagraph"/>
        <w:numPr>
          <w:ilvl w:val="0"/>
          <w:numId w:val="3"/>
        </w:numPr>
      </w:pPr>
      <w:r>
        <w:rPr>
          <w:b/>
        </w:rPr>
        <w:t xml:space="preserve">Imran et al. (2026):</w:t>
      </w:r>
      <w:r>
        <w:t xml:space="preserve"> LSTM (96.02%) beats Transformer (95.14%), CNN (94.18%), XGBoost (92.38%), random forest (91.46%) and decision tree (88.72%) on 18,000 samples with six classes.</w:t>
      </w:r>
    </w:p>
    <w:p>
      <w:pPr>
        <w:pStyle w:val="ListParagraph"/>
        <w:numPr>
          <w:ilvl w:val="0"/>
          <w:numId w:val="3"/>
        </w:numPr>
      </w:pPr>
      <w:r>
        <w:rPr>
          <w:b/>
        </w:rPr>
        <w:t xml:space="preserve">Mishra &amp; Reddy (2026, preprint):</w:t>
      </w:r>
      <w:r>
        <w:t xml:space="preserve"> hybrid deep-feature XGBoost (0.921 accuracy, 0.858 F1) beats the hybrid CNN-BiLSTM-attention-Transformer model (0.898, 0.829), macro-averaged over three datasets.</w:t>
      </w:r>
    </w:p>
    <w:p>
      <w:pPr/>
      <w:r>
        <w:t xml:space="preserve">The small sample in the first study and the dataset averaging in the second make both weak evidence. No study here compares tuned boosting and tuned deep models on the full CICIoT2023 with the same split and metrics.</w:t>
      </w:r>
    </w:p>
    <w:p>
      <w:pPr>
        <w:pStyle w:val="Heading3"/>
      </w:pPr>
      <w:r>
        <w:t xml:space="preserve">3.4 Ensembles and voting</w:t>
      </w:r>
    </w:p>
    <w:p>
      <w:pPr/>
      <w:r>
        <w:t xml:space="preserve">Voting ensembles give modest, consistent gains. In Kwari &amp; Rajkumar (2025) the soft-voting model leads its best member by 1.73 points (76.88% against 75.15%). In Mughogho (2025) the lead is 0.11–0.29 points in binary accuracy and 0.14 points in multiclass. These gains are small compared with the effect of the label set or of rebalancing.</w:t>
      </w:r>
    </w:p>
    <w:p>
      <w:pPr>
        <w:pStyle w:val="Heading2"/>
      </w:pPr>
      <w:r>
        <w:t xml:space="preserve">4. SOTA on efficiency</w:t>
      </w:r>
    </w:p>
    <w:p>
      <w:pPr/>
      <w:r>
        <w:t xml:space="preserve">Efficiency is where the recent progress is clearest.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Study</w:t>
            </w:r>
          </w:p>
        </w:tc>
        <w:tc>
          <w:tcPr>
            <w:tcW w:w="3120" w:type="dxa"/>
            <w:shd w:val="clear" w:color="auto" w:fill="F2F2F2"/>
          </w:tcPr>
          <w:p>
            <w:pPr/>
            <w:r>
              <w:t xml:space="preserve">Model</w:t>
            </w:r>
          </w:p>
        </w:tc>
        <w:tc>
          <w:tcPr>
            <w:tcW w:w="3120" w:type="dxa"/>
            <w:shd w:val="clear" w:color="auto" w:fill="F2F2F2"/>
          </w:tcPr>
          <w:p>
            <w:pPr/>
            <w:r>
              <w:t xml:space="preserve">Cost reported</w:t>
            </w:r>
          </w:p>
        </w:tc>
      </w:tr>
      <w:tr>
        <w:tc>
          <w:tcPr>
            <w:tcW w:w="3120" w:type="dxa"/>
          </w:tcPr>
          <w:p>
            <w:pPr/>
            <w:r>
              <w:t xml:space="preserve">Almahaqeri et al. (2026)</w:t>
            </w:r>
          </w:p>
        </w:tc>
        <w:tc>
          <w:tcPr>
            <w:tcW w:w="3120" w:type="dxa"/>
          </w:tcPr>
          <w:p>
            <w:pPr/>
            <w:r>
              <w:t xml:space="preserve">XGBoost, 23 features</w:t>
            </w:r>
          </w:p>
        </w:tc>
        <w:tc>
          <w:tcPr>
            <w:tcW w:w="3120" w:type="dxa"/>
          </w:tcPr>
          <w:p>
            <w:pPr/>
            <w:r>
              <w:t xml:space="preserve">0.355 µs per sample (binary)</w:t>
            </w:r>
          </w:p>
        </w:tc>
      </w:tr>
      <w:tr>
        <w:tc>
          <w:tcPr>
            <w:tcW w:w="3120" w:type="dxa"/>
          </w:tcPr>
          <w:p>
            <w:pPr/>
            <w:r>
              <w:t xml:space="preserve">Hajjouz &amp; Avksentieva (2024)</w:t>
            </w:r>
          </w:p>
        </w:tc>
        <w:tc>
          <w:tcPr>
            <w:tcW w:w="3120" w:type="dxa"/>
          </w:tcPr>
          <w:p>
            <w:pPr/>
            <w:r>
              <w:t xml:space="preserve">CatBoost, 23 features</w:t>
            </w:r>
          </w:p>
        </w:tc>
        <w:tc>
          <w:tcPr>
            <w:tcW w:w="3120" w:type="dxa"/>
          </w:tcPr>
          <w:p>
            <w:pPr/>
            <w:r>
              <w:t xml:space="preserve">7.16e-07 s per flow; 9.84 s for the whole test set</w:t>
            </w:r>
          </w:p>
        </w:tc>
      </w:tr>
      <w:tr>
        <w:tc>
          <w:tcPr>
            <w:tcW w:w="3120" w:type="dxa"/>
          </w:tcPr>
          <w:p>
            <w:pPr/>
            <w:r>
              <w:t xml:space="preserve">Imran et al. (2026)</w:t>
            </w:r>
          </w:p>
        </w:tc>
        <w:tc>
          <w:tcPr>
            <w:tcW w:w="3120" w:type="dxa"/>
          </w:tcPr>
          <w:p>
            <w:pPr/>
            <w:r>
              <w:t xml:space="preserve">DT / RF / XGBoost / CNN / LSTM / Transformer</w:t>
            </w:r>
          </w:p>
        </w:tc>
        <w:tc>
          <w:tcPr>
            <w:tcW w:w="3120" w:type="dxa"/>
          </w:tcPr>
          <w:p>
            <w:pPr/>
            <w:r>
              <w:t xml:space="preserve">8 / 12 / 18 / 45 / 78 / 95 ms</w:t>
            </w:r>
          </w:p>
        </w:tc>
      </w:tr>
      <w:tr>
        <w:tc>
          <w:tcPr>
            <w:tcW w:w="3120" w:type="dxa"/>
          </w:tcPr>
          <w:p>
            <w:pPr/>
            <w:r>
              <w:t xml:space="preserve">Khan et al. (2026)</w:t>
            </w:r>
          </w:p>
        </w:tc>
        <w:tc>
          <w:tcPr>
            <w:tcW w:w="3120" w:type="dxa"/>
          </w:tcPr>
          <w:p>
            <w:pPr/>
            <w:r>
              <w:t xml:space="preserve">BGL-RID</w:t>
            </w:r>
          </w:p>
        </w:tc>
        <w:tc>
          <w:tcPr>
            <w:tcW w:w="3120" w:type="dxa"/>
          </w:tcPr>
          <w:p>
            <w:pPr/>
            <w:r>
              <w:t xml:space="preserve">"Efficiency ratio" combining accuracy with compute and memory</w:t>
            </w:r>
          </w:p>
        </w:tc>
      </w:tr>
      <w:tr>
        <w:tc>
          <w:tcPr>
            <w:tcW w:w="3120" w:type="dxa"/>
          </w:tcPr>
          <w:p>
            <w:pPr/>
            <w:r>
              <w:t xml:space="preserve">Yaras &amp; Dener (2024)</w:t>
            </w:r>
          </w:p>
        </w:tc>
        <w:tc>
          <w:tcPr>
            <w:tcW w:w="3120" w:type="dxa"/>
          </w:tcPr>
          <w:p>
            <w:pPr/>
            <w:r>
              <w:t xml:space="preserve">1D-CNN + LSTM</w:t>
            </w:r>
          </w:p>
        </w:tc>
        <w:tc>
          <w:tcPr>
            <w:tcW w:w="3120" w:type="dxa"/>
          </w:tcPr>
          <w:p>
            <w:pPr/>
            <w:r>
              <w:t xml:space="preserve">Long training on large data noted, no figure recorded</w:t>
            </w:r>
          </w:p>
        </w:tc>
      </w:tr>
    </w:tbl>
    <w:p>
      <w:pPr/>
      <w:r>
        <w:t xml:space="preserve">The microsecond figures are per-sample times in batch evaluation, while Imran et al. report per-detection times in milliseconds, so the two groups are not directly comparable. What is clear is that tree ensembles with about 23 features are orders of magnitude cheaper than recurrent or attention models, and none of the papers reports memory, energy or tests on IoT-class hardware.</w:t>
      </w:r>
    </w:p>
    <w:p>
      <w:pPr>
        <w:pStyle w:val="Heading2"/>
      </w:pPr>
      <w:r>
        <w:t xml:space="preserve">5. Where no SOTA exists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Capability</w:t>
            </w:r>
          </w:p>
        </w:tc>
        <w:tc>
          <w:tcPr>
            <w:tcW w:w="3120" w:type="dxa"/>
            <w:shd w:val="clear" w:color="auto" w:fill="F2F2F2"/>
          </w:tcPr>
          <w:p>
            <w:pPr/>
            <w:r>
              <w:t xml:space="preserve">Evidence in the 20 studies</w:t>
            </w:r>
          </w:p>
        </w:tc>
        <w:tc>
          <w:tcPr>
            <w:tcW w:w="3120" w:type="dxa"/>
            <w:shd w:val="clear" w:color="auto" w:fill="F2F2F2"/>
          </w:tcPr>
          <w:p>
            <w:pPr/>
            <w:r>
              <w:t xml:space="preserve">Status</w:t>
            </w:r>
          </w:p>
        </w:tc>
      </w:tr>
      <w:tr>
        <w:tc>
          <w:tcPr>
            <w:tcW w:w="3120" w:type="dxa"/>
          </w:tcPr>
          <w:p>
            <w:pPr/>
            <w:r>
              <w:t xml:space="preserve">Explainability</w:t>
            </w:r>
          </w:p>
        </w:tc>
        <w:tc>
          <w:tcPr>
            <w:tcW w:w="3120" w:type="dxa"/>
          </w:tcPr>
          <w:p>
            <w:pPr/>
            <w:r>
              <w:t xml:space="preserve">SHAP and LIME used (Imran et al.; Hajjouz &amp; Avksentieva). Top features differ: flow duration, packet rate and bytes per second in one; IAT, SYN flag count and total size in the other</w:t>
            </w:r>
          </w:p>
        </w:tc>
        <w:tc>
          <w:tcPr>
            <w:tcW w:w="3120" w:type="dxa"/>
          </w:tcPr>
          <w:p>
            <w:pPr/>
            <w:r>
              <w:t xml:space="preserve">Qualitative only; no fidelity or stability numbers</w:t>
            </w:r>
          </w:p>
        </w:tc>
      </w:tr>
      <w:tr>
        <w:tc>
          <w:tcPr>
            <w:tcW w:w="3120" w:type="dxa"/>
          </w:tcPr>
          <w:p>
            <w:pPr/>
            <w:r>
              <w:t xml:space="preserve">Adversarial robustness</w:t>
            </w:r>
          </w:p>
        </w:tc>
        <w:tc>
          <w:tcPr>
            <w:tcW w:w="3120" w:type="dxa"/>
          </w:tcPr>
          <w:p>
            <w:pPr/>
            <w:r>
              <w:t xml:space="preserve">Under 5% of 216 robustness studies use CICIoT2023 (Winanto &amp; Idris, 2026); about 4% of ML-IDS papers test robustness (Ahmed et al., 2026)</w:t>
            </w:r>
          </w:p>
        </w:tc>
        <w:tc>
          <w:tcPr>
            <w:tcW w:w="3120" w:type="dxa"/>
          </w:tcPr>
          <w:p>
            <w:pPr/>
            <w:r>
              <w:t xml:space="preserve">No CICIoT2023 result here is robustness-tested</w:t>
            </w:r>
          </w:p>
        </w:tc>
      </w:tr>
      <w:tr>
        <w:tc>
          <w:tcPr>
            <w:tcW w:w="3120" w:type="dxa"/>
          </w:tcPr>
          <w:p>
            <w:pPr/>
            <w:r>
              <w:t xml:space="preserve">Federated, privacy-preserving training</w:t>
            </w:r>
          </w:p>
        </w:tc>
        <w:tc>
          <w:tcPr>
            <w:tcW w:w="3120" w:type="dxa"/>
          </w:tcPr>
          <w:p>
            <w:pPr/>
            <w:r>
              <w:t xml:space="preserve">Federated stage of Mishra &amp; Reddy not yet run; most FL-IDS work stops at data locality (Bunko et al., 2026)</w:t>
            </w:r>
          </w:p>
        </w:tc>
        <w:tc>
          <w:tcPr>
            <w:tcW w:w="3120" w:type="dxa"/>
          </w:tcPr>
          <w:p>
            <w:pPr/>
            <w:r>
              <w:t xml:space="preserve">No validated result</w:t>
            </w:r>
          </w:p>
        </w:tc>
      </w:tr>
      <w:tr>
        <w:tc>
          <w:tcPr>
            <w:tcW w:w="3120" w:type="dxa"/>
          </w:tcPr>
          <w:p>
            <w:pPr/>
            <w:r>
              <w:t xml:space="preserve">Production or streaming validation</w:t>
            </w:r>
          </w:p>
        </w:tc>
        <w:tc>
          <w:tcPr>
            <w:tcW w:w="3120" w:type="dxa"/>
          </w:tcPr>
          <w:p>
            <w:pPr/>
            <w:r>
              <w:t xml:space="preserve">None of the 125 reviewed ML-IDS papers validates in production (Ahmed et al., 2026)</w:t>
            </w:r>
          </w:p>
        </w:tc>
        <w:tc>
          <w:tcPr>
            <w:tcW w:w="3120" w:type="dxa"/>
          </w:tcPr>
          <w:p>
            <w:pPr/>
            <w:r>
              <w:t xml:space="preserve">No result</w:t>
            </w:r>
          </w:p>
        </w:tc>
      </w:tr>
      <w:tr>
        <w:tc>
          <w:tcPr>
            <w:tcW w:w="3120" w:type="dxa"/>
          </w:tcPr>
          <w:p>
            <w:pPr/>
            <w:r>
              <w:t xml:space="preserve">Cross-dataset generalisation</w:t>
            </w:r>
          </w:p>
        </w:tc>
        <w:tc>
          <w:tcPr>
            <w:tcW w:w="3120" w:type="dxa"/>
          </w:tcPr>
          <w:p>
            <w:pPr/>
            <w:r>
              <w:t xml:space="preserve">Best method changes by dataset; real-traffic LITNET scores lowest (Mondragon et al., 2025)</w:t>
            </w:r>
          </w:p>
        </w:tc>
        <w:tc>
          <w:tcPr>
            <w:tcW w:w="3120" w:type="dxa"/>
          </w:tcPr>
          <w:p>
            <w:pPr/>
            <w:r>
              <w:t xml:space="preserve">Evidence against any universal best model</w:t>
            </w:r>
          </w:p>
        </w:tc>
      </w:tr>
    </w:tbl>
    <w:p>
      <w:pPr>
        <w:pStyle w:val="Heading2"/>
      </w:pPr>
      <w:r>
        <w:t xml:space="preserve">6. Trends</w:t>
      </w:r>
    </w:p>
    <w:p>
      <w:pPr>
        <w:pStyle w:val="ListParagraph"/>
        <w:numPr>
          <w:ilvl w:val="0"/>
          <w:numId w:val="4"/>
        </w:numPr>
      </w:pPr>
      <w:r>
        <w:rPr>
          <w:b/>
        </w:rPr>
        <w:t xml:space="preserve">Saturation.</w:t>
      </w:r>
      <w:r>
        <w:t xml:space="preserve"> Top accuracy was about 99.96% in 2024 (Hajjouz &amp; Avksentieva; Yaras &amp; Dener) and is still about 99.6–99.96% in 2026, so accuracy no longer separates methods.</w:t>
      </w:r>
    </w:p>
    <w:p>
      <w:pPr>
        <w:pStyle w:val="ListParagraph"/>
        <w:numPr>
          <w:ilvl w:val="0"/>
          <w:numId w:val="4"/>
        </w:numPr>
      </w:pPr>
      <w:r>
        <w:rPr>
          <w:b/>
        </w:rPr>
        <w:t xml:space="preserve">From accuracy to cost.</w:t>
      </w:r>
      <w:r>
        <w:t xml:space="preserve"> Newer work reports latency, training time and feature counts (Almahaqeri et al.; Khan et al.).</w:t>
      </w:r>
    </w:p>
    <w:p>
      <w:pPr>
        <w:pStyle w:val="ListParagraph"/>
        <w:numPr>
          <w:ilvl w:val="0"/>
          <w:numId w:val="4"/>
        </w:numPr>
      </w:pPr>
      <w:r>
        <w:rPr>
          <w:b/>
        </w:rPr>
        <w:t xml:space="preserve">Feature reduction as a default.</w:t>
      </w:r>
      <w:r>
        <w:t xml:space="preserve"> Studies reduce features to 23 (CatBoost, XGBoost) or use mutual-information, Boruta or correlation methods.</w:t>
      </w:r>
    </w:p>
    <w:p>
      <w:pPr>
        <w:pStyle w:val="ListParagraph"/>
        <w:numPr>
          <w:ilvl w:val="0"/>
          <w:numId w:val="4"/>
        </w:numPr>
      </w:pPr>
      <w:r>
        <w:rPr>
          <w:b/>
        </w:rPr>
        <w:t xml:space="preserve">Boosting over deep models on tabular flows.</w:t>
      </w:r>
      <w:r>
        <w:t xml:space="preserve"> Tree ensembles dominate the efficient end, while deep models are used for sequence claims and hybrids.</w:t>
      </w:r>
    </w:p>
    <w:p>
      <w:pPr>
        <w:pStyle w:val="ListParagraph"/>
        <w:numPr>
          <w:ilvl w:val="0"/>
          <w:numId w:val="4"/>
        </w:numPr>
      </w:pPr>
      <w:r>
        <w:rPr>
          <w:b/>
        </w:rPr>
        <w:t xml:space="preserve">Explainability as an add-on.</w:t>
      </w:r>
      <w:r>
        <w:t xml:space="preserve"> SHAP is attached after training and is not evaluated.</w:t>
      </w:r>
    </w:p>
    <w:p>
      <w:pPr>
        <w:pStyle w:val="ListParagraph"/>
        <w:numPr>
          <w:ilvl w:val="0"/>
          <w:numId w:val="4"/>
        </w:numPr>
      </w:pPr>
      <w:r>
        <w:rPr>
          <w:b/>
        </w:rPr>
        <w:t xml:space="preserve">Benchmarking begins.</w:t>
      </w:r>
      <w:r>
        <w:t xml:space="preserve"> Mondragon et al. provide fixed splits for 14 datasets, a prerequisite for real SOTA claims.</w:t>
      </w:r>
    </w:p>
    <w:p>
      <w:pPr>
        <w:pStyle w:val="Heading2"/>
      </w:pPr>
      <w:r>
        <w:t xml:space="preserve">7. Credibility of the evidence</w:t>
      </w:r>
    </w:p>
    <w:p>
      <w:pPr/>
      <w:r>
        <w:t xml:space="preserve">The table shows how well each study's design supports a SOTA claim, based on what I could read in each paper.</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Study</w:t>
            </w:r>
          </w:p>
        </w:tc>
        <w:tc>
          <w:tcPr>
            <w:tcW w:w="1560" w:type="dxa"/>
            <w:shd w:val="clear" w:color="auto" w:fill="F2F2F2"/>
          </w:tcPr>
          <w:p>
            <w:pPr/>
            <w:r>
              <w:t xml:space="preserve">Natural-distribution test</w:t>
            </w:r>
          </w:p>
        </w:tc>
        <w:tc>
          <w:tcPr>
            <w:tcW w:w="1560" w:type="dxa"/>
            <w:shd w:val="clear" w:color="auto" w:fill="F2F2F2"/>
          </w:tcPr>
          <w:p>
            <w:pPr/>
            <w:r>
              <w:t xml:space="preserve">Macro or per-class metrics</w:t>
            </w:r>
          </w:p>
        </w:tc>
        <w:tc>
          <w:tcPr>
            <w:tcW w:w="1560" w:type="dxa"/>
            <w:shd w:val="clear" w:color="auto" w:fill="F2F2F2"/>
          </w:tcPr>
          <w:p>
            <w:pPr/>
            <w:r>
              <w:t xml:space="preserve">Repeated runs</w:t>
            </w:r>
          </w:p>
        </w:tc>
        <w:tc>
          <w:tcPr>
            <w:tcW w:w="1560" w:type="dxa"/>
            <w:shd w:val="clear" w:color="auto" w:fill="F2F2F2"/>
          </w:tcPr>
          <w:p>
            <w:pPr/>
            <w:r>
              <w:t xml:space="preserve">Cost reported</w:t>
            </w:r>
          </w:p>
        </w:tc>
        <w:tc>
          <w:tcPr>
            <w:tcW w:w="1560" w:type="dxa"/>
            <w:shd w:val="clear" w:color="auto" w:fill="F2F2F2"/>
          </w:tcPr>
          <w:p>
            <w:pPr/>
            <w:r>
              <w:t xml:space="preserve">Multiple datasets</w:t>
            </w:r>
          </w:p>
        </w:tc>
      </w:tr>
      <w:tr>
        <w:tc>
          <w:tcPr>
            <w:tcW w:w="1560" w:type="dxa"/>
          </w:tcPr>
          <w:p>
            <w:pPr/>
            <w:r>
              <w:t xml:space="preserve">Kwari &amp; Rajkumar (2025)</w:t>
            </w:r>
          </w:p>
        </w:tc>
        <w:tc>
          <w:tcPr>
            <w:tcW w:w="1560" w:type="dxa"/>
          </w:tcPr>
          <w:p>
            <w:pPr/>
            <w:r>
              <w:t xml:space="preserve">Yes</w:t>
            </w:r>
          </w:p>
        </w:tc>
        <w:tc>
          <w:tcPr>
            <w:tcW w:w="1560" w:type="dxa"/>
          </w:tcPr>
          <w:p>
            <w:pPr/>
            <w:r>
              <w:t xml:space="preserve">Yes</w:t>
            </w:r>
          </w:p>
        </w:tc>
        <w:tc>
          <w:tcPr>
            <w:tcW w:w="1560" w:type="dxa"/>
          </w:tcPr>
          <w:p>
            <w:pPr/>
            <w:r>
              <w:t xml:space="preserve">No (one split)</w:t>
            </w:r>
          </w:p>
        </w:tc>
        <w:tc>
          <w:tcPr>
            <w:tcW w:w="1560" w:type="dxa"/>
          </w:tcPr>
          <w:p>
            <w:pPr/>
            <w:r>
              <w:t xml:space="preserve">No</w:t>
            </w:r>
          </w:p>
        </w:tc>
        <w:tc>
          <w:tcPr>
            <w:tcW w:w="1560" w:type="dxa"/>
          </w:tcPr>
          <w:p>
            <w:pPr/>
            <w:r>
              <w:t xml:space="preserve">No</w:t>
            </w:r>
          </w:p>
        </w:tc>
      </w:tr>
      <w:tr>
        <w:tc>
          <w:tcPr>
            <w:tcW w:w="1560" w:type="dxa"/>
          </w:tcPr>
          <w:p>
            <w:pPr/>
            <w:r>
              <w:t xml:space="preserve">Hajjouz &amp; Avksentieva (2024)</w:t>
            </w:r>
          </w:p>
        </w:tc>
        <w:tc>
          <w:tcPr>
            <w:tcW w:w="1560" w:type="dxa"/>
          </w:tcPr>
          <w:p>
            <w:pPr/>
            <w:r>
              <w:t xml:space="preserve">Yes (stratified)</w:t>
            </w:r>
          </w:p>
        </w:tc>
        <w:tc>
          <w:tcPr>
            <w:tcW w:w="1560" w:type="dxa"/>
          </w:tcPr>
          <w:p>
            <w:pPr/>
            <w:r>
              <w:t xml:space="preserve">Confusion matrix; macro not reported</w:t>
            </w:r>
          </w:p>
        </w:tc>
        <w:tc>
          <w:tcPr>
            <w:tcW w:w="1560" w:type="dxa"/>
          </w:tcPr>
          <w:p>
            <w:pPr/>
            <w:r>
              <w:t xml:space="preserve">Yes (six folds)</w:t>
            </w:r>
          </w:p>
        </w:tc>
        <w:tc>
          <w:tcPr>
            <w:tcW w:w="1560" w:type="dxa"/>
          </w:tcPr>
          <w:p>
            <w:pPr/>
            <w:r>
              <w:t xml:space="preserve">Yes</w:t>
            </w:r>
          </w:p>
        </w:tc>
        <w:tc>
          <w:tcPr>
            <w:tcW w:w="1560" w:type="dxa"/>
          </w:tcPr>
          <w:p>
            <w:pPr/>
            <w:r>
              <w:t xml:space="preserve">No</w:t>
            </w:r>
          </w:p>
        </w:tc>
      </w:tr>
      <w:tr>
        <w:tc>
          <w:tcPr>
            <w:tcW w:w="1560" w:type="dxa"/>
          </w:tcPr>
          <w:p>
            <w:pPr/>
            <w:r>
              <w:t xml:space="preserve">Almahaqeri et al. (2026)</w:t>
            </w:r>
          </w:p>
        </w:tc>
        <w:tc>
          <w:tcPr>
            <w:tcW w:w="1560" w:type="dxa"/>
          </w:tcPr>
          <w:p>
            <w:pPr/>
            <w:r>
              <w:t xml:space="preserve">No (undersampled)</w:t>
            </w:r>
          </w:p>
        </w:tc>
        <w:tc>
          <w:tcPr>
            <w:tcW w:w="1560" w:type="dxa"/>
          </w:tcPr>
          <w:p>
            <w:pPr/>
            <w:r>
              <w:t xml:space="preserve">Yes (macro-F1)</w:t>
            </w:r>
          </w:p>
        </w:tc>
        <w:tc>
          <w:tcPr>
            <w:tcW w:w="1560" w:type="dxa"/>
          </w:tcPr>
          <w:p>
            <w:pPr/>
            <w:r>
              <w:t xml:space="preserve">Not recorded</w:t>
            </w:r>
          </w:p>
        </w:tc>
        <w:tc>
          <w:tcPr>
            <w:tcW w:w="1560" w:type="dxa"/>
          </w:tcPr>
          <w:p>
            <w:pPr/>
            <w:r>
              <w:t xml:space="preserve">Yes</w:t>
            </w:r>
          </w:p>
        </w:tc>
        <w:tc>
          <w:tcPr>
            <w:tcW w:w="1560" w:type="dxa"/>
          </w:tcPr>
          <w:p>
            <w:pPr/>
            <w:r>
              <w:t xml:space="preserve">No</w:t>
            </w:r>
          </w:p>
        </w:tc>
      </w:tr>
      <w:tr>
        <w:tc>
          <w:tcPr>
            <w:tcW w:w="1560" w:type="dxa"/>
          </w:tcPr>
          <w:p>
            <w:pPr/>
            <w:r>
              <w:t xml:space="preserve">Imran et al. (2026)</w:t>
            </w:r>
          </w:p>
        </w:tc>
        <w:tc>
          <w:tcPr>
            <w:tcW w:w="1560" w:type="dxa"/>
          </w:tcPr>
          <w:p>
            <w:pPr/>
            <w:r>
              <w:t xml:space="preserve">Not recorded</w:t>
            </w:r>
          </w:p>
        </w:tc>
        <w:tc>
          <w:tcPr>
            <w:tcW w:w="1560" w:type="dxa"/>
          </w:tcPr>
          <w:p>
            <w:pPr/>
            <w:r>
              <w:t xml:space="preserve">Per-attack rates</w:t>
            </w:r>
          </w:p>
        </w:tc>
        <w:tc>
          <w:tcPr>
            <w:tcW w:w="1560" w:type="dxa"/>
          </w:tcPr>
          <w:p>
            <w:pPr/>
            <w:r>
              <w:t xml:space="preserve">Yes (mean ± SD)</w:t>
            </w:r>
          </w:p>
        </w:tc>
        <w:tc>
          <w:tcPr>
            <w:tcW w:w="1560" w:type="dxa"/>
          </w:tcPr>
          <w:p>
            <w:pPr/>
            <w:r>
              <w:t xml:space="preserve">Yes</w:t>
            </w:r>
          </w:p>
        </w:tc>
        <w:tc>
          <w:tcPr>
            <w:tcW w:w="1560" w:type="dxa"/>
          </w:tcPr>
          <w:p>
            <w:pPr/>
            <w:r>
              <w:t xml:space="preserve">Yes (two)</w:t>
            </w:r>
          </w:p>
        </w:tc>
      </w:tr>
      <w:tr>
        <w:tc>
          <w:tcPr>
            <w:tcW w:w="1560" w:type="dxa"/>
          </w:tcPr>
          <w:p>
            <w:pPr/>
            <w:r>
              <w:t xml:space="preserve">Khan et al. (2026)</w:t>
            </w:r>
          </w:p>
        </w:tc>
        <w:tc>
          <w:tcPr>
            <w:tcW w:w="1560" w:type="dxa"/>
          </w:tcPr>
          <w:p>
            <w:pPr/>
            <w:r>
              <w:t xml:space="preserve">Not recorded</w:t>
            </w:r>
          </w:p>
        </w:tc>
        <w:tc>
          <w:tcPr>
            <w:tcW w:w="1560" w:type="dxa"/>
          </w:tcPr>
          <w:p>
            <w:pPr/>
            <w:r>
              <w:t xml:space="preserve">Not recorded</w:t>
            </w:r>
          </w:p>
        </w:tc>
        <w:tc>
          <w:tcPr>
            <w:tcW w:w="1560" w:type="dxa"/>
          </w:tcPr>
          <w:p>
            <w:pPr/>
            <w:r>
              <w:t xml:space="preserve">Not recorded</w:t>
            </w:r>
          </w:p>
        </w:tc>
        <w:tc>
          <w:tcPr>
            <w:tcW w:w="1560" w:type="dxa"/>
          </w:tcPr>
          <w:p>
            <w:pPr/>
            <w:r>
              <w:t xml:space="preserve">Yes</w:t>
            </w:r>
          </w:p>
        </w:tc>
        <w:tc>
          <w:tcPr>
            <w:tcW w:w="1560" w:type="dxa"/>
          </w:tcPr>
          <w:p>
            <w:pPr/>
            <w:r>
              <w:t xml:space="preserve">Yes (four)</w:t>
            </w:r>
          </w:p>
        </w:tc>
      </w:tr>
      <w:tr>
        <w:tc>
          <w:tcPr>
            <w:tcW w:w="1560" w:type="dxa"/>
          </w:tcPr>
          <w:p>
            <w:pPr/>
            <w:r>
              <w:t xml:space="preserve">Mondragon et al. (2025)</w:t>
            </w:r>
          </w:p>
        </w:tc>
        <w:tc>
          <w:tcPr>
            <w:tcW w:w="1560" w:type="dxa"/>
          </w:tcPr>
          <w:p>
            <w:pPr/>
            <w:r>
              <w:t xml:space="preserve">Not recorded</w:t>
            </w:r>
          </w:p>
        </w:tc>
        <w:tc>
          <w:tcPr>
            <w:tcW w:w="1560" w:type="dxa"/>
          </w:tcPr>
          <w:p>
            <w:pPr/>
            <w:r>
              <w:t xml:space="preserve">Yes (macro-F1)</w:t>
            </w:r>
          </w:p>
        </w:tc>
        <w:tc>
          <w:tcPr>
            <w:tcW w:w="1560" w:type="dxa"/>
          </w:tcPr>
          <w:p>
            <w:pPr/>
            <w:r>
              <w:t xml:space="preserve">Not recorded</w:t>
            </w:r>
          </w:p>
        </w:tc>
        <w:tc>
          <w:tcPr>
            <w:tcW w:w="1560" w:type="dxa"/>
          </w:tcPr>
          <w:p>
            <w:pPr/>
            <w:r>
              <w:t xml:space="preserve">Not recorded</w:t>
            </w:r>
          </w:p>
        </w:tc>
        <w:tc>
          <w:tcPr>
            <w:tcW w:w="1560" w:type="dxa"/>
          </w:tcPr>
          <w:p>
            <w:pPr/>
            <w:r>
              <w:t xml:space="preserve">Yes (14)</w:t>
            </w:r>
          </w:p>
        </w:tc>
      </w:tr>
    </w:tbl>
    <w:p>
      <w:pPr/>
      <w:r>
        <w:t xml:space="preserve">No study meets all five criteria. Two warnings apply to the headline numbers. First, in Mughogho (2025) the binary models reach 99.5–99.7% accuracy while correctly passing only 89.1–93.1% of benign flows, so 6.9–10.9% of benign traffic is flagged. Second, several papers contain internal inconsistencies, for example Meena &amp; Indian report different NSL-KDD and KDD-Cup'99 figures in different tables.</w:t>
      </w:r>
    </w:p>
    <w:p>
      <w:pPr>
        <w:pStyle w:val="Heading2"/>
      </w:pPr>
      <w:r>
        <w:t xml:space="preserve">8. What a credible SOTA claim needs</w:t>
      </w:r>
    </w:p>
    <w:p>
      <w:pPr/>
      <w:r>
        <w:t xml:space="preserve">Based on the gaps above, a CICIoT2023 SOTA claim should include:</w:t>
      </w:r>
    </w:p>
    <w:p>
      <w:pPr>
        <w:pStyle w:val="ListParagraph"/>
        <w:numPr>
          <w:ilvl w:val="0"/>
          <w:numId w:val="5"/>
        </w:numPr>
      </w:pPr>
      <w:r>
        <w:t xml:space="preserve">the exact label set (2, 8, 34 or custom) and the sample count, with a published split;</w:t>
      </w:r>
    </w:p>
    <w:p>
      <w:pPr>
        <w:pStyle w:val="ListParagraph"/>
        <w:numPr>
          <w:ilvl w:val="0"/>
          <w:numId w:val="5"/>
        </w:numPr>
      </w:pPr>
      <w:r>
        <w:t xml:space="preserve">a test set that keeps natural class frequencies, plus macro-F1, per-class recall and the benign false-positive rate;</w:t>
      </w:r>
    </w:p>
    <w:p>
      <w:pPr>
        <w:pStyle w:val="ListParagraph"/>
        <w:numPr>
          <w:ilvl w:val="0"/>
          <w:numId w:val="5"/>
        </w:numPr>
      </w:pPr>
      <w:r>
        <w:t xml:space="preserve">training-only preprocessing, feature selection and rebalancing, and a grouped split that keeps near-duplicate flows apart;</w:t>
      </w:r>
    </w:p>
    <w:p>
      <w:pPr>
        <w:pStyle w:val="ListParagraph"/>
        <w:numPr>
          <w:ilvl w:val="0"/>
          <w:numId w:val="5"/>
        </w:numPr>
      </w:pPr>
      <w:r>
        <w:t xml:space="preserve">repeated runs or cross-validation with variance;</w:t>
      </w:r>
    </w:p>
    <w:p>
      <w:pPr>
        <w:pStyle w:val="ListParagraph"/>
        <w:numPr>
          <w:ilvl w:val="0"/>
          <w:numId w:val="5"/>
        </w:numPr>
      </w:pPr>
      <w:r>
        <w:t xml:space="preserve">latency, memory and training cost, ideally on edge hardware;</w:t>
      </w:r>
    </w:p>
    <w:p>
      <w:pPr>
        <w:pStyle w:val="ListParagraph"/>
        <w:numPr>
          <w:ilvl w:val="0"/>
          <w:numId w:val="5"/>
        </w:numPr>
      </w:pPr>
      <w:r>
        <w:t xml:space="preserve">at least one other dataset for transfer;</w:t>
      </w:r>
    </w:p>
    <w:p>
      <w:pPr>
        <w:pStyle w:val="ListParagraph"/>
        <w:numPr>
          <w:ilvl w:val="0"/>
          <w:numId w:val="5"/>
        </w:numPr>
      </w:pPr>
      <w:r>
        <w:t xml:space="preserve">an adversarial test and a quantified explanation check where the model is deployed in open settings.</w:t>
      </w:r>
    </w:p>
    <w:p>
      <w:pPr>
        <w:pStyle w:val="Heading2"/>
      </w:pPr>
      <w:r>
        <w:t xml:space="preserve">9. Conclusion</w:t>
      </w:r>
    </w:p>
    <w:p>
      <w:pPr/>
      <w:r>
        <w:t xml:space="preserve">The current SOTA on CICIoT2023 is a ceiling effect, not a single winner: about 99.6–99.995% on simplified tasks, achieved by both boosted trees and hybrid deep models, with boosted trees far cheaper. The meaningful differences now lie in rare-class detection, benign false alarms, cost on constrained hardware, robustness and cross-dataset transfer, where evidence is missing or unfavourable. Progress should be judged by standardised, imbalance-aware evaluations such as the Mondragon et al. benchmark, not by further fractions of a percent on curated splits.</w:t>
      </w:r>
    </w:p>
    <w:p>
      <w:pPr>
        <w:pStyle w:val="Heading2"/>
      </w:pPr>
      <w:r>
        <w:t xml:space="preserve">References</w:t>
      </w:r>
    </w:p>
    <w:p>
      <w:pPr>
        <w:pStyle w:val="ListParagraph"/>
        <w:numPr>
          <w:ilvl w:val="0"/>
          <w:numId w:val="6"/>
        </w:numPr>
      </w:pPr>
      <w:r>
        <w:t xml:space="preserve">Almahaqeri, S. A., et al. (2026). An optimized gradient boosting framework for IoT intrusion detection: a comprehensive evaluation on the CICIoT2023 dataset. </w:t>
      </w:r>
      <w:r>
        <w:rPr>
          <w:i/>
        </w:rPr>
        <w:t xml:space="preserve">Scientific Reports</w:t>
      </w:r>
      <w:r>
        <w:t xml:space="preserve">. https://doi.org/10.1038/s41598-026-47399-5</w:t>
      </w:r>
    </w:p>
    <w:p>
      <w:pPr>
        <w:pStyle w:val="ListParagraph"/>
        <w:numPr>
          <w:ilvl w:val="0"/>
          <w:numId w:val="6"/>
        </w:numPr>
      </w:pPr>
      <w:r>
        <w:t xml:space="preserve">Ahmed, A., Mostafa, R., Qutqut, M. H., &amp; Ragab, N. (2026). A Systematic Literature Review on Machine Learning for Intrusion Detection Systems. </w:t>
      </w:r>
      <w:r>
        <w:rPr>
          <w:i/>
        </w:rPr>
        <w:t xml:space="preserve">Future Internet, 18</w:t>
      </w:r>
      <w:r>
        <w:t xml:space="preserve">, 470.</w:t>
      </w:r>
    </w:p>
    <w:p>
      <w:pPr>
        <w:pStyle w:val="ListParagraph"/>
        <w:numPr>
          <w:ilvl w:val="0"/>
          <w:numId w:val="6"/>
        </w:numPr>
      </w:pPr>
      <w:r>
        <w:t xml:space="preserve">Bunko, T., Johnstone, M. N., Yang, W., &amp; Scott, B. A. (2026). A survey of privacy-preserving federated learning for intrusion detection systems. </w:t>
      </w:r>
      <w:r>
        <w:rPr>
          <w:i/>
        </w:rPr>
        <w:t xml:space="preserve">Artificial Intelligence Review, 59</w:t>
      </w:r>
      <w:r>
        <w:t xml:space="preserve">, 125.</w:t>
      </w:r>
    </w:p>
    <w:p>
      <w:pPr>
        <w:pStyle w:val="ListParagraph"/>
        <w:numPr>
          <w:ilvl w:val="0"/>
          <w:numId w:val="6"/>
        </w:numPr>
      </w:pPr>
      <w:r>
        <w:t xml:space="preserve">Hajjouz, A., &amp; Avksentieva, E. (2024). Optimizing Intrusion Detection for DoS, DDoS, and Mirai Attacks Subtypes Using Hierarchical Feature Selection and CatBoost on the CICIoT2023 Dataset. </w:t>
      </w:r>
      <w:r>
        <w:rPr>
          <w:i/>
        </w:rPr>
        <w:t xml:space="preserve">Data and Metadata, 3</w:t>
      </w:r>
      <w:r>
        <w:t xml:space="preserve">, 577.</w:t>
      </w:r>
    </w:p>
    <w:p>
      <w:pPr>
        <w:pStyle w:val="ListParagraph"/>
        <w:numPr>
          <w:ilvl w:val="0"/>
          <w:numId w:val="6"/>
        </w:numPr>
      </w:pPr>
      <w:r>
        <w:t xml:space="preserve">Imran, S., et al. (2026). An Explainable AI-Driven Intrusion Detection Framework for IoT Networks Using Deep Learning and Machine Learning Models. </w:t>
      </w:r>
      <w:r>
        <w:rPr>
          <w:i/>
        </w:rPr>
        <w:t xml:space="preserve">Journal of Computers and Intelligent Systems, 4</w:t>
      </w:r>
      <w:r>
        <w:t xml:space="preserve">(2), 99–116.</w:t>
      </w:r>
    </w:p>
    <w:p>
      <w:pPr>
        <w:pStyle w:val="ListParagraph"/>
        <w:numPr>
          <w:ilvl w:val="0"/>
          <w:numId w:val="6"/>
        </w:numPr>
      </w:pPr>
      <w:r>
        <w:t xml:space="preserve">Khan, M. Z., et al. (2026). A resource efficient IoT intrusion detection model using hybrid feature selection for edge computing. </w:t>
      </w:r>
      <w:r>
        <w:rPr>
          <w:i/>
        </w:rPr>
        <w:t xml:space="preserve">Scientific Reports</w:t>
      </w:r>
      <w:r>
        <w:t xml:space="preserve">. https://doi.org/10.1038/s41598-026-59156-9</w:t>
      </w:r>
    </w:p>
    <w:p>
      <w:pPr>
        <w:pStyle w:val="ListParagraph"/>
        <w:numPr>
          <w:ilvl w:val="0"/>
          <w:numId w:val="6"/>
        </w:numPr>
      </w:pPr>
      <w:r>
        <w:t xml:space="preserve">Kwari, M. I., &amp; Rajkumar, N. (2025). An Enhanced Voting Ensemble Model for IoT Intrusion Detection Using the CICIoT2023 Dataset. </w:t>
      </w:r>
      <w:r>
        <w:rPr>
          <w:i/>
        </w:rPr>
        <w:t xml:space="preserve">IGCAI 2025</w:t>
      </w:r>
      <w:r>
        <w:t xml:space="preserve">, 67–77.</w:t>
      </w:r>
    </w:p>
    <w:p>
      <w:pPr>
        <w:pStyle w:val="ListParagraph"/>
        <w:numPr>
          <w:ilvl w:val="0"/>
          <w:numId w:val="6"/>
        </w:numPr>
      </w:pPr>
      <w:r>
        <w:t xml:space="preserve">Meena, G., &amp; Indian, A. (2025). IDS-IoT: Intrusion Detection System for the Internet of Things Using Enhanced Long-Short Term Memory. </w:t>
      </w:r>
      <w:r>
        <w:rPr>
          <w:i/>
        </w:rPr>
        <w:t xml:space="preserve">Artificial Intelligence and Applications</w:t>
      </w:r>
      <w:r>
        <w:t xml:space="preserve">.</w:t>
      </w:r>
    </w:p>
    <w:p>
      <w:pPr>
        <w:pStyle w:val="ListParagraph"/>
        <w:numPr>
          <w:ilvl w:val="0"/>
          <w:numId w:val="6"/>
        </w:numPr>
      </w:pPr>
      <w:r>
        <w:t xml:space="preserve">Mishra, S., &amp; Reddy, R. V. S. (2026). Federated Hybrid Deep Learning Framework for IoT Intrusion Detection (preprint). https://doi.org/10.21203/rs.3.rs-10580856/v1</w:t>
      </w:r>
    </w:p>
    <w:p>
      <w:pPr>
        <w:pStyle w:val="ListParagraph"/>
        <w:numPr>
          <w:ilvl w:val="0"/>
          <w:numId w:val="6"/>
        </w:numPr>
      </w:pPr>
      <w:r>
        <w:t xml:space="preserve">Mondragon, J. C., et al. (2025). Advanced IDS: a comparative study of datasets and machine learning algorithms for network flow-based intrusion detection systems. </w:t>
      </w:r>
      <w:r>
        <w:rPr>
          <w:i/>
        </w:rPr>
        <w:t xml:space="preserve">Applied Intelligence, 55</w:t>
      </w:r>
      <w:r>
        <w:t xml:space="preserve">, 608.</w:t>
      </w:r>
    </w:p>
    <w:p>
      <w:pPr>
        <w:pStyle w:val="ListParagraph"/>
        <w:numPr>
          <w:ilvl w:val="0"/>
          <w:numId w:val="6"/>
        </w:numPr>
      </w:pPr>
      <w:r>
        <w:t xml:space="preserve">Mughogho, E. (2025). Enhancing IoT Network Security Through Intrusion Detection Using Machine Learning. MSc research project, National College of Ireland.</w:t>
      </w:r>
    </w:p>
    <w:p>
      <w:pPr>
        <w:pStyle w:val="ListParagraph"/>
        <w:numPr>
          <w:ilvl w:val="0"/>
          <w:numId w:val="6"/>
        </w:numPr>
      </w:pPr>
      <w:r>
        <w:t xml:space="preserve">Winanto, E. A., &amp; Idris, M. Y. (2026). Adversarial Robustness of Deep Learning-Based Intrusion Detection Systems: A Systematic Literature Review. </w:t>
      </w:r>
      <w:r>
        <w:rPr>
          <w:i/>
        </w:rPr>
        <w:t xml:space="preserve">IEEE Access, 14</w:t>
      </w:r>
      <w:r>
        <w:t xml:space="preserve">.</w:t>
      </w:r>
    </w:p>
    <w:p>
      <w:pPr>
        <w:pStyle w:val="ListParagraph"/>
        <w:numPr>
          <w:ilvl w:val="0"/>
          <w:numId w:val="6"/>
        </w:numPr>
      </w:pPr>
      <w:r>
        <w:t xml:space="preserve">Yaras, S., &amp; Dener, M. (2024). IoT-Based Intrusion Detection System Using New Hybrid Deep Learning Algorithm. </w:t>
      </w:r>
      <w:r>
        <w:rPr>
          <w:i/>
        </w:rPr>
        <w:t xml:space="preserve">Electronics, 13</w:t>
      </w:r>
      <w:r>
        <w:t xml:space="preserve">, 1053.</w:t>
      </w:r>
    </w:p>
    <w:p>
      <w:pPr>
        <w:pStyle w:val="Heading2"/>
      </w:pPr>
      <w:r>
        <w:t xml:space="preserve">Appendix A. How each of the 20 papers contributes to this analysis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Study</w:t>
            </w:r>
          </w:p>
        </w:tc>
        <w:tc>
          <w:tcPr>
            <w:tcW w:w="2340" w:type="dxa"/>
            <w:shd w:val="clear" w:color="auto" w:fill="F2F2F2"/>
          </w:tcPr>
          <w:p>
            <w:pPr/>
            <w:r>
              <w:t xml:space="preserve">Role</w:t>
            </w:r>
          </w:p>
        </w:tc>
        <w:tc>
          <w:tcPr>
            <w:tcW w:w="2340" w:type="dxa"/>
            <w:shd w:val="clear" w:color="auto" w:fill="F2F2F2"/>
          </w:tcPr>
          <w:p>
            <w:pPr/>
            <w:r>
              <w:t xml:space="preserve">SOTA-relevant takeaway</w:t>
            </w:r>
          </w:p>
        </w:tc>
      </w:tr>
      <w:tr>
        <w:tc>
          <w:tcPr>
            <w:tcW w:w="2340" w:type="dxa"/>
          </w:tcPr>
          <w:p>
            <w:pPr/>
            <w:r>
              <w:t xml:space="preserve">1</w:t>
            </w:r>
          </w:p>
        </w:tc>
        <w:tc>
          <w:tcPr>
            <w:tcW w:w="2340" w:type="dxa"/>
          </w:tcPr>
          <w:p>
            <w:pPr/>
            <w:r>
              <w:t xml:space="preserve">Poltoratskyi &amp; Gavrylenko (2026)</w:t>
            </w:r>
          </w:p>
        </w:tc>
        <w:tc>
          <w:tcPr>
            <w:tcW w:w="2340" w:type="dxa"/>
          </w:tcPr>
          <w:p>
            <w:pPr/>
            <w:r>
              <w:t xml:space="preserve">Review</w:t>
            </w:r>
          </w:p>
        </w:tc>
        <w:tc>
          <w:tcPr>
            <w:tcW w:w="2340" w:type="dxa"/>
          </w:tcPr>
          <w:p>
            <w:pPr/>
            <w:r>
              <w:t xml:space="preserve">Accuracy above 98% is common on benchmarks; recommends MCC, F1, AUC-PR and operational metrics</w:t>
            </w:r>
          </w:p>
        </w:tc>
      </w:tr>
      <w:tr>
        <w:tc>
          <w:tcPr>
            <w:tcW w:w="2340" w:type="dxa"/>
          </w:tcPr>
          <w:p>
            <w:pPr/>
            <w:r>
              <w:t xml:space="preserve">2</w:t>
            </w:r>
          </w:p>
        </w:tc>
        <w:tc>
          <w:tcPr>
            <w:tcW w:w="2340" w:type="dxa"/>
          </w:tcPr>
          <w:p>
            <w:pPr/>
            <w:r>
              <w:t xml:space="preserve">Rivandi &amp; Oskouei (2025)</w:t>
            </w:r>
          </w:p>
        </w:tc>
        <w:tc>
          <w:tcPr>
            <w:tcW w:w="2340" w:type="dxa"/>
          </w:tcPr>
          <w:p>
            <w:pPr/>
            <w:r>
              <w:t xml:space="preserve">Experimental (simulation)</w:t>
            </w:r>
          </w:p>
        </w:tc>
        <w:tc>
          <w:tcPr>
            <w:tcW w:w="2340" w:type="dxa"/>
          </w:tcPr>
          <w:p>
            <w:pPr/>
            <w:r>
              <w:t xml:space="preserve">Not comparable: ad hoc network simulation, no IoT benchmark data; 99.8–99.9% single-node detection</w:t>
            </w:r>
          </w:p>
        </w:tc>
      </w:tr>
      <w:tr>
        <w:tc>
          <w:tcPr>
            <w:tcW w:w="2340" w:type="dxa"/>
          </w:tcPr>
          <w:p>
            <w:pPr/>
            <w:r>
              <w:t xml:space="preserve">3</w:t>
            </w:r>
          </w:p>
        </w:tc>
        <w:tc>
          <w:tcPr>
            <w:tcW w:w="2340" w:type="dxa"/>
          </w:tcPr>
          <w:p>
            <w:pPr/>
            <w:r>
              <w:t xml:space="preserve">Meena &amp; Indian (2025)</w:t>
            </w:r>
          </w:p>
        </w:tc>
        <w:tc>
          <w:tcPr>
            <w:tcW w:w="2340" w:type="dxa"/>
          </w:tcPr>
          <w:p>
            <w:pPr/>
            <w:r>
              <w:t xml:space="preserve">Experimental</w:t>
            </w:r>
          </w:p>
        </w:tc>
        <w:tc>
          <w:tcPr>
            <w:tcW w:w="2340" w:type="dxa"/>
          </w:tcPr>
          <w:p>
            <w:pPr/>
            <w:r>
              <w:t xml:space="preserve">98.58% on 34-class CICIoT2023; small margin over DNN and RNN</w:t>
            </w:r>
          </w:p>
        </w:tc>
      </w:tr>
      <w:tr>
        <w:tc>
          <w:tcPr>
            <w:tcW w:w="2340" w:type="dxa"/>
          </w:tcPr>
          <w:p>
            <w:pPr/>
            <w:r>
              <w:t xml:space="preserve">4</w:t>
            </w:r>
          </w:p>
        </w:tc>
        <w:tc>
          <w:tcPr>
            <w:tcW w:w="2340" w:type="dxa"/>
          </w:tcPr>
          <w:p>
            <w:pPr/>
            <w:r>
              <w:t xml:space="preserve">Kwari &amp; Rajkumar (2025)</w:t>
            </w:r>
          </w:p>
        </w:tc>
        <w:tc>
          <w:tcPr>
            <w:tcW w:w="2340" w:type="dxa"/>
          </w:tcPr>
          <w:p>
            <w:pPr/>
            <w:r>
              <w:t xml:space="preserve">Experimental</w:t>
            </w:r>
          </w:p>
        </w:tc>
        <w:tc>
          <w:tcPr>
            <w:tcW w:w="2340" w:type="dxa"/>
          </w:tcPr>
          <w:p>
            <w:pPr/>
            <w:r>
              <w:t xml:space="preserve">Only natural-imbalance 34-class result: 76.88% accuracy, 0.54 macro-F1</w:t>
            </w:r>
          </w:p>
        </w:tc>
      </w:tr>
      <w:tr>
        <w:tc>
          <w:tcPr>
            <w:tcW w:w="2340" w:type="dxa"/>
          </w:tcPr>
          <w:p>
            <w:pPr/>
            <w:r>
              <w:t xml:space="preserve">5</w:t>
            </w:r>
          </w:p>
        </w:tc>
        <w:tc>
          <w:tcPr>
            <w:tcW w:w="2340" w:type="dxa"/>
          </w:tcPr>
          <w:p>
            <w:pPr/>
            <w:r>
              <w:t xml:space="preserve">Salakhutdinov (n.d.)</w:t>
            </w:r>
          </w:p>
        </w:tc>
        <w:tc>
          <w:tcPr>
            <w:tcW w:w="2340" w:type="dxa"/>
          </w:tcPr>
          <w:p>
            <w:pPr/>
            <w:r>
              <w:t xml:space="preserve">Review</w:t>
            </w:r>
          </w:p>
        </w:tc>
        <w:tc>
          <w:tcPr>
            <w:tcW w:w="2340" w:type="dxa"/>
          </w:tcPr>
          <w:p>
            <w:pPr/>
            <w:r>
              <w:t xml:space="preserve">Benchmark success does not equal robustness; defense in depth</w:t>
            </w:r>
          </w:p>
        </w:tc>
      </w:tr>
      <w:tr>
        <w:tc>
          <w:tcPr>
            <w:tcW w:w="2340" w:type="dxa"/>
          </w:tcPr>
          <w:p>
            <w:pPr/>
            <w:r>
              <w:t xml:space="preserve">6</w:t>
            </w:r>
          </w:p>
        </w:tc>
        <w:tc>
          <w:tcPr>
            <w:tcW w:w="2340" w:type="dxa"/>
          </w:tcPr>
          <w:p>
            <w:pPr/>
            <w:r>
              <w:t xml:space="preserve">Imran et al. (2026)</w:t>
            </w:r>
          </w:p>
        </w:tc>
        <w:tc>
          <w:tcPr>
            <w:tcW w:w="2340" w:type="dxa"/>
          </w:tcPr>
          <w:p>
            <w:pPr/>
            <w:r>
              <w:t xml:space="preserve">Experimental</w:t>
            </w:r>
          </w:p>
        </w:tc>
        <w:tc>
          <w:tcPr>
            <w:tcW w:w="2340" w:type="dxa"/>
          </w:tcPr>
          <w:p>
            <w:pPr/>
            <w:r>
              <w:t xml:space="preserve">LSTM 96.02% on six classes; deep beats trees on a small sample</w:t>
            </w:r>
          </w:p>
        </w:tc>
      </w:tr>
      <w:tr>
        <w:tc>
          <w:tcPr>
            <w:tcW w:w="2340" w:type="dxa"/>
          </w:tcPr>
          <w:p>
            <w:pPr/>
            <w:r>
              <w:t xml:space="preserve">7</w:t>
            </w:r>
          </w:p>
        </w:tc>
        <w:tc>
          <w:tcPr>
            <w:tcW w:w="2340" w:type="dxa"/>
          </w:tcPr>
          <w:p>
            <w:pPr/>
            <w:r>
              <w:t xml:space="preserve">Hajjouz &amp; Avksentieva (2024)</w:t>
            </w:r>
          </w:p>
        </w:tc>
        <w:tc>
          <w:tcPr>
            <w:tcW w:w="2340" w:type="dxa"/>
          </w:tcPr>
          <w:p>
            <w:pPr/>
            <w:r>
              <w:t xml:space="preserve">Experimental</w:t>
            </w:r>
          </w:p>
        </w:tc>
        <w:tc>
          <w:tcPr>
            <w:tcW w:w="2340" w:type="dxa"/>
          </w:tcPr>
          <w:p>
            <w:pPr/>
            <w:r>
              <w:t xml:space="preserve">99.96% on 20 classes; strongest large-scale evidence; 7.16e-07 s per flow</w:t>
            </w:r>
          </w:p>
        </w:tc>
      </w:tr>
      <w:tr>
        <w:tc>
          <w:tcPr>
            <w:tcW w:w="2340" w:type="dxa"/>
          </w:tcPr>
          <w:p>
            <w:pPr/>
            <w:r>
              <w:t xml:space="preserve">8</w:t>
            </w:r>
          </w:p>
        </w:tc>
        <w:tc>
          <w:tcPr>
            <w:tcW w:w="2340" w:type="dxa"/>
          </w:tcPr>
          <w:p>
            <w:pPr/>
            <w:r>
              <w:t xml:space="preserve">Winanto &amp; Idris (2026)</w:t>
            </w:r>
          </w:p>
        </w:tc>
        <w:tc>
          <w:tcPr>
            <w:tcW w:w="2340" w:type="dxa"/>
          </w:tcPr>
          <w:p>
            <w:pPr/>
            <w:r>
              <w:t xml:space="preserve">Systematic review</w:t>
            </w:r>
          </w:p>
        </w:tc>
        <w:tc>
          <w:tcPr>
            <w:tcW w:w="2340" w:type="dxa"/>
          </w:tcPr>
          <w:p>
            <w:pPr/>
            <w:r>
              <w:t xml:space="preserve">Robustness testing concentrates on FGSM and PGD; CICIoT2023 under 5%</w:t>
            </w:r>
          </w:p>
        </w:tc>
      </w:tr>
      <w:tr>
        <w:tc>
          <w:tcPr>
            <w:tcW w:w="2340" w:type="dxa"/>
          </w:tcPr>
          <w:p>
            <w:pPr/>
            <w:r>
              <w:t xml:space="preserve">9</w:t>
            </w:r>
          </w:p>
        </w:tc>
        <w:tc>
          <w:tcPr>
            <w:tcW w:w="2340" w:type="dxa"/>
          </w:tcPr>
          <w:p>
            <w:pPr/>
            <w:r>
              <w:t xml:space="preserve">Erskine (2025)</w:t>
            </w:r>
          </w:p>
        </w:tc>
        <w:tc>
          <w:tcPr>
            <w:tcW w:w="2340" w:type="dxa"/>
          </w:tcPr>
          <w:p>
            <w:pPr/>
            <w:r>
              <w:t xml:space="preserve">Experimental</w:t>
            </w:r>
          </w:p>
        </w:tc>
        <w:tc>
          <w:tcPr>
            <w:tcW w:w="2340" w:type="dxa"/>
          </w:tcPr>
          <w:p>
            <w:pPr/>
            <w:r>
              <w:t xml:space="preserve">Above 85% accuracy; prevention not measured by blocking</w:t>
            </w:r>
          </w:p>
        </w:tc>
      </w:tr>
      <w:tr>
        <w:tc>
          <w:tcPr>
            <w:tcW w:w="2340" w:type="dxa"/>
          </w:tcPr>
          <w:p>
            <w:pPr/>
            <w:r>
              <w:t xml:space="preserve">10</w:t>
            </w:r>
          </w:p>
        </w:tc>
        <w:tc>
          <w:tcPr>
            <w:tcW w:w="2340" w:type="dxa"/>
          </w:tcPr>
          <w:p>
            <w:pPr/>
            <w:r>
              <w:t xml:space="preserve">Diana et al. (2025)</w:t>
            </w:r>
          </w:p>
        </w:tc>
        <w:tc>
          <w:tcPr>
            <w:tcW w:w="2340" w:type="dxa"/>
          </w:tcPr>
          <w:p>
            <w:pPr/>
            <w:r>
              <w:t xml:space="preserve">Review</w:t>
            </w:r>
          </w:p>
        </w:tc>
        <w:tc>
          <w:tcPr>
            <w:tcW w:w="2340" w:type="dxa"/>
          </w:tcPr>
          <w:p>
            <w:pPr/>
            <w:r>
              <w:t xml:space="preserve">Scalability and false alarms open; no SOTA figures</w:t>
            </w:r>
          </w:p>
        </w:tc>
      </w:tr>
      <w:tr>
        <w:tc>
          <w:tcPr>
            <w:tcW w:w="2340" w:type="dxa"/>
          </w:tcPr>
          <w:p>
            <w:pPr/>
            <w:r>
              <w:t xml:space="preserve">11</w:t>
            </w:r>
          </w:p>
        </w:tc>
        <w:tc>
          <w:tcPr>
            <w:tcW w:w="2340" w:type="dxa"/>
          </w:tcPr>
          <w:p>
            <w:pPr/>
            <w:r>
              <w:t xml:space="preserve">Yaras &amp; Dener (2024)</w:t>
            </w:r>
          </w:p>
        </w:tc>
        <w:tc>
          <w:tcPr>
            <w:tcW w:w="2340" w:type="dxa"/>
          </w:tcPr>
          <w:p>
            <w:pPr/>
            <w:r>
              <w:t xml:space="preserve">Experimental</w:t>
            </w:r>
          </w:p>
        </w:tc>
        <w:tc>
          <w:tcPr>
            <w:tcW w:w="2340" w:type="dxa"/>
          </w:tcPr>
          <w:p>
            <w:pPr/>
            <w:r>
              <w:t xml:space="preserve">99.995% binary, 99.96% multiclass; hybrid deep model</w:t>
            </w:r>
          </w:p>
        </w:tc>
      </w:tr>
      <w:tr>
        <w:tc>
          <w:tcPr>
            <w:tcW w:w="2340" w:type="dxa"/>
          </w:tcPr>
          <w:p>
            <w:pPr/>
            <w:r>
              <w:t xml:space="preserve">12</w:t>
            </w:r>
          </w:p>
        </w:tc>
        <w:tc>
          <w:tcPr>
            <w:tcW w:w="2340" w:type="dxa"/>
          </w:tcPr>
          <w:p>
            <w:pPr/>
            <w:r>
              <w:t xml:space="preserve">Mughogho (2025)</w:t>
            </w:r>
          </w:p>
        </w:tc>
        <w:tc>
          <w:tcPr>
            <w:tcW w:w="2340" w:type="dxa"/>
          </w:tcPr>
          <w:p>
            <w:pPr/>
            <w:r>
              <w:t xml:space="preserve">Experimental (MSc)</w:t>
            </w:r>
          </w:p>
        </w:tc>
        <w:tc>
          <w:tcPr>
            <w:tcW w:w="2340" w:type="dxa"/>
          </w:tcPr>
          <w:p>
            <w:pPr/>
            <w:r>
              <w:t xml:space="preserve">99.80% binary but benign recall 89–93%; ensemble gains 0.1–0.3 points</w:t>
            </w:r>
          </w:p>
        </w:tc>
      </w:tr>
      <w:tr>
        <w:tc>
          <w:tcPr>
            <w:tcW w:w="2340" w:type="dxa"/>
          </w:tcPr>
          <w:p>
            <w:pPr/>
            <w:r>
              <w:t xml:space="preserve">13</w:t>
            </w:r>
          </w:p>
        </w:tc>
        <w:tc>
          <w:tcPr>
            <w:tcW w:w="2340" w:type="dxa"/>
          </w:tcPr>
          <w:p>
            <w:pPr/>
            <w:r>
              <w:t xml:space="preserve">Ahmed et al. (2026)</w:t>
            </w:r>
          </w:p>
        </w:tc>
        <w:tc>
          <w:tcPr>
            <w:tcW w:w="2340" w:type="dxa"/>
          </w:tcPr>
          <w:p>
            <w:pPr/>
            <w:r>
              <w:t xml:space="preserve">Systematic review</w:t>
            </w:r>
          </w:p>
        </w:tc>
        <w:tc>
          <w:tcPr>
            <w:tcW w:w="2340" w:type="dxa"/>
          </w:tcPr>
          <w:p>
            <w:pPr/>
            <w:r>
              <w:t xml:space="preserve">About 2% use XAI, 4% test robustness, none validated in production</w:t>
            </w:r>
          </w:p>
        </w:tc>
      </w:tr>
      <w:tr>
        <w:tc>
          <w:tcPr>
            <w:tcW w:w="2340" w:type="dxa"/>
          </w:tcPr>
          <w:p>
            <w:pPr/>
            <w:r>
              <w:t xml:space="preserve">14</w:t>
            </w:r>
          </w:p>
        </w:tc>
        <w:tc>
          <w:tcPr>
            <w:tcW w:w="2340" w:type="dxa"/>
          </w:tcPr>
          <w:p>
            <w:pPr/>
            <w:r>
              <w:t xml:space="preserve">Bunko et al. (2026)</w:t>
            </w:r>
          </w:p>
        </w:tc>
        <w:tc>
          <w:tcPr>
            <w:tcW w:w="2340" w:type="dxa"/>
          </w:tcPr>
          <w:p>
            <w:pPr/>
            <w:r>
              <w:t xml:space="preserve">Survey</w:t>
            </w:r>
          </w:p>
        </w:tc>
        <w:tc>
          <w:tcPr>
            <w:tcW w:w="2340" w:type="dxa"/>
          </w:tcPr>
          <w:p>
            <w:pPr/>
            <w:r>
              <w:t xml:space="preserve">Federated IDS rarely goes beyond data locality</w:t>
            </w:r>
          </w:p>
        </w:tc>
      </w:tr>
      <w:tr>
        <w:tc>
          <w:tcPr>
            <w:tcW w:w="2340" w:type="dxa"/>
          </w:tcPr>
          <w:p>
            <w:pPr/>
            <w:r>
              <w:t xml:space="preserve">15</w:t>
            </w:r>
          </w:p>
        </w:tc>
        <w:tc>
          <w:tcPr>
            <w:tcW w:w="2340" w:type="dxa"/>
          </w:tcPr>
          <w:p>
            <w:pPr/>
            <w:r>
              <w:t xml:space="preserve">Mondragon et al. (2025)</w:t>
            </w:r>
          </w:p>
        </w:tc>
        <w:tc>
          <w:tcPr>
            <w:tcW w:w="2340" w:type="dxa"/>
          </w:tcPr>
          <w:p>
            <w:pPr/>
            <w:r>
              <w:t xml:space="preserve">Benchmark</w:t>
            </w:r>
          </w:p>
        </w:tc>
        <w:tc>
          <w:tcPr>
            <w:tcW w:w="2340" w:type="dxa"/>
          </w:tcPr>
          <w:p>
            <w:pPr/>
            <w:r>
              <w:t xml:space="preserve">Best method varies by dataset; real traffic hardest</w:t>
            </w:r>
          </w:p>
        </w:tc>
      </w:tr>
      <w:tr>
        <w:tc>
          <w:tcPr>
            <w:tcW w:w="2340" w:type="dxa"/>
          </w:tcPr>
          <w:p>
            <w:pPr/>
            <w:r>
              <w:t xml:space="preserve">16</w:t>
            </w:r>
          </w:p>
        </w:tc>
        <w:tc>
          <w:tcPr>
            <w:tcW w:w="2340" w:type="dxa"/>
          </w:tcPr>
          <w:p>
            <w:pPr/>
            <w:r>
              <w:t xml:space="preserve">Almahaqeri et al. (2026)</w:t>
            </w:r>
          </w:p>
        </w:tc>
        <w:tc>
          <w:tcPr>
            <w:tcW w:w="2340" w:type="dxa"/>
          </w:tcPr>
          <w:p>
            <w:pPr/>
            <w:r>
              <w:t xml:space="preserve">Experimental</w:t>
            </w:r>
          </w:p>
        </w:tc>
        <w:tc>
          <w:tcPr>
            <w:tcW w:w="2340" w:type="dxa"/>
          </w:tcPr>
          <w:p>
            <w:pPr/>
            <w:r>
              <w:t xml:space="preserve">99.61% binary at 0.355 µs per sample; features halved with negligible loss</w:t>
            </w:r>
          </w:p>
        </w:tc>
      </w:tr>
      <w:tr>
        <w:tc>
          <w:tcPr>
            <w:tcW w:w="2340" w:type="dxa"/>
          </w:tcPr>
          <w:p>
            <w:pPr/>
            <w:r>
              <w:t xml:space="preserve">17</w:t>
            </w:r>
          </w:p>
        </w:tc>
        <w:tc>
          <w:tcPr>
            <w:tcW w:w="2340" w:type="dxa"/>
          </w:tcPr>
          <w:p>
            <w:pPr/>
            <w:r>
              <w:t xml:space="preserve">Khan et al. (2026)</w:t>
            </w:r>
          </w:p>
        </w:tc>
        <w:tc>
          <w:tcPr>
            <w:tcW w:w="2340" w:type="dxa"/>
          </w:tcPr>
          <w:p>
            <w:pPr/>
            <w:r>
              <w:t xml:space="preserve">Experimental</w:t>
            </w:r>
          </w:p>
        </w:tc>
        <w:tc>
          <w:tcPr>
            <w:tcW w:w="2340" w:type="dxa"/>
          </w:tcPr>
          <w:p>
            <w:pPr/>
            <w:r>
              <w:t xml:space="preserve">98.88% on CICIoT2023 with an efficiency ratio</w:t>
            </w:r>
          </w:p>
        </w:tc>
      </w:tr>
      <w:tr>
        <w:tc>
          <w:tcPr>
            <w:tcW w:w="2340" w:type="dxa"/>
          </w:tcPr>
          <w:p>
            <w:pPr/>
            <w:r>
              <w:t xml:space="preserve">18</w:t>
            </w:r>
          </w:p>
        </w:tc>
        <w:tc>
          <w:tcPr>
            <w:tcW w:w="2340" w:type="dxa"/>
          </w:tcPr>
          <w:p>
            <w:pPr/>
            <w:r>
              <w:t xml:space="preserve">Mallidi &amp; Ramisetty (2025)</w:t>
            </w:r>
          </w:p>
        </w:tc>
        <w:tc>
          <w:tcPr>
            <w:tcW w:w="2340" w:type="dxa"/>
          </w:tcPr>
          <w:p>
            <w:pPr/>
            <w:r>
              <w:t xml:space="preserve">Systematic review</w:t>
            </w:r>
          </w:p>
        </w:tc>
        <w:tc>
          <w:tcPr>
            <w:tcW w:w="2340" w:type="dxa"/>
          </w:tcPr>
          <w:p>
            <w:pPr/>
            <w:r>
              <w:t xml:space="preserve">Hybrid cloud-fog-edge deployment; no SOTA figures</w:t>
            </w:r>
          </w:p>
        </w:tc>
      </w:tr>
      <w:tr>
        <w:tc>
          <w:tcPr>
            <w:tcW w:w="2340" w:type="dxa"/>
          </w:tcPr>
          <w:p>
            <w:pPr/>
            <w:r>
              <w:t xml:space="preserve">19</w:t>
            </w:r>
          </w:p>
        </w:tc>
        <w:tc>
          <w:tcPr>
            <w:tcW w:w="2340" w:type="dxa"/>
          </w:tcPr>
          <w:p>
            <w:pPr/>
            <w:r>
              <w:t xml:space="preserve">Hozouri et al. (2025)</w:t>
            </w:r>
          </w:p>
        </w:tc>
        <w:tc>
          <w:tcPr>
            <w:tcW w:w="2340" w:type="dxa"/>
          </w:tcPr>
          <w:p>
            <w:pPr/>
            <w:r>
              <w:t xml:space="preserve">Survey</w:t>
            </w:r>
          </w:p>
        </w:tc>
        <w:tc>
          <w:tcPr>
            <w:tcW w:w="2340" w:type="dxa"/>
          </w:tcPr>
          <w:p>
            <w:pPr/>
            <w:r>
              <w:t xml:space="preserve">Labelled-data dependence and imbalance; legacy datasets</w:t>
            </w:r>
          </w:p>
        </w:tc>
      </w:tr>
      <w:tr>
        <w:tc>
          <w:tcPr>
            <w:tcW w:w="2340" w:type="dxa"/>
          </w:tcPr>
          <w:p>
            <w:pPr/>
            <w:r>
              <w:t xml:space="preserve">20</w:t>
            </w:r>
          </w:p>
        </w:tc>
        <w:tc>
          <w:tcPr>
            <w:tcW w:w="2340" w:type="dxa"/>
          </w:tcPr>
          <w:p>
            <w:pPr/>
            <w:r>
              <w:t xml:space="preserve">Mishra &amp; Reddy (2026)</w:t>
            </w:r>
          </w:p>
        </w:tc>
        <w:tc>
          <w:tcPr>
            <w:tcW w:w="2340" w:type="dxa"/>
          </w:tcPr>
          <w:p>
            <w:pPr/>
            <w:r>
              <w:t xml:space="preserve">Experimental (preprint)</w:t>
            </w:r>
          </w:p>
        </w:tc>
        <w:tc>
          <w:tcPr>
            <w:tcW w:w="2340" w:type="dxa"/>
          </w:tcPr>
          <w:p>
            <w:pPr/>
            <w:r>
              <w:t xml:space="preserve">XGBoost-based models beat deep hybrid in macro average; federated stage not run</w:t>
            </w:r>
          </w:p>
        </w:tc>
      </w:tr>
    </w:tbl>
    <w:p>
      <w:pPr/>
      <w:r>
        <w:t xml:space="preserve">Studies 1, 5, 8, 10, 13, 14, 18 and 19 are reviews and supply context rather than results. Study 2 is not comparable with the CICIoT2023 results. The numeric SOTA comparisons rest on studies 3, 4, 6, 7, 9, 11, 12, 16, 17 and 20, plus the benchmark in study 15.</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State-of-the-Art Analysis Machine Learning and Deep Learning for IoT Intrusion D</dc:title>
  <dc:description>Claude Docs node/c0220963-99a9@3 docx-w6</dc:description>
  <cp:revision>3</cp:revision>
</cp:coreProperties>
</file>