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b/>
          <w:bCs/>
          <w:color w:val="1F3864"/>
          <w:sz w:val="36"/>
          <w:szCs w:val="36"/>
        </w:rPr>
        <w:t xml:space="preserve">Thesis Feasibility Report</w:t>
      </w:r>
    </w:p>
    <w:p>
      <w:pPr>
        <w:spacing w:after="36"/>
      </w:pPr>
      <w:r>
        <w:rPr>
          <w:i/>
          <w:iCs/>
          <w:color w:val="555555"/>
          <w:sz w:val="24"/>
          <w:szCs w:val="24"/>
        </w:rPr>
        <w:t xml:space="preserve">Multimodal Mobile Stress Tracking — A Cortisol-Anchored, Wearable-Gated System</w:t>
      </w:r>
    </w:p>
    <w:p>
      <w:pPr>
        <w:spacing w:after="36"/>
      </w:pPr>
      <w:r>
        <w:rPr>
          <w:color w:val="777777"/>
          <w:sz w:val="18"/>
          <w:szCs w:val="18"/>
        </w:rPr>
        <w:t xml:space="preserve">Scope: Data Science · Biomedical Engineering · mHealth Mobile Software</w:t>
      </w:r>
    </w:p>
    <w:p>
      <w:pPr>
        <w:pBdr>
          <w:bottom w:val="single" w:color="1F3864" w:sz="6" w:space="1"/>
        </w:pBdr>
        <w:spacing w:after="200"/>
      </w:pPr>
      <w:r>
        <w:rPr>
          <w:sz w:val="8"/>
          <w:szCs w:val="8"/>
        </w:rPr>
        <w:t xml:space="preserve"/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Thesis Concept and Market Gap</w:t>
      </w:r>
    </w:p>
    <w:p>
      <w:pPr>
        <w:spacing w:after="150" w:line="290"/>
        <w:jc w:val="both"/>
      </w:pPr>
      <w:r>
        <w:t xml:space="preserve">This project addresses a core bottleneck in mobile health (mHealth). Salivary cortisol is the clinical gold standard for tracking the hypothalamic–pituitary–adrenal (HPA) axis, but its high user friction — collection, timing, lab handling — makes it impractical for continuous, long-term monitoring. At the same time, packing chemical (cortisol), optical (HRV) and electrical (EDA) sensing into a single consumer wearable is an unsolved integration challenge: a sweat-based electrochemical cortisol sensor needs accumulated fluid at the skin, while EDA relies on relatively dry skin-contact electrodes, so the two compete for the same skin interface and are difficult to co-locate cleanly.</w:t>
      </w:r>
    </w:p>
    <w:p>
      <w:pPr>
        <w:spacing w:after="150" w:line="290"/>
        <w:jc w:val="both"/>
      </w:pPr>
      <w:r>
        <w:rPr>
          <w:b/>
          <w:bCs/>
        </w:rPr>
        <w:t xml:space="preserve">The academic innovation: </w:t>
      </w:r>
      <w:r>
        <w:t xml:space="preserve">rather than build a multi-sensor hardware device, the thesis proposes an Android software architecture that uses continuous, non-invasive digital proxies (HRV and EDA) as an intelligent gatekeeper, turning invasive salivary-cortisol testing into an occasional, targeted action rather than a rigid daily requirement. The contribution is the software system and the data-fusion logic, not new sensor hardware.</w:t>
      </w:r>
    </w:p>
    <w:p>
      <w:pPr>
        <w:spacing w:after="60" w:before="30"/>
      </w:pPr>
      <w:r>
        <w:rPr>
          <w:i/>
          <w:iCs/>
          <w:sz w:val="18"/>
          <w:szCs w:val="18"/>
        </w:rPr>
        <w:t xml:space="preserve">Supporting context: </w:t>
      </w:r>
      <w:hyperlink w:history="1" r:id="rIdgmfcofbvt3dmij0kf5krc">
        <w:r>
          <w:rPr>
            <w:rStyle w:val="Hyperlink"/>
          </w:rPr>
          <w:t xml:space="preserve">EDA + sweat-composition sensing (printed sensors review)</w:t>
        </w:r>
      </w:hyperlink>
      <w:r>
        <w:rPr>
          <w:sz w:val="18"/>
          <w:szCs w:val="18"/>
        </w:rPr>
        <w:t xml:space="preserve">; </w:t>
      </w:r>
      <w:hyperlink w:history="1" r:id="rIdgwbymo3dieperm53fn_m7">
        <w:r>
          <w:rPr>
            <w:rStyle w:val="Hyperlink"/>
          </w:rPr>
          <w:t xml:space="preserve">wearable sweat cortisol sensor (MIP)</w:t>
        </w:r>
      </w:hyperlink>
      <w:r>
        <w:rPr>
          <w:sz w:val="18"/>
          <w:szCs w:val="18"/>
        </w:rPr>
        <w:t xml:space="preserve">.</w:t>
      </w:r>
    </w:p>
    <w:p>
      <w:pPr>
        <w:pStyle w:val="Heading1"/>
      </w:pPr>
      <w:r>
        <w:t xml:space="preserve">2. Core Methodological Evolution</w:t>
      </w:r>
    </w:p>
    <w:p>
      <w:pPr>
        <w:spacing w:after="150" w:line="290"/>
        <w:jc w:val="both"/>
      </w:pPr>
      <w:r>
        <w:t xml:space="preserve">The current baseline application combines salivary biomarkers (cortisol, DHEA) with validated psychometric questionnaires (PHQ-9, GAD-7, BDI-II, BRS) and a Random Forest classifier, reporting </w:t>
      </w:r>
      <w:r>
        <w:rPr>
          <w:b/>
          <w:bCs/>
        </w:rPr>
        <w:t xml:space="preserve">89.3% accuracy (F1 0.896)</w:t>
      </w:r>
      <w:r>
        <w:t xml:space="preserve">. (This baseline was established on simulated/rule-based pseudo-data; replacing it with real-data validation is an explicit aim of this project.) Adding continuous HRV and EDA telemetry evolves the system from a static “snapshot” tool into a predictive, real-time alerting system.</w:t>
      </w:r>
    </w:p>
    <w:p>
      <w:pPr>
        <w:pStyle w:val="Heading2"/>
      </w:pPr>
      <w:r>
        <w:t xml:space="preserve">2.1 The Gatekeeper Logic</w:t>
      </w:r>
    </w:p>
    <w:p>
      <w:pPr>
        <w:spacing w:after="150" w:line="290"/>
        <w:jc w:val="both"/>
      </w:pPr>
      <w:r>
        <w:t xml:space="preserve">Continuous HRV and EDA are streamed passively. The system asks whether the telemetry is deviating chronically from the user's baseline; if not, it keeps the low-friction passive stream; if yes, it triggers an optional biochemical (saliva) check.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80"/>
        <w:gridCol w:w="4880"/>
      </w:tblGrid>
      <w:tr>
        <w:trPr>
          <w:tblHeader/>
        </w:trPr>
        <w:tc>
          <w:tcPr>
            <w:tcW w:type="dxa" w:w="3000"/>
            <w:tcBorders>
              <w:top w:val="single" w:color="AEBED4" w:sz="1"/>
              <w:left w:val="single" w:color="AEBED4" w:sz="1"/>
              <w:bottom w:val="single" w:color="AEBED4" w:sz="1"/>
              <w:right w:val="single" w:color="AEBED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Telemetry vs. baseline</w:t>
            </w:r>
          </w:p>
        </w:tc>
        <w:tc>
          <w:tcPr>
            <w:tcW w:type="dxa" w:w="1480"/>
            <w:tcBorders>
              <w:top w:val="single" w:color="AEBED4" w:sz="1"/>
              <w:left w:val="single" w:color="AEBED4" w:sz="1"/>
              <w:bottom w:val="single" w:color="AEBED4" w:sz="1"/>
              <w:right w:val="single" w:color="AEBED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4880"/>
            <w:tcBorders>
              <w:top w:val="single" w:color="AEBED4" w:sz="1"/>
              <w:left w:val="single" w:color="AEBED4" w:sz="1"/>
              <w:bottom w:val="single" w:color="AEBED4" w:sz="1"/>
              <w:right w:val="single" w:color="AEBED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AEBED4" w:sz="1"/>
              <w:left w:val="single" w:color="AEBED4" w:sz="1"/>
              <w:bottom w:val="single" w:color="AEBED4" w:sz="1"/>
              <w:right w:val="single" w:color="AEBED4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Within normal range</w:t>
            </w:r>
          </w:p>
        </w:tc>
        <w:tc>
          <w:tcPr>
            <w:tcW w:type="dxa" w:w="1480"/>
            <w:tcBorders>
              <w:top w:val="single" w:color="AEBED4" w:sz="1"/>
              <w:left w:val="single" w:color="AEBED4" w:sz="1"/>
              <w:bottom w:val="single" w:color="AEBED4" w:sz="1"/>
              <w:right w:val="single" w:color="AEBED4" w:sz="1"/>
            </w:tcBorders>
            <w:shd w:fill="E2F0D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4880"/>
            <w:tcBorders>
              <w:top w:val="single" w:color="AEBED4" w:sz="1"/>
              <w:left w:val="single" w:color="AEBED4" w:sz="1"/>
              <w:bottom w:val="single" w:color="AEBED4" w:sz="1"/>
              <w:right w:val="single" w:color="AEBE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Keep passive HRV/EDA stream — low friction, continuous baseline</w:t>
            </w:r>
          </w:p>
        </w:tc>
      </w:tr>
      <w:tr>
        <w:tc>
          <w:tcPr>
            <w:tcW w:type="dxa" w:w="3000"/>
            <w:tcBorders>
              <w:top w:val="single" w:color="AEBED4" w:sz="1"/>
              <w:left w:val="single" w:color="AEBED4" w:sz="1"/>
              <w:bottom w:val="single" w:color="AEBED4" w:sz="1"/>
              <w:right w:val="single" w:color="AEBED4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Chronic deviation detected</w:t>
            </w:r>
          </w:p>
        </w:tc>
        <w:tc>
          <w:tcPr>
            <w:tcW w:type="dxa" w:w="1480"/>
            <w:tcBorders>
              <w:top w:val="single" w:color="AEBED4" w:sz="1"/>
              <w:left w:val="single" w:color="AEBED4" w:sz="1"/>
              <w:bottom w:val="single" w:color="AEBED4" w:sz="1"/>
              <w:right w:val="single" w:color="AEBED4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880"/>
            <w:tcBorders>
              <w:top w:val="single" w:color="AEBED4" w:sz="1"/>
              <w:left w:val="single" w:color="AEBED4" w:sz="1"/>
              <w:bottom w:val="single" w:color="AEBED4" w:sz="1"/>
              <w:right w:val="single" w:color="AEBE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Trigger optional biochemical stage — request a saliva cortisol check</w:t>
            </w:r>
          </w:p>
        </w:tc>
      </w:tr>
    </w:tbl>
    <w:p>
      <w:pPr>
        <w:pStyle w:val="Heading2"/>
      </w:pPr>
      <w:r>
        <w:t xml:space="preserve">2.2 When the System Requests a Cortisol Check</w:t>
      </w:r>
    </w:p>
    <w:p>
      <w:pPr>
        <w:pStyle w:val="ListParagraph"/>
        <w:numPr>
          <w:ilvl w:val="0"/>
          <w:numId w:val="2"/>
        </w:numPr>
        <w:spacing w:after="80" w:line="285"/>
      </w:pPr>
      <w:r>
        <w:rPr>
          <w:b/>
          <w:bCs/>
        </w:rPr>
        <w:t xml:space="preserve">Adrenal-conflict identification: </w:t>
      </w:r>
      <w:r>
        <w:t xml:space="preserve">separate temporary acute arousal (high EDA / low HRV) from sustained endocrine burnout.</w:t>
      </w:r>
    </w:p>
    <w:p>
      <w:pPr>
        <w:pStyle w:val="ListParagraph"/>
        <w:numPr>
          <w:ilvl w:val="0"/>
          <w:numId w:val="2"/>
        </w:numPr>
        <w:spacing w:after="80" w:line="285"/>
      </w:pPr>
      <w:r>
        <w:rPr>
          <w:b/>
          <w:bCs/>
        </w:rPr>
        <w:t xml:space="preserve">Circadian calibration: </w:t>
      </w:r>
      <w:r>
        <w:t xml:space="preserve">a single weekly waking saliva sample re-anchors the model to the user's natural diurnal cortisol curve.</w:t>
      </w:r>
    </w:p>
    <w:p>
      <w:pPr>
        <w:pStyle w:val="ListParagraph"/>
        <w:numPr>
          <w:ilvl w:val="0"/>
          <w:numId w:val="2"/>
        </w:numPr>
        <w:spacing w:after="80" w:line="285"/>
      </w:pPr>
      <w:r>
        <w:rPr>
          <w:b/>
          <w:bCs/>
        </w:rPr>
        <w:t xml:space="preserve">Symptom-mismatch resolution: </w:t>
      </w:r>
      <w:r>
        <w:t xml:space="preserve">break the tie when subjective questionnaire answers conflict sharply with objective autonomic data.</w:t>
      </w:r>
    </w:p>
    <w:p>
      <w:pPr>
        <w:pStyle w:val="Heading1"/>
      </w:pPr>
      <w:r>
        <w:t xml:space="preserve">3. Data Processing and the Time-Lag Challenge</w:t>
      </w:r>
    </w:p>
    <w:p>
      <w:pPr>
        <w:spacing w:after="150" w:line="290"/>
        <w:jc w:val="both"/>
      </w:pPr>
      <w:r>
        <w:t xml:space="preserve">A core scientific contribution is resolving multi-timescale data fusion. The three stress signals fire on very different biological timelines: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AEBED4" w:sz="1"/>
              <w:left w:val="single" w:color="AEBED4" w:sz="1"/>
              <w:bottom w:val="single" w:color="AEBED4" w:sz="1"/>
              <w:right w:val="single" w:color="AEBED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2400"/>
            <w:tcBorders>
              <w:top w:val="single" w:color="AEBED4" w:sz="1"/>
              <w:left w:val="single" w:color="AEBED4" w:sz="1"/>
              <w:bottom w:val="single" w:color="AEBED4" w:sz="1"/>
              <w:right w:val="single" w:color="AEBED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Timescale</w:t>
            </w:r>
          </w:p>
        </w:tc>
        <w:tc>
          <w:tcPr>
            <w:tcW w:type="dxa" w:w="4560"/>
            <w:tcBorders>
              <w:top w:val="single" w:color="AEBED4" w:sz="1"/>
              <w:left w:val="single" w:color="AEBED4" w:sz="1"/>
              <w:bottom w:val="single" w:color="AEBED4" w:sz="1"/>
              <w:right w:val="single" w:color="AEBED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</w:tr>
      <w:tr>
        <w:tc>
          <w:tcPr>
            <w:tcW w:type="dxa" w:w="2400"/>
            <w:tcBorders>
              <w:top w:val="single" w:color="AEBED4" w:sz="1"/>
              <w:left w:val="single" w:color="AEBED4" w:sz="1"/>
              <w:bottom w:val="single" w:color="AEBED4" w:sz="1"/>
              <w:right w:val="single" w:color="AEBED4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EDA</w:t>
            </w:r>
          </w:p>
        </w:tc>
        <w:tc>
          <w:tcPr>
            <w:tcW w:type="dxa" w:w="2400"/>
            <w:tcBorders>
              <w:top w:val="single" w:color="AEBED4" w:sz="1"/>
              <w:left w:val="single" w:color="AEBED4" w:sz="1"/>
              <w:bottom w:val="single" w:color="AEBED4" w:sz="1"/>
              <w:right w:val="single" w:color="AEBE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1–3 seconds</w:t>
            </w:r>
          </w:p>
        </w:tc>
        <w:tc>
          <w:tcPr>
            <w:tcW w:type="dxa" w:w="4560"/>
            <w:tcBorders>
              <w:top w:val="single" w:color="AEBED4" w:sz="1"/>
              <w:left w:val="single" w:color="AEBED4" w:sz="1"/>
              <w:bottom w:val="single" w:color="AEBED4" w:sz="1"/>
              <w:right w:val="single" w:color="AEBE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Sympathetic firing of sweat glands — near-instant</w:t>
            </w:r>
          </w:p>
        </w:tc>
      </w:tr>
      <w:tr>
        <w:tc>
          <w:tcPr>
            <w:tcW w:type="dxa" w:w="2400"/>
            <w:tcBorders>
              <w:top w:val="single" w:color="AEBED4" w:sz="1"/>
              <w:left w:val="single" w:color="AEBED4" w:sz="1"/>
              <w:bottom w:val="single" w:color="AEBED4" w:sz="1"/>
              <w:right w:val="single" w:color="AEBED4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HRV</w:t>
            </w:r>
          </w:p>
        </w:tc>
        <w:tc>
          <w:tcPr>
            <w:tcW w:type="dxa" w:w="2400"/>
            <w:tcBorders>
              <w:top w:val="single" w:color="AEBED4" w:sz="1"/>
              <w:left w:val="single" w:color="AEBED4" w:sz="1"/>
              <w:bottom w:val="single" w:color="AEBED4" w:sz="1"/>
              <w:right w:val="single" w:color="AEBE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1–5 min window</w:t>
            </w:r>
          </w:p>
        </w:tc>
        <w:tc>
          <w:tcPr>
            <w:tcW w:type="dxa" w:w="4560"/>
            <w:tcBorders>
              <w:top w:val="single" w:color="AEBED4" w:sz="1"/>
              <w:left w:val="single" w:color="AEBED4" w:sz="1"/>
              <w:bottom w:val="single" w:color="AEBED4" w:sz="1"/>
              <w:right w:val="single" w:color="AEBE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Autonomic balance from beat-to-beat intervals</w:t>
            </w:r>
          </w:p>
        </w:tc>
      </w:tr>
      <w:tr>
        <w:tc>
          <w:tcPr>
            <w:tcW w:type="dxa" w:w="2400"/>
            <w:tcBorders>
              <w:top w:val="single" w:color="AEBED4" w:sz="1"/>
              <w:left w:val="single" w:color="AEBED4" w:sz="1"/>
              <w:bottom w:val="single" w:color="AEBED4" w:sz="1"/>
              <w:right w:val="single" w:color="AEBED4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Cortisol</w:t>
            </w:r>
          </w:p>
        </w:tc>
        <w:tc>
          <w:tcPr>
            <w:tcW w:type="dxa" w:w="2400"/>
            <w:tcBorders>
              <w:top w:val="single" w:color="AEBED4" w:sz="1"/>
              <w:left w:val="single" w:color="AEBED4" w:sz="1"/>
              <w:bottom w:val="single" w:color="AEBED4" w:sz="1"/>
              <w:right w:val="single" w:color="AEBE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20–30 min lag</w:t>
            </w:r>
          </w:p>
        </w:tc>
        <w:tc>
          <w:tcPr>
            <w:tcW w:type="dxa" w:w="4560"/>
            <w:tcBorders>
              <w:top w:val="single" w:color="AEBED4" w:sz="1"/>
              <w:left w:val="single" w:color="AEBED4" w:sz="1"/>
              <w:bottom w:val="single" w:color="AEBED4" w:sz="1"/>
              <w:right w:val="single" w:color="AEBE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Endocrine release into saliva — strongly delayed</w:t>
            </w:r>
          </w:p>
        </w:tc>
      </w:tr>
    </w:tbl>
    <w:p>
      <w:pPr>
        <w:spacing w:after="150" w:line="290"/>
        <w:jc w:val="both"/>
      </w:pPr>
      <w:r>
        <w:t xml:space="preserve">To avoid training the model on misaligned data, the pipeline must be </w:t>
      </w:r>
      <w:r>
        <w:rPr>
          <w:b/>
          <w:bCs/>
        </w:rPr>
        <w:t xml:space="preserve">time-shifted</w:t>
      </w:r>
      <w:r>
        <w:t xml:space="preserve">: physiological features extracted at time t are mapped to the lagging biochemical label collected ~20–30 minutes later. Conceptually: features [HRV(t), EDA(t)] → target Cortisol(t + ~30 min). Phase-based labelling from the collection protocol is used to keep this alignment robust.</w:t>
      </w:r>
    </w:p>
    <w:p>
      <w:pPr>
        <w:pStyle w:val="Heading1"/>
      </w:pPr>
      <w:r>
        <w:t xml:space="preserve">4. Three-Phase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4460"/>
      </w:tblGrid>
      <w:tr>
        <w:trPr>
          <w:tblHeader/>
        </w:trPr>
        <w:tc>
          <w:tcPr>
            <w:tcW w:type="dxa" w:w="1500"/>
            <w:tcBorders>
              <w:top w:val="single" w:color="AEBED4" w:sz="1"/>
              <w:left w:val="single" w:color="AEBED4" w:sz="1"/>
              <w:bottom w:val="single" w:color="AEBED4" w:sz="1"/>
              <w:right w:val="single" w:color="AEBED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400"/>
            <w:tcBorders>
              <w:top w:val="single" w:color="AEBED4" w:sz="1"/>
              <w:left w:val="single" w:color="AEBED4" w:sz="1"/>
              <w:bottom w:val="single" w:color="AEBED4" w:sz="1"/>
              <w:right w:val="single" w:color="AEBED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4460"/>
            <w:tcBorders>
              <w:top w:val="single" w:color="AEBED4" w:sz="1"/>
              <w:left w:val="single" w:color="AEBED4" w:sz="1"/>
              <w:bottom w:val="single" w:color="AEBED4" w:sz="1"/>
              <w:right w:val="single" w:color="AEBED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proves</w:t>
            </w:r>
          </w:p>
        </w:tc>
      </w:tr>
      <w:tr>
        <w:tc>
          <w:tcPr>
            <w:tcW w:type="dxa" w:w="1500"/>
            <w:tcBorders>
              <w:top w:val="single" w:color="AEBED4" w:sz="1"/>
              <w:left w:val="single" w:color="AEBED4" w:sz="1"/>
              <w:bottom w:val="single" w:color="AEBED4" w:sz="1"/>
              <w:right w:val="single" w:color="AEBED4" w:sz="1"/>
            </w:tcBorders>
            <w:shd w:fill="DCE9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1 — Algorithmic verification (public data)</w:t>
            </w:r>
          </w:p>
        </w:tc>
        <w:tc>
          <w:tcPr>
            <w:tcW w:type="dxa" w:w="3400"/>
            <w:tcBorders>
              <w:top w:val="single" w:color="AEBED4" w:sz="1"/>
              <w:left w:val="single" w:color="AEBED4" w:sz="1"/>
              <w:bottom w:val="single" w:color="AEBED4" w:sz="1"/>
              <w:right w:val="single" w:color="AEBE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Prototype on WESAD</w:t>
            </w:r>
          </w:p>
        </w:tc>
        <w:tc>
          <w:tcPr>
            <w:tcW w:type="dxa" w:w="4460"/>
            <w:tcBorders>
              <w:top w:val="single" w:color="AEBED4" w:sz="1"/>
              <w:left w:val="single" w:color="AEBED4" w:sz="1"/>
              <w:bottom w:val="single" w:color="AEBED4" w:sz="1"/>
              <w:right w:val="single" w:color="AEBE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Random Forest pipeline extracts valid tonic/phasic EDA and frequency-domain HRV features and detects stress</w:t>
            </w:r>
          </w:p>
        </w:tc>
      </w:tr>
      <w:tr>
        <w:tc>
          <w:tcPr>
            <w:tcW w:type="dxa" w:w="1500"/>
            <w:tcBorders>
              <w:top w:val="single" w:color="AEBED4" w:sz="1"/>
              <w:left w:val="single" w:color="AEBED4" w:sz="1"/>
              <w:bottom w:val="single" w:color="AEBED4" w:sz="1"/>
              <w:right w:val="single" w:color="AEBED4" w:sz="1"/>
            </w:tcBorders>
            <w:shd w:fill="DCE9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2 — Clinical baseline anchoring (current app)</w:t>
            </w:r>
          </w:p>
        </w:tc>
        <w:tc>
          <w:tcPr>
            <w:tcW w:type="dxa" w:w="3400"/>
            <w:tcBorders>
              <w:top w:val="single" w:color="AEBED4" w:sz="1"/>
              <w:left w:val="single" w:color="AEBED4" w:sz="1"/>
              <w:bottom w:val="single" w:color="AEBED4" w:sz="1"/>
              <w:right w:val="single" w:color="AEBE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Validate the existing system on the cohort</w:t>
            </w:r>
          </w:p>
        </w:tc>
        <w:tc>
          <w:tcPr>
            <w:tcW w:type="dxa" w:w="4460"/>
            <w:tcBorders>
              <w:top w:val="single" w:color="AEBED4" w:sz="1"/>
              <w:left w:val="single" w:color="AEBED4" w:sz="1"/>
              <w:bottom w:val="single" w:color="AEBED4" w:sz="1"/>
              <w:right w:val="single" w:color="AEBE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How well PHQ-9/GAD-7 + cortisol capture baseline chronic stress / anxiety trends</w:t>
            </w:r>
          </w:p>
        </w:tc>
      </w:tr>
      <w:tr>
        <w:tc>
          <w:tcPr>
            <w:tcW w:type="dxa" w:w="1500"/>
            <w:tcBorders>
              <w:top w:val="single" w:color="AEBED4" w:sz="1"/>
              <w:left w:val="single" w:color="AEBED4" w:sz="1"/>
              <w:bottom w:val="single" w:color="AEBED4" w:sz="1"/>
              <w:right w:val="single" w:color="AEBED4" w:sz="1"/>
            </w:tcBorders>
            <w:shd w:fill="E2F0D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3 — Gateway framework (optimisation)</w:t>
            </w:r>
          </w:p>
        </w:tc>
        <w:tc>
          <w:tcPr>
            <w:tcW w:type="dxa" w:w="3400"/>
            <w:tcBorders>
              <w:top w:val="single" w:color="AEBED4" w:sz="1"/>
              <w:left w:val="single" w:color="AEBED4" w:sz="1"/>
              <w:bottom w:val="single" w:color="AEBED4" w:sz="1"/>
              <w:right w:val="single" w:color="AEBE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Introduce wearable data</w:t>
            </w:r>
          </w:p>
        </w:tc>
        <w:tc>
          <w:tcPr>
            <w:tcW w:type="dxa" w:w="4460"/>
            <w:tcBorders>
              <w:top w:val="single" w:color="AEBED4" w:sz="1"/>
              <w:left w:val="single" w:color="AEBED4" w:sz="1"/>
              <w:bottom w:val="single" w:color="AEBED4" w:sz="1"/>
              <w:right w:val="single" w:color="AEBE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That adding HRV/EDA lets the system drop a large share of saliva tests (target ~80%) while maintaining accuracy</w:t>
            </w:r>
          </w:p>
        </w:tc>
      </w:tr>
    </w:tbl>
    <w:p>
      <w:pPr>
        <w:spacing w:after="150" w:line="290"/>
        <w:jc w:val="both"/>
      </w:pPr>
      <w:r>
        <w:t xml:space="preserve">The ~80% saliva-reduction figure is the headline hypothesis to be demonstrated, not an assumed result — it becomes the quantitative claim defended in the thesis.</w:t>
      </w:r>
    </w:p>
    <w:p>
      <w:pPr>
        <w:pStyle w:val="Heading1"/>
      </w:pPr>
      <w:r>
        <w:t xml:space="preserve">5. Phase 1 in Detail: The WESAD Pilot (Already Started)</w:t>
      </w:r>
    </w:p>
    <w:p>
      <w:pPr>
        <w:spacing w:after="150" w:line="290"/>
        <w:jc w:val="both"/>
      </w:pPr>
      <w:r>
        <w:t xml:space="preserve">Before collecting cohort data or porting to Android, the pipeline is prototyped on the open-source WESAD dataset. WESAD isolates the software from hardware bugs and provides an academic benchmark used by hundreds of peer-reviewed papers (~88–93% on binary stress).</w:t>
      </w:r>
    </w:p>
    <w:p>
      <w:pPr>
        <w:pStyle w:val="Heading2"/>
      </w:pPr>
      <w:r>
        <w:t xml:space="preserve">5.1 Our Result So Far</w:t>
      </w:r>
    </w:p>
    <w:p>
      <w:pPr>
        <w:spacing w:after="150" w:line="290"/>
        <w:jc w:val="both"/>
      </w:pPr>
      <w:r>
        <w:t xml:space="preserve">We have already run the pipeline on WESAD features with leave-one-subject-out validation (15 subjects, 1105 windows):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AEBED4" w:sz="1"/>
              <w:left w:val="single" w:color="AEBED4" w:sz="1"/>
              <w:bottom w:val="single" w:color="AEBED4" w:sz="1"/>
              <w:right w:val="single" w:color="AEBED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 set</w:t>
            </w:r>
          </w:p>
        </w:tc>
        <w:tc>
          <w:tcPr>
            <w:tcW w:type="dxa" w:w="2340"/>
            <w:tcBorders>
              <w:top w:val="single" w:color="AEBED4" w:sz="1"/>
              <w:left w:val="single" w:color="AEBED4" w:sz="1"/>
              <w:bottom w:val="single" w:color="AEBED4" w:sz="1"/>
              <w:right w:val="single" w:color="AEBED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2340"/>
            <w:tcBorders>
              <w:top w:val="single" w:color="AEBED4" w:sz="1"/>
              <w:left w:val="single" w:color="AEBED4" w:sz="1"/>
              <w:bottom w:val="single" w:color="AEBED4" w:sz="1"/>
              <w:right w:val="single" w:color="AEBED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F1</w:t>
            </w:r>
          </w:p>
        </w:tc>
      </w:tr>
      <w:tr>
        <w:tc>
          <w:tcPr>
            <w:tcW w:type="dxa" w:w="4680"/>
            <w:tcBorders>
              <w:top w:val="single" w:color="AEBED4" w:sz="1"/>
              <w:left w:val="single" w:color="AEBED4" w:sz="1"/>
              <w:bottom w:val="single" w:color="AEBED4" w:sz="1"/>
              <w:right w:val="single" w:color="AEBED4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EDA + HRV</w:t>
            </w:r>
          </w:p>
        </w:tc>
        <w:tc>
          <w:tcPr>
            <w:tcW w:type="dxa" w:w="2340"/>
            <w:tcBorders>
              <w:top w:val="single" w:color="AEBED4" w:sz="1"/>
              <w:left w:val="single" w:color="AEBED4" w:sz="1"/>
              <w:bottom w:val="single" w:color="AEBED4" w:sz="1"/>
              <w:right w:val="single" w:color="AEBE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91.9%</w:t>
            </w:r>
          </w:p>
        </w:tc>
        <w:tc>
          <w:tcPr>
            <w:tcW w:type="dxa" w:w="2340"/>
            <w:tcBorders>
              <w:top w:val="single" w:color="AEBED4" w:sz="1"/>
              <w:left w:val="single" w:color="AEBED4" w:sz="1"/>
              <w:bottom w:val="single" w:color="AEBED4" w:sz="1"/>
              <w:right w:val="single" w:color="AEBE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0.87</w:t>
            </w:r>
          </w:p>
        </w:tc>
      </w:tr>
      <w:tr>
        <w:tc>
          <w:tcPr>
            <w:tcW w:type="dxa" w:w="4680"/>
            <w:tcBorders>
              <w:top w:val="single" w:color="AEBED4" w:sz="1"/>
              <w:left w:val="single" w:color="AEBED4" w:sz="1"/>
              <w:bottom w:val="single" w:color="AEBED4" w:sz="1"/>
              <w:right w:val="single" w:color="AEBED4" w:sz="1"/>
            </w:tcBorders>
            <w:shd w:fill="E2F0D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EDA + HRV + Respiration</w:t>
            </w:r>
          </w:p>
        </w:tc>
        <w:tc>
          <w:tcPr>
            <w:tcW w:type="dxa" w:w="2340"/>
            <w:tcBorders>
              <w:top w:val="single" w:color="AEBED4" w:sz="1"/>
              <w:left w:val="single" w:color="AEBED4" w:sz="1"/>
              <w:bottom w:val="single" w:color="AEBED4" w:sz="1"/>
              <w:right w:val="single" w:color="AEBE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92.9%</w:t>
            </w:r>
          </w:p>
        </w:tc>
        <w:tc>
          <w:tcPr>
            <w:tcW w:type="dxa" w:w="2340"/>
            <w:tcBorders>
              <w:top w:val="single" w:color="AEBED4" w:sz="1"/>
              <w:left w:val="single" w:color="AEBED4" w:sz="1"/>
              <w:bottom w:val="single" w:color="AEBED4" w:sz="1"/>
              <w:right w:val="single" w:color="AEBE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0.89</w:t>
            </w:r>
          </w:p>
        </w:tc>
      </w:tr>
    </w:tbl>
    <w:p>
      <w:pPr>
        <w:spacing w:after="150" w:line="290"/>
        <w:jc w:val="both"/>
      </w:pPr>
      <w:r>
        <w:t xml:space="preserve">Stress recall was ~90% and </w:t>
      </w:r>
      <w:r>
        <w:rPr>
          <w:b/>
          <w:bCs/>
        </w:rPr>
        <w:t xml:space="preserve">EDA was the single most important feature (~53% of importance)</w:t>
      </w:r>
      <w:r>
        <w:t xml:space="preserve">, matching the literature. Adding respiration improved results — a clean preview of the gateway logic that adding a modality raises performance.</w:t>
      </w:r>
    </w:p>
    <w:p>
      <w:pPr>
        <w:pStyle w:val="Heading2"/>
      </w:pPr>
      <w:r>
        <w:t xml:space="preserve">5.2 Technical Defenses for the Committee</w:t>
      </w:r>
    </w:p>
    <w:p>
      <w:pPr>
        <w:pStyle w:val="ListParagraph"/>
        <w:numPr>
          <w:ilvl w:val="0"/>
          <w:numId w:val="3"/>
        </w:numPr>
        <w:spacing w:after="80" w:line="285"/>
      </w:pPr>
      <w:r>
        <w:rPr>
          <w:b/>
          <w:bCs/>
        </w:rPr>
        <w:t xml:space="preserve">Feature engineering: </w:t>
      </w:r>
      <w:r>
        <w:t xml:space="preserve">extract RMSSD/SDNN/LF-HF for HRV and split EDA into tonic (SCL) and phasic (SCR) components (e.g. via NeuroKit2) — standard, reproducible features.</w:t>
      </w:r>
    </w:p>
    <w:p>
      <w:pPr>
        <w:pStyle w:val="ListParagraph"/>
        <w:numPr>
          <w:ilvl w:val="0"/>
          <w:numId w:val="3"/>
        </w:numPr>
        <w:spacing w:after="80" w:line="285"/>
      </w:pPr>
      <w:r>
        <w:rPr>
          <w:b/>
          <w:bCs/>
        </w:rPr>
        <w:t xml:space="preserve">WESAD lacks cortisol: </w:t>
      </w:r>
      <w:r>
        <w:t xml:space="preserve">WESAD builds Engine 1 (acute autonomic-arousal tracking); the custom cohort phase introduces the cortisol ground-truth mapping.</w:t>
      </w:r>
    </w:p>
    <w:p>
      <w:pPr>
        <w:pStyle w:val="ListParagraph"/>
        <w:numPr>
          <w:ilvl w:val="0"/>
          <w:numId w:val="3"/>
        </w:numPr>
        <w:spacing w:after="80" w:line="285"/>
      </w:pPr>
      <w:r>
        <w:rPr>
          <w:b/>
          <w:bCs/>
        </w:rPr>
        <w:t xml:space="preserve">Small sample / overfitting: </w:t>
      </w:r>
      <w:r>
        <w:t xml:space="preserve">use transfer learning — pre-train a generalised model on WESAD, then fine-tune on the small personal cohort. This adaptive generalise-then-personalise pattern is established for wearable stress detection.</w:t>
      </w:r>
    </w:p>
    <w:p>
      <w:pPr>
        <w:spacing w:after="60" w:before="30"/>
      </w:pPr>
      <w:r>
        <w:rPr>
          <w:i/>
          <w:iCs/>
          <w:sz w:val="18"/>
          <w:szCs w:val="18"/>
        </w:rPr>
        <w:t xml:space="preserve">Supporting papers: </w:t>
      </w:r>
      <w:hyperlink w:history="1" r:id="rIddmj7fuj-deig7sxc3c86v">
        <w:r>
          <w:rPr>
            <w:rStyle w:val="Hyperlink"/>
          </w:rPr>
          <w:t xml:space="preserve">WESAD (UCI)</w:t>
        </w:r>
      </w:hyperlink>
      <w:r>
        <w:rPr>
          <w:sz w:val="18"/>
          <w:szCs w:val="18"/>
        </w:rPr>
        <w:t xml:space="preserve">; </w:t>
      </w:r>
      <w:hyperlink w:history="1" r:id="rId8c5iuy9625102hpxoab_z">
        <w:r>
          <w:rPr>
            <w:rStyle w:val="Hyperlink"/>
          </w:rPr>
          <w:t xml:space="preserve">Adaptive personalised stress detection (generalise → adapt → fine-tune)</w:t>
        </w:r>
      </w:hyperlink>
      <w:r>
        <w:rPr>
          <w:sz w:val="18"/>
          <w:szCs w:val="18"/>
        </w:rPr>
        <w:t xml:space="preserve">; </w:t>
      </w:r>
      <w:hyperlink w:history="1" r:id="rIdaw_ldjyfhh2mzwjsbq1ef">
        <w:r>
          <w:rPr>
            <w:rStyle w:val="Hyperlink"/>
          </w:rPr>
          <w:t xml:space="preserve">Multi-modal DL stress (tonic/phasic, time+freq features)</w:t>
        </w:r>
      </w:hyperlink>
      <w:r>
        <w:rPr>
          <w:sz w:val="18"/>
          <w:szCs w:val="18"/>
        </w:rPr>
        <w:t xml:space="preserve">.</w:t>
      </w:r>
    </w:p>
    <w:p>
      <w:pPr>
        <w:pStyle w:val="Heading1"/>
      </w:pPr>
      <w:r>
        <w:t xml:space="preserve">6. Supporting Evidence for the Design</w:t>
      </w:r>
    </w:p>
    <w:p>
      <w:pPr>
        <w:pStyle w:val="ListParagraph"/>
        <w:numPr>
          <w:ilvl w:val="0"/>
          <w:numId w:val="3"/>
        </w:numPr>
        <w:spacing w:after="80" w:line="285"/>
      </w:pPr>
      <w:r>
        <w:rPr>
          <w:b/>
          <w:bCs/>
        </w:rPr>
        <w:t xml:space="preserve">Adding a biomarker to wearable signals improves stress detection: </w:t>
      </w:r>
      <w:r>
        <w:t xml:space="preserve">in a real induced-stress study, adding cortisol to HRV raised accuracy by 10.3% (best 92.3%) — the inverse demonstration of our fusion logic.</w:t>
      </w:r>
    </w:p>
    <w:p>
      <w:pPr>
        <w:pStyle w:val="ListParagraph"/>
        <w:numPr>
          <w:ilvl w:val="0"/>
          <w:numId w:val="3"/>
        </w:numPr>
        <w:spacing w:after="80" w:line="285"/>
      </w:pPr>
      <w:r>
        <w:rPr>
          <w:b/>
          <w:bCs/>
        </w:rPr>
        <w:t xml:space="preserve">EDA and HRV carry strong cortisol/stress information: </w:t>
      </w:r>
      <w:r>
        <w:t xml:space="preserve">a wearable study modelling cortisol from physiology found EDA ≈ 60% of feature importance.</w:t>
      </w:r>
    </w:p>
    <w:p>
      <w:pPr>
        <w:pStyle w:val="ListParagraph"/>
        <w:numPr>
          <w:ilvl w:val="0"/>
          <w:numId w:val="3"/>
        </w:numPr>
        <w:spacing w:after="80" w:line="285"/>
      </w:pPr>
      <w:r>
        <w:rPr>
          <w:b/>
          <w:bCs/>
        </w:rPr>
        <w:t xml:space="preserve">The integrated multimodal direction is current and validated: </w:t>
      </w:r>
      <w:r>
        <w:t xml:space="preserve">Stressomic (Science Advances, 2025) shows continuous multi-hormone profiling, and the UC Irvine profiler (2026) pairs cortisol with heart-rate/skin-conductance sensing plus ML.</w:t>
      </w:r>
    </w:p>
    <w:p>
      <w:pPr>
        <w:spacing w:after="60" w:before="30"/>
      </w:pPr>
      <w:r>
        <w:rPr>
          <w:i/>
          <w:iCs/>
          <w:sz w:val="18"/>
          <w:szCs w:val="18"/>
        </w:rPr>
        <w:t xml:space="preserve">Supporting papers: </w:t>
      </w:r>
      <w:hyperlink w:history="1" r:id="rIdqtlpdx-hvtubznrtxnv7t">
        <w:r>
          <w:rPr>
            <w:rStyle w:val="Hyperlink"/>
          </w:rPr>
          <w:t xml:space="preserve">Lindsay — cortisol + HRV (+10.3%)</w:t>
        </w:r>
      </w:hyperlink>
      <w:r>
        <w:rPr>
          <w:sz w:val="18"/>
          <w:szCs w:val="18"/>
        </w:rPr>
        <w:t xml:space="preserve">; </w:t>
      </w:r>
      <w:hyperlink w:history="1" r:id="rIddopgiyomw-ysuvcpwdrol">
        <w:r>
          <w:rPr>
            <w:rStyle w:val="Hyperlink"/>
          </w:rPr>
          <w:t xml:space="preserve">Liang — EDA ~60% importance</w:t>
        </w:r>
      </w:hyperlink>
      <w:r>
        <w:rPr>
          <w:sz w:val="18"/>
          <w:szCs w:val="18"/>
        </w:rPr>
        <w:t xml:space="preserve">; </w:t>
      </w:r>
      <w:hyperlink w:history="1" r:id="rIdmbajwh6raahhq59n1t2z6">
        <w:r>
          <w:rPr>
            <w:rStyle w:val="Hyperlink"/>
          </w:rPr>
          <w:t xml:space="preserve">Stressomic</w:t>
        </w:r>
      </w:hyperlink>
      <w:r>
        <w:rPr>
          <w:sz w:val="18"/>
          <w:szCs w:val="18"/>
        </w:rPr>
        <w:t xml:space="preserve">; </w:t>
      </w:r>
      <w:hyperlink w:history="1" r:id="rIdopsmcz-pavvxjozvtbwfj">
        <w:r>
          <w:rPr>
            <w:rStyle w:val="Hyperlink"/>
          </w:rPr>
          <w:t xml:space="preserve">UC Irvine profiler</w:t>
        </w:r>
      </w:hyperlink>
      <w:r>
        <w:rPr>
          <w:sz w:val="18"/>
          <w:szCs w:val="18"/>
        </w:rPr>
        <w:t xml:space="preserve">.</w:t>
      </w:r>
    </w:p>
    <w:p>
      <w:pPr>
        <w:pStyle w:val="Heading1"/>
      </w:pPr>
      <w:r>
        <w:t xml:space="preserve">7. Limitations and Honest Caveats</w:t>
      </w:r>
    </w:p>
    <w:p>
      <w:pPr>
        <w:pStyle w:val="ListParagraph"/>
        <w:numPr>
          <w:ilvl w:val="0"/>
          <w:numId w:val="3"/>
        </w:numPr>
        <w:spacing w:after="80" w:line="285"/>
      </w:pPr>
      <w:r>
        <w:t xml:space="preserve">The 89.3% baseline was on simulated data; real-cohort validation is required and is part of this plan.</w:t>
      </w:r>
    </w:p>
    <w:p>
      <w:pPr>
        <w:pStyle w:val="ListParagraph"/>
        <w:numPr>
          <w:ilvl w:val="0"/>
          <w:numId w:val="3"/>
        </w:numPr>
        <w:spacing w:after="80" w:line="285"/>
      </w:pPr>
      <w:r>
        <w:t xml:space="preserve">The single-device cortisol + EDA integration conflict is an engineering challenge, not a fully documented hard physical law; we frame it as motivation for the software-gateway approach.</w:t>
      </w:r>
    </w:p>
    <w:p>
      <w:pPr>
        <w:pStyle w:val="ListParagraph"/>
        <w:numPr>
          <w:ilvl w:val="0"/>
          <w:numId w:val="3"/>
        </w:numPr>
        <w:spacing w:after="80" w:line="285"/>
      </w:pPr>
      <w:r>
        <w:t xml:space="preserve">WESAD contains no cortisol — it validates only the autonomic (HRV/EDA) engine.</w:t>
      </w:r>
    </w:p>
    <w:p>
      <w:pPr>
        <w:pStyle w:val="ListParagraph"/>
        <w:numPr>
          <w:ilvl w:val="0"/>
          <w:numId w:val="3"/>
        </w:numPr>
        <w:spacing w:after="80" w:line="285"/>
      </w:pPr>
      <w:r>
        <w:t xml:space="preserve">The ~80% saliva-reduction target is a hypothesis to be demonstrated, dependent on cohort size and label quality.</w:t>
      </w:r>
    </w:p>
    <w:p>
      <w:pPr>
        <w:pStyle w:val="ListParagraph"/>
        <w:numPr>
          <w:ilvl w:val="0"/>
          <w:numId w:val="3"/>
        </w:numPr>
        <w:spacing w:after="80" w:line="285"/>
      </w:pPr>
      <w:r>
        <w:t xml:space="preserve">Cohort data needs ethics approval; stress signatures vary between people, so leave-one-subject-out evaluation and per-subject reporting are essential.</w:t>
      </w:r>
    </w:p>
    <w:p>
      <w:pPr>
        <w:pStyle w:val="Heading1"/>
      </w:pPr>
      <w:r>
        <w:t xml:space="preserve">8. References</w:t>
      </w:r>
    </w:p>
    <w:p>
      <w:pPr>
        <w:pStyle w:val="ListParagraph"/>
        <w:numPr>
          <w:ilvl w:val="0"/>
          <w:numId w:val="4"/>
        </w:numPr>
        <w:spacing w:after="70" w:line="285"/>
      </w:pPr>
      <w:hyperlink w:history="1" r:id="rId7n8wbh2z-iq7cgfwqgttm">
        <w:r>
          <w:rPr>
            <w:rStyle w:val="Hyperlink"/>
          </w:rPr>
          <w:t xml:space="preserve">WESAD: Wearable Stress and Affect Detection dataset (UCI).</w:t>
        </w:r>
      </w:hyperlink>
    </w:p>
    <w:p>
      <w:pPr>
        <w:pStyle w:val="ListParagraph"/>
        <w:numPr>
          <w:ilvl w:val="0"/>
          <w:numId w:val="4"/>
        </w:numPr>
        <w:spacing w:after="70" w:line="285"/>
      </w:pPr>
      <w:hyperlink w:history="1" r:id="rIdcjshvc5gulejqwuxczpkk">
        <w:r>
          <w:rPr>
            <w:rStyle w:val="Hyperlink"/>
          </w:rPr>
          <w:t xml:space="preserve">Lindsay (2022). HRV and salivary cortisol data in pregnant women — Dryad (cortisol +10.3%, best 92.3%).</w:t>
        </w:r>
      </w:hyperlink>
    </w:p>
    <w:p>
      <w:pPr>
        <w:pStyle w:val="ListParagraph"/>
        <w:numPr>
          <w:ilvl w:val="0"/>
          <w:numId w:val="4"/>
        </w:numPr>
        <w:spacing w:after="70" w:line="285"/>
      </w:pPr>
      <w:hyperlink w:history="1" r:id="rIdoy9nrcnhdq6xlosysxb_8">
        <w:r>
          <w:rPr>
            <w:rStyle w:val="Hyperlink"/>
          </w:rPr>
          <w:t xml:space="preserve">Liang et al. Cortisol Estimation using Wearable Wristbands (EDA ~60% importance).</w:t>
        </w:r>
      </w:hyperlink>
    </w:p>
    <w:p>
      <w:pPr>
        <w:pStyle w:val="ListParagraph"/>
        <w:numPr>
          <w:ilvl w:val="0"/>
          <w:numId w:val="4"/>
        </w:numPr>
        <w:spacing w:after="70" w:line="285"/>
      </w:pPr>
      <w:hyperlink w:history="1" r:id="rIdieapwxnqfpmyronqg8zpk">
        <w:r>
          <w:rPr>
            <w:rStyle w:val="Hyperlink"/>
          </w:rPr>
          <w:t xml:space="preserve">An Adaptive System for Wearable Devices to Detect Stress (generalise → adapt → fine-tune).</w:t>
        </w:r>
      </w:hyperlink>
    </w:p>
    <w:p>
      <w:pPr>
        <w:pStyle w:val="ListParagraph"/>
        <w:numPr>
          <w:ilvl w:val="0"/>
          <w:numId w:val="4"/>
        </w:numPr>
        <w:spacing w:after="70" w:line="285"/>
      </w:pPr>
      <w:hyperlink w:history="1" r:id="rIdnxzmaxmeudkzinhguavul">
        <w:r>
          <w:rPr>
            <w:rStyle w:val="Hyperlink"/>
          </w:rPr>
          <w:t xml:space="preserve">A multi-modal deep learning approach for stress detection (tonic/phasic EDA, time + frequency).</w:t>
        </w:r>
      </w:hyperlink>
    </w:p>
    <w:p>
      <w:pPr>
        <w:pStyle w:val="ListParagraph"/>
        <w:numPr>
          <w:ilvl w:val="0"/>
          <w:numId w:val="4"/>
        </w:numPr>
        <w:spacing w:after="70" w:line="285"/>
      </w:pPr>
      <w:hyperlink w:history="1" r:id="rIdgmmkahfd1ngrqyw1l2nl_">
        <w:r>
          <w:rPr>
            <w:rStyle w:val="Hyperlink"/>
          </w:rPr>
          <w:t xml:space="preserve">Stressomic: wearable microfluidic biosensor for multiple stress hormones (Science Advances, 2025).</w:t>
        </w:r>
      </w:hyperlink>
    </w:p>
    <w:p>
      <w:pPr>
        <w:pStyle w:val="ListParagraph"/>
        <w:numPr>
          <w:ilvl w:val="0"/>
          <w:numId w:val="4"/>
        </w:numPr>
        <w:spacing w:after="70" w:line="285"/>
      </w:pPr>
      <w:hyperlink w:history="1" r:id="rId6kiiydqyl0joev5u058ba">
        <w:r>
          <w:rPr>
            <w:rStyle w:val="Hyperlink"/>
          </w:rPr>
          <w:t xml:space="preserve">UC Irvine wearable bioelectronic stress profiler (cortisol + HR + EDA + ML, 2026).</w:t>
        </w:r>
      </w:hyperlink>
    </w:p>
    <w:p>
      <w:pPr>
        <w:pStyle w:val="ListParagraph"/>
        <w:numPr>
          <w:ilvl w:val="0"/>
          <w:numId w:val="4"/>
        </w:numPr>
        <w:spacing w:after="70" w:line="285"/>
      </w:pPr>
      <w:hyperlink w:history="1" r:id="rId4qkpjlgtl2xxfrqiknvn2">
        <w:r>
          <w:rPr>
            <w:rStyle w:val="Hyperlink"/>
          </w:rPr>
          <w:t xml:space="preserve">Printed Sensors for Quantifying Electrodermal Activity and Sweat Rate: A Review.</w:t>
        </w:r>
      </w:hyperlink>
    </w:p>
    <w:p>
      <w:pPr>
        <w:pStyle w:val="ListParagraph"/>
        <w:numPr>
          <w:ilvl w:val="0"/>
          <w:numId w:val="4"/>
        </w:numPr>
        <w:spacing w:after="70" w:line="285"/>
      </w:pPr>
      <w:hyperlink w:history="1" r:id="rIdgkub7xzuf3apj__hml9zy">
        <w:r>
          <w:rPr>
            <w:rStyle w:val="Hyperlink"/>
          </w:rPr>
          <w:t xml:space="preserve">A Wearable Molecularly Imprinted Electrochemical Sensor for Cortisol in Sweat.</w:t>
        </w:r>
      </w:hyperlink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Thesis Feasibility Report — Multimodal Stress Tracking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gmfcofbvt3dmij0kf5krc" Type="http://schemas.openxmlformats.org/officeDocument/2006/relationships/hyperlink" Target="https://pmc.ncbi.nlm.nih.gov/articles/PMC12656070/" TargetMode="External"/><Relationship Id="rIdgwbymo3dieperm53fn_m7" Type="http://schemas.openxmlformats.org/officeDocument/2006/relationships/hyperlink" Target="https://www.ncbi.nlm.nih.gov/pmc/articles/PMC11940103/" TargetMode="External"/><Relationship Id="rIddmj7fuj-deig7sxc3c86v" Type="http://schemas.openxmlformats.org/officeDocument/2006/relationships/hyperlink" Target="https://archive.ics.uci.edu/dataset/465/wesad+wearable+stress+and+affect+detection" TargetMode="External"/><Relationship Id="rId8c5iuy9625102hpxoab_z" Type="http://schemas.openxmlformats.org/officeDocument/2006/relationships/hyperlink" Target="https://arxiv.org/html/2407.15252v1" TargetMode="External"/><Relationship Id="rIdaw_ldjyfhh2mzwjsbq1ef" Type="http://schemas.openxmlformats.org/officeDocument/2006/relationships/hyperlink" Target="https://www.frontiersin.org/journals/physiology/articles/10.3389/fphys.2025.1584299/full" TargetMode="External"/><Relationship Id="rIdqtlpdx-hvtubznrtxnv7t" Type="http://schemas.openxmlformats.org/officeDocument/2006/relationships/hyperlink" Target="https://datadryad.org/dataset/doi:10.7280/D12Q4P" TargetMode="External"/><Relationship Id="rIddopgiyomw-ysuvcpwdrol" Type="http://schemas.openxmlformats.org/officeDocument/2006/relationships/hyperlink" Target="https://www.researchgate.net/publication/393453678_Cortisol_Estimation_using_Wearable_Wristbands_Comparing_Multilevel_Modelling_and_Machine_Learning" TargetMode="External"/><Relationship Id="rIdmbajwh6raahhq59n1t2z6" Type="http://schemas.openxmlformats.org/officeDocument/2006/relationships/hyperlink" Target="https://pmc.ncbi.nlm.nih.gov/articles/PMC12327446/" TargetMode="External"/><Relationship Id="rIdopsmcz-pavvxjozvtbwfj" Type="http://schemas.openxmlformats.org/officeDocument/2006/relationships/hyperlink" Target="https://news.uci.edu/2026/01/29/uc-irvine-researchers-develop-smart-wearable-bioelectronic-stress-profiler/" TargetMode="External"/><Relationship Id="rId7n8wbh2z-iq7cgfwqgttm" Type="http://schemas.openxmlformats.org/officeDocument/2006/relationships/hyperlink" Target="https://archive.ics.uci.edu/dataset/465/wesad+wearable+stress+and+affect+detection" TargetMode="External"/><Relationship Id="rIdcjshvc5gulejqwuxczpkk" Type="http://schemas.openxmlformats.org/officeDocument/2006/relationships/hyperlink" Target="https://datadryad.org/dataset/doi:10.7280/D12Q4P" TargetMode="External"/><Relationship Id="rIdoy9nrcnhdq6xlosysxb_8" Type="http://schemas.openxmlformats.org/officeDocument/2006/relationships/hyperlink" Target="https://www.researchgate.net/publication/393453678_Cortisol_Estimation_using_Wearable_Wristbands_Comparing_Multilevel_Modelling_and_Machine_Learning" TargetMode="External"/><Relationship Id="rIdieapwxnqfpmyronqg8zpk" Type="http://schemas.openxmlformats.org/officeDocument/2006/relationships/hyperlink" Target="https://arxiv.org/html/2407.15252v1" TargetMode="External"/><Relationship Id="rIdnxzmaxmeudkzinhguavul" Type="http://schemas.openxmlformats.org/officeDocument/2006/relationships/hyperlink" Target="https://www.frontiersin.org/journals/physiology/articles/10.3389/fphys.2025.1584299/full" TargetMode="External"/><Relationship Id="rIdgmmkahfd1ngrqyw1l2nl_" Type="http://schemas.openxmlformats.org/officeDocument/2006/relationships/hyperlink" Target="https://pmc.ncbi.nlm.nih.gov/articles/PMC12327446/" TargetMode="External"/><Relationship Id="rId6kiiydqyl0joev5u058ba" Type="http://schemas.openxmlformats.org/officeDocument/2006/relationships/hyperlink" Target="https://news.uci.edu/2026/01/29/uc-irvine-researchers-develop-smart-wearable-bioelectronic-stress-profiler/" TargetMode="External"/><Relationship Id="rId4qkpjlgtl2xxfrqiknvn2" Type="http://schemas.openxmlformats.org/officeDocument/2006/relationships/hyperlink" Target="https://pmc.ncbi.nlm.nih.gov/articles/PMC12656070/" TargetMode="External"/><Relationship Id="rIdgkub7xzuf3apj__hml9zy" Type="http://schemas.openxmlformats.org/officeDocument/2006/relationships/hyperlink" Target="https://www.ncbi.nlm.nih.gov/pmc/articles/PMC11940103/" TargetMode="External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2026-06-17T01:37:25.413Z</dcterms:created>
  <dcterms:modified xsi:type="dcterms:W3CDTF">2026-06-17T01:37:25.413Z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