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Cost-Aware Dynamic Task Scheduling in Heterogeneous Multi-Cloud Systems</w:t>
      </w:r>
    </w:p>
    <w:p>
      <w:pPr>
        <w:spacing w:after="40" w:before="0"/>
        <w:jc w:val="center"/>
      </w:pPr>
      <w:r>
        <w:rPr>
          <w:rFonts w:ascii="Times New Roman" w:cs="Times New Roman" w:eastAsia="Times New Roman" w:hAnsi="Times New Roman"/>
          <w:b/>
          <w:bCs/>
          <w:sz w:val="20"/>
          <w:szCs w:val="20"/>
        </w:rPr>
        <w:t xml:space="preserve">Namratha Rajashekar</w:t>
      </w:r>
    </w:p>
    <w:p>
      <w:pPr>
        <w:spacing w:after="40" w:before="0"/>
        <w:jc w:val="center"/>
      </w:pPr>
      <w:r>
        <w:rPr>
          <w:rFonts w:ascii="Times New Roman" w:cs="Times New Roman" w:eastAsia="Times New Roman" w:hAnsi="Times New Roman"/>
          <w:i/>
          <w:iCs/>
          <w:sz w:val="18"/>
          <w:szCs w:val="18"/>
        </w:rPr>
        <w:t xml:space="preserve">Department of Computer Science and Engineering</w:t>
      </w:r>
    </w:p>
    <w:p>
      <w:pPr>
        <w:spacing w:after="200" w:before="0"/>
        <w:jc w:val="center"/>
      </w:pPr>
      <w:r>
        <w:rPr>
          <w:rFonts w:ascii="Times New Roman" w:cs="Times New Roman" w:eastAsia="Times New Roman" w:hAnsi="Times New Roman"/>
          <w:i/>
          <w:iCs/>
          <w:sz w:val="18"/>
          <w:szCs w:val="18"/>
        </w:rPr>
        <w:t xml:space="preserve">namratharajashekar18@gmail.com</w:t>
      </w:r>
    </w:p>
    <w:p>
      <w:pPr>
        <w:spacing w:after="80" w:before="0"/>
        <w:jc w:val="center"/>
      </w:pPr>
      <w:r>
        <w:rPr>
          <w:rFonts w:ascii="Times New Roman" w:cs="Times New Roman" w:eastAsia="Times New Roman" w:hAnsi="Times New Roman"/>
          <w:b/>
          <w:bCs/>
          <w:i/>
          <w:iCs/>
          <w:sz w:val="20"/>
          <w:szCs w:val="20"/>
        </w:rPr>
        <w:t xml:space="preserve">Abstract</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widespread adoption of multi-cloud architectures has introduced a new set of resource management challenges that conventional scheduling techniques are ill-equipped to handle. Existing approaches to load balancing were conceived for uniform computing clusters and cannot adequately account for the pricing heterogeneity, variable performance tiers, and distinct service agreements that characterize today's cloud marketplace. To bridge this gap, we introduce a Cost-Aware Dynamic Task Scheduler (CADTS) that makes allocation decisions by simultaneously weighing four operational objectives: monetary expenditure, workload equilibrium, task urgency, and anticipated response latency. These objectives are integrated through a parameterized fitness function where cost carries weight α=0.4, load balance β=0.3, priority γ=0.2, and response time δ=0.1. The scheduler is validated against workload traces sourced from Google’s public cluster dataset, applied over emulated AWS, Azure, and GCP instances configured with real 2024 pricing. Across five experimental trials each comprising 1,000 tasks, CADTS consistently lowered cumulative allocation cost by 4.11% relative to Round Robin and Least Connection baselines, while reducing load variance by 99.99%. End-to-end scheduling of 1,000 tasks completes within 6.64 milliseconds, confirming viability for latency-sensitive production deployments. We report exhaustive performance breakdowns covering cost, throughput, decision latency, and distribution balance to substantiate the statistical reliability of these findings.</w:t>
      </w:r>
    </w:p>
    <w:p>
      <w:pPr>
        <w:spacing w:after="80" w:before="0"/>
      </w:pPr>
      <w:r>
        <w:rPr>
          <w:rFonts w:ascii="Times New Roman" w:cs="Times New Roman" w:eastAsia="Times New Roman" w:hAnsi="Times New Roman"/>
          <w:i/>
          <w:iCs/>
          <w:sz w:val="18"/>
          <w:szCs w:val="18"/>
        </w:rPr>
        <w:t xml:space="preserve">Keywords— Heterogeneous cloud systems, task scheduling, cost optimization, multi-objective fitness, workload distribution, resource allocation, Google Cluster Trace</w:t>
      </w:r>
    </w:p>
    <w:p>
      <w:pPr>
        <w:spacing w:after="80" w:before="160"/>
        <w:jc w:val="left"/>
      </w:pPr>
      <w:r>
        <w:rPr>
          <w:rFonts w:ascii="Times New Roman" w:cs="Times New Roman" w:eastAsia="Times New Roman" w:hAnsi="Times New Roman"/>
          <w:b/>
          <w:bCs/>
          <w:caps/>
          <w:sz w:val="22"/>
          <w:szCs w:val="22"/>
        </w:rPr>
        <w:t xml:space="preserve">I.  Introduction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Widespread enterprise adoption of cloud infrastructure has fundamentally reshaped how computing workloads are provisioned and managed. Organizations that once maintained dedicated on-premises data centres now routinely offload computation to remote cloud platforms, realizing gains in agility, elastic capacity, and financial efficiency. Yet dependence on a single cloud vendor exposes enterprises to service discontinuities, inflexible pricing structures, and constrained geographic presence. Distributing workloads across multiple providers—Amazon Web Services, Microsoft Azure, Google Cloud Platform, and others—has therefore emerged as a preferred strategy for risk mitigation and cost arbitrage.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case for multi-cloud deployments is well-supported by industry data: surveys consistently show more than 90% of large enterprises operating across two or more providers, with the typical organization engaging 2.6 distinct cloud platforms simultaneously. Yet the very diversity that motivates this approach also complicates it. Providers differ in their instance configurations, pricing granularity, billing periods, and performance envelopes, making it non-trivial to determine the optimal destination for each arriving task. Conventional scheduling algorithms such as Round Robin and Least Connection distribute tasks without any awareness of these cost differentials, consistently leaving financial savings unrealized.</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This study addresses that shortcoming by proposing a scheduling algorithm that treats cost as a first-class optimization target alongside conventional load-balancing criteria. The proposed Cost-Aware Dynamic Task Scheduler (CADTS) evaluates every available cloud provider for each incoming task and selects the allocation that minimizes a composite fitness score encoding cost, load level, priority, and response time. Allocation decisions are made in O(N) time per task, where N is the number of candidate providers, ensuring the algorithm can operate without disrupting real-time workload flows.</w:t>
      </w:r>
    </w:p>
    <w:p>
      <w:pPr>
        <w:spacing w:after="80" w:before="160"/>
        <w:jc w:val="left"/>
      </w:pPr>
      <w:r>
        <w:rPr>
          <w:rFonts w:ascii="Times New Roman" w:cs="Times New Roman" w:eastAsia="Times New Roman" w:hAnsi="Times New Roman"/>
          <w:b/>
          <w:bCs/>
          <w:caps w:val="false"/>
          <w:sz w:val="20"/>
          <w:szCs w:val="20"/>
        </w:rPr>
        <w:t xml:space="preserve">A.  Primary Contributions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This work makes four original contributions to the cloud scheduling literature: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1) A scheduling formulation that unifies cost minimization with load balancing through an analytically grounded, parameter-driven fitness function.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2) A workload generation methodology grounded in empirical distributions extracted from the Google Cluster Trace, yielding realistic heterogeneous task streams for algorithm evaluation.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3) A rigorous comparative study of CADTS, Round Robin, and Least Connection across five independent trials, reporting cost, latency, load variance, and throughput.</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4) Evidence that a 4.11% cost reduction and near-perfect load balancing (variance ≈ 0) are simultaneously achievable without sacrificing scheduling throughput.</w:t>
      </w:r>
    </w:p>
    <w:p>
      <w:pPr>
        <w:spacing w:after="80" w:before="160"/>
        <w:jc w:val="left"/>
      </w:pPr>
      <w:r>
        <w:rPr>
          <w:rFonts w:ascii="Times New Roman" w:cs="Times New Roman" w:eastAsia="Times New Roman" w:hAnsi="Times New Roman"/>
          <w:b/>
          <w:bCs/>
          <w:caps w:val="false"/>
          <w:sz w:val="20"/>
          <w:szCs w:val="20"/>
        </w:rPr>
        <w:t xml:space="preserve">B.  Paper Organization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remainder of this manuscript proceeds as follows. Section II situates the proposed work within the existing literature. Section III formalizes the system model and optimization problem. Section IV describes the CADTS algorithm in detail. Section V outlines the experimental configuration. Section VI analyses results and implications. Section VII summarizes conclusions and charts future research directions.</w:t>
      </w:r>
    </w:p>
    <w:p>
      <w:pPr>
        <w:spacing w:after="80" w:before="160"/>
        <w:jc w:val="left"/>
      </w:pPr>
      <w:r>
        <w:rPr>
          <w:rFonts w:ascii="Times New Roman" w:cs="Times New Roman" w:eastAsia="Times New Roman" w:hAnsi="Times New Roman"/>
          <w:b/>
          <w:bCs/>
          <w:caps/>
          <w:sz w:val="22"/>
          <w:szCs w:val="22"/>
        </w:rPr>
        <w:t xml:space="preserve">II.  Related Work</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Scheduling and load balancing in cloud computing have attracted sustained research attention over the past decade. Early work adapted classical distributed-systems algorithms—Round Robin, Weighted Round Robin, Least Connection—to cloud settings, improving task distribution without fundamentally addressing the cost dimension of heterogeneous provider environments.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Cost-conscious scheduling was pioneered by Zhu and Agrawal [1], who formulated budget-constrained provisioning for adaptive cloud applications. Their model treats pricing as a constraint rather than an optimization objective, and it assumes static rate schedules rather than the dynamic pricing prevalent in modern clouds. Abrishami et al. [2] tackled deadline-aware workflow scheduling under Infrastructure-as-a-Service pricing, producing cost-efficient schedules for scientific pipelines. Their contribution, however, presupposes fixed unit prices and does not generalize to real-time, mixed-priority workloads.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Learning-based schedulers have also been explored. Xu et al. [3] applied reinforcement learning to data-centre resource allocation with the goal of reducing energy consumption. Although the approach demonstrated adaptability, it demands prolonged training phases and does not directly minimize cross-provider financial expenditure. Zhang et al. [4] employed deep learning for demand forecasting and proactive allocation, but the inference overhead of neural networks constrains their use in latency-sensitive scheduling loops.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Multi-objective formulations have been examined by Mondal et al. [5], who balanced makespan, utilization, and energy in a stochastic hill-climbing framework, and by Cheng et al. [6], who employed Pareto-front methods for cloud resource allocation. Neither study incorporates monetary cost as an explicit optimization target. The Google Cluster Trace, documented by Reiss et al. [7], has served as a standard benchmarking resource across these works and is employed here to ensure our synthetic workloads reflect authentic production task characteristics.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present work differs from the foregoing in three respects: it frames cost as a primary scheduling objective rather than a secondary constraint; it generates workloads from statistically validated empirical distributions; and it achieves real-time O(N) decision throughput without requiring a training phase or offline model.</w:t>
      </w:r>
    </w:p>
    <w:p>
      <w:pPr>
        <w:spacing w:after="80" w:before="160"/>
        <w:jc w:val="left"/>
      </w:pPr>
      <w:r>
        <w:rPr>
          <w:rFonts w:ascii="Times New Roman" w:cs="Times New Roman" w:eastAsia="Times New Roman" w:hAnsi="Times New Roman"/>
          <w:b/>
          <w:bCs/>
          <w:caps/>
          <w:sz w:val="22"/>
          <w:szCs w:val="22"/>
        </w:rPr>
        <w:t xml:space="preserve">III.  System Model and Problem Statement</w:t>
      </w:r>
    </w:p>
    <w:p>
      <w:pPr>
        <w:spacing w:after="80" w:before="160"/>
        <w:jc w:val="left"/>
      </w:pPr>
      <w:r>
        <w:rPr>
          <w:rFonts w:ascii="Times New Roman" w:cs="Times New Roman" w:eastAsia="Times New Roman" w:hAnsi="Times New Roman"/>
          <w:b/>
          <w:bCs/>
          <w:caps w:val="false"/>
          <w:sz w:val="20"/>
          <w:szCs w:val="20"/>
        </w:rPr>
        <w:t xml:space="preserve">A.  Multi-Cloud Infrastructure Model</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Consider a scheduling domain comprising N heterogeneous cloud providers P = {P₁, P₂, …, Pₙ}. Each provider Pᴵ exposes a set of billable resource dimensions characterized by the following per-unit rates: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Cᴵᶜᵖᵘ: cost per CPU core per hour</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Cᴵᵐᵉᵐ: cost per GB of RAM per hour</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Cᴵˢᵗᵒʳ: cost per GB of storage per hour</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Cᴵⁿᵉᵗ: cost per GB of network egress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Three providers are instantiated in our evaluation—AWS, Azure, and GCP—configured with their publicly listed 2024 on-demand pricing. Each provider maintains a live state vector tracking allocated CPU cores, consumed memory, consumed storage, and cumulative network transfer.</w:t>
      </w:r>
    </w:p>
    <w:p>
      <w:pPr>
        <w:spacing w:after="80" w:before="160"/>
        <w:jc w:val="left"/>
      </w:pPr>
      <w:r>
        <w:rPr>
          <w:rFonts w:ascii="Times New Roman" w:cs="Times New Roman" w:eastAsia="Times New Roman" w:hAnsi="Times New Roman"/>
          <w:b/>
          <w:bCs/>
          <w:caps w:val="false"/>
          <w:sz w:val="20"/>
          <w:szCs w:val="20"/>
        </w:rPr>
        <w:t xml:space="preserve">B.  Task Representation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Arriving tasks are modelled as tuples Tⱼ = (cpuⱼ, memⱼ, storⱼ, netⱼ, prioⱼ, durⱼ), where cpuⱼ denotes core count, memⱼ denotes memory demand in GB, storⱼ denotes storage demand in GB, netⱼ denotes expected data transfer in GB, prioⱼ ∈ {1, 2, 3, 4, 5} encodes urgency (higher values indicate higher urgency), and durⱼ represents projected execution duration in hours.</w:t>
      </w:r>
    </w:p>
    <w:p>
      <w:pPr>
        <w:spacing w:after="80" w:before="160"/>
        <w:jc w:val="left"/>
      </w:pPr>
      <w:r>
        <w:rPr>
          <w:rFonts w:ascii="Times New Roman" w:cs="Times New Roman" w:eastAsia="Times New Roman" w:hAnsi="Times New Roman"/>
          <w:b/>
          <w:bCs/>
          <w:caps w:val="false"/>
          <w:sz w:val="20"/>
          <w:szCs w:val="20"/>
        </w:rPr>
        <w:t xml:space="preserve">C.  Optimization Objective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direct monetary cost of executing task Tⱼ on provider Pᴵ is:</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Cost(Tⱼ, Pᴵ) = (cpuⱼ × Cᴵᶜᵖᵘ + memⱼ × Cᴵᵐᵉᵐ + storⱼ × Cᴵˢᵗᵒʳ) × durⱼ + netⱼ × Cᴵⁿᵉᵗ</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Provider load is defined as the mean of normalized CPU and memory utilization:</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Load(Pᴵ) = (CPU_usedᴵ / CPU_maxᴵ + Mem_usedᴵ / Mem_maxᴵ) / 2</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These two quantities, together with task priority and response latency, are combined into a single composite fitness score:</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Fitness(Tⱼ, Pᴵ) = α × Costₙᵒʳᵐ(Tⱼ, Pᴵ) + β × Load(Pᴵ) + γ × (1 / prioⱼ) + δ × RT(Tⱼ, Pᴵ)</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Weight coefficients are set as α = 0.4, β = 0.3, γ = 0.2, δ = 0.1, reflecting the primacy of cost control while still rewarding load balance, high-priority task placement, and low response latency. The scheduling objective is to select, for each task Tⱼ, the provider P* that minimizes Fitness(Tⱼ, Pᴵ).</w:t>
      </w:r>
    </w:p>
    <w:p>
      <w:pPr>
        <w:spacing w:after="80" w:before="160"/>
        <w:jc w:val="left"/>
      </w:pPr>
      <w:r>
        <w:rPr>
          <w:rFonts w:ascii="Times New Roman" w:cs="Times New Roman" w:eastAsia="Times New Roman" w:hAnsi="Times New Roman"/>
          <w:b/>
          <w:bCs/>
          <w:caps/>
          <w:sz w:val="22"/>
          <w:szCs w:val="22"/>
        </w:rPr>
        <w:t xml:space="preserve">IV.  The CADTS Algorithm</w:t>
      </w:r>
    </w:p>
    <w:p>
      <w:pPr>
        <w:spacing w:after="80" w:before="160"/>
        <w:jc w:val="left"/>
      </w:pPr>
      <w:r>
        <w:rPr>
          <w:rFonts w:ascii="Times New Roman" w:cs="Times New Roman" w:eastAsia="Times New Roman" w:hAnsi="Times New Roman"/>
          <w:b/>
          <w:bCs/>
          <w:caps w:val="false"/>
          <w:sz w:val="20"/>
          <w:szCs w:val="20"/>
        </w:rPr>
        <w:t xml:space="preserve">A.  Design Rationale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CADTS is designed around three engineering imperatives: real-time responsiveness, explainability, and stateless operation. Rather than training a predictive model or maintaining historical allocation queues, the algorithm evaluates each provider synchronously at task arrival using only the provider’s current state—an approach that yields deterministic, auditable decisions and eliminates cold-start latency.</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central design insight is that cost minimization and load balancing are not inherently conflicting goals in a heterogeneous cloud environment. Providers with relatively lower prices for a given task type tend to have greater spare capacity, meaning that routing tasks toward the cheapest provider naturally distributes load in a cost-efficient manner. The fitness function formalizes this synergy.</w:t>
      </w:r>
    </w:p>
    <w:p>
      <w:pPr>
        <w:spacing w:after="80" w:before="160"/>
        <w:jc w:val="left"/>
      </w:pPr>
      <w:r>
        <w:rPr>
          <w:rFonts w:ascii="Times New Roman" w:cs="Times New Roman" w:eastAsia="Times New Roman" w:hAnsi="Times New Roman"/>
          <w:b/>
          <w:bCs/>
          <w:caps w:val="false"/>
          <w:sz w:val="20"/>
          <w:szCs w:val="20"/>
        </w:rPr>
        <w:t xml:space="preserve">B.  Scheduling Procedure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Upon the arrival of a new task Tⱼ, CADTS executes the following sequence: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Step 1 – Attribute Extraction: Parse Tⱼ to obtain its resource requirements (cpu, mem, stor, net) and scheduling metadata (prio, dur).</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Step 2 – Provider Scanning: For each provider Pᴵ ∈ P, compute Fitness(Tⱼ, Pᴵ) using the current state vector of Pᴵ.</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Step 3 – Cost Normalization: Scale Cost(Tⱼ, Pᴵ) by the minimum and maximum costs observed across all providers to produce Costₙᵒʳᵐ ∈ [0, 1].</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Step 4 – Load Snapshot: Read live CPU and memory utilization figures from Pᴵ’s state vector to compute Load(Pᴵ).</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Step 5 – Provider Selection: Designate P* = argminᴵ Fitness(Tⱼ, Pᴵ) as the allocation target.</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Step 6 – State Propagation: Increment P*’s resource counters by the corresponding task demands.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Step 7 – Audit Logging: Persist the scheduling decision and its fitness score for post-hoc performance analysis.</w:t>
      </w:r>
    </w:p>
    <w:p>
      <w:pPr>
        <w:spacing w:after="80" w:before="160"/>
        <w:jc w:val="left"/>
      </w:pPr>
      <w:r>
        <w:rPr>
          <w:rFonts w:ascii="Times New Roman" w:cs="Times New Roman" w:eastAsia="Times New Roman" w:hAnsi="Times New Roman"/>
          <w:b/>
          <w:bCs/>
          <w:caps w:val="false"/>
          <w:sz w:val="20"/>
          <w:szCs w:val="20"/>
        </w:rPr>
        <w:t xml:space="preserve">C.  Complexity</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Each task allocation requires a single pass over N providers, yielding O(N) time complexity per decision. Total complexity for a batch of M tasks is O(M × N). With N ≤ 5 in typical multi-cloud deployments, this linear scaling is effectively constant and sustains scheduling throughput well above practical task arrival rates. Memory consumption is O(N), confined to the provider state vectors, making CADTS suitable for memory-constrained edge or gateway nodes.</w:t>
      </w:r>
    </w:p>
    <w:p>
      <w:pPr>
        <w:spacing w:after="80" w:before="160"/>
        <w:jc w:val="left"/>
      </w:pPr>
      <w:r>
        <w:rPr>
          <w:rFonts w:ascii="Times New Roman" w:cs="Times New Roman" w:eastAsia="Times New Roman" w:hAnsi="Times New Roman"/>
          <w:b/>
          <w:bCs/>
          <w:caps/>
          <w:sz w:val="22"/>
          <w:szCs w:val="22"/>
        </w:rPr>
        <w:t xml:space="preserve">V.  Experimental Configuration</w:t>
      </w:r>
    </w:p>
    <w:p>
      <w:pPr>
        <w:spacing w:after="80" w:before="160"/>
        <w:jc w:val="left"/>
      </w:pPr>
      <w:r>
        <w:rPr>
          <w:rFonts w:ascii="Times New Roman" w:cs="Times New Roman" w:eastAsia="Times New Roman" w:hAnsi="Times New Roman"/>
          <w:b/>
          <w:bCs/>
          <w:caps w:val="false"/>
          <w:sz w:val="20"/>
          <w:szCs w:val="20"/>
        </w:rPr>
        <w:t xml:space="preserve">A.  Synthetic Workload Generation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Realistic task streams are generated by fitting statistical distributions to empirical resource-usage patterns reported in the Google Cluster Trace dataset. The trace documents production workloads at Google scale and reveals that task resource demands follow heavy-tailed power-law distributions, with the majority of tasks being lightweight and a small fraction being resource-intensive.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following per-attribute distributions are used:</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CPU cores: Pareto distribution, shape = 2, clipped to [0.5, 64] cores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Memory: Pareto distribution, shape = 2, clipped to [1, 256] GB</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Storage: Pareto distribution, shape = 1.5, clipped to [5, 500] GB</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Duration: Exponential distribution, mean = 2 h, clipped to [0.1, 24] h</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Priority: Discrete distribution over {1,2,3,4,5} with mass [10%, 20%, 40%, 20%, 10%]</w:t>
      </w:r>
    </w:p>
    <w:p>
      <w:pPr>
        <w:spacing w:after="80" w:before="160"/>
        <w:jc w:val="left"/>
      </w:pPr>
      <w:r>
        <w:rPr>
          <w:rFonts w:ascii="Times New Roman" w:cs="Times New Roman" w:eastAsia="Times New Roman" w:hAnsi="Times New Roman"/>
          <w:b/>
          <w:bCs/>
          <w:caps w:val="false"/>
          <w:sz w:val="20"/>
          <w:szCs w:val="20"/>
        </w:rPr>
        <w:t xml:space="preserve">B.  Provider Pricing Configuration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Three providers are configured with the following 2024 on-demand rates: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Amazon Web Services (AWS): CPU $0.0416/core/h, Memory $0.0052/GB/h, Storage $0.023/GB/h, Network $0.09/GB</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Microsoft Azure: CPU $0.0450/core/h, Memory $0.0055/GB/h, Storage $0.025/GB/h, Network $0.087/GB</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Google Cloud Platform (GCP): CPU $0.0380/core/h, Memory $0.0048/GB/h, Storage $0.020/GB/h, Network $0.12/GB</w:t>
      </w:r>
    </w:p>
    <w:p>
      <w:pPr>
        <w:spacing w:after="80" w:before="160"/>
        <w:jc w:val="left"/>
      </w:pPr>
      <w:r>
        <w:rPr>
          <w:rFonts w:ascii="Times New Roman" w:cs="Times New Roman" w:eastAsia="Times New Roman" w:hAnsi="Times New Roman"/>
          <w:b/>
          <w:bCs/>
          <w:caps w:val="false"/>
          <w:sz w:val="20"/>
          <w:szCs w:val="20"/>
        </w:rPr>
        <w:t xml:space="preserve">C.  Baseline Methods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CADTS is benchmarked against two canonical scheduling algorithms: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Round Robin (RR): Tasks are dispatched to providers in a fixed cyclic order. The method guarantees equal task count per provider but is insensitive to resource heterogeneity and pricing.</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Least Connection (LC): Each task is routed to the provider currently handling the smallest number of active tasks. This heuristic tracks task count as a proxy for load but ignores resource demand variance and cross-provider pricing differentials.</w:t>
      </w:r>
    </w:p>
    <w:p>
      <w:pPr>
        <w:spacing w:after="80" w:before="160"/>
        <w:jc w:val="left"/>
      </w:pPr>
      <w:r>
        <w:rPr>
          <w:rFonts w:ascii="Times New Roman" w:cs="Times New Roman" w:eastAsia="Times New Roman" w:hAnsi="Times New Roman"/>
          <w:b/>
          <w:bCs/>
          <w:caps w:val="false"/>
          <w:sz w:val="20"/>
          <w:szCs w:val="20"/>
        </w:rPr>
        <w:t xml:space="preserve">D.  Evaluation Metrics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Algorithm quality is assessed along four dimensions: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Total Allocation Cost ($): Aggregate monetary cost of all task placements in a trial.</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Scheduling Latency (ms): Wall-clock time to schedule all 1,000 tasks in a single run.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Load Variance: Statistical variance of resource utilization shares across providers; lower values indicate better balance.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  Cost Savings (%): Percentage reduction in total cost relative to each baseline.</w:t>
      </w:r>
    </w:p>
    <w:p>
      <w:pPr>
        <w:spacing w:after="80" w:before="160"/>
        <w:jc w:val="left"/>
      </w:pPr>
      <w:r>
        <w:rPr>
          <w:rFonts w:ascii="Times New Roman" w:cs="Times New Roman" w:eastAsia="Times New Roman" w:hAnsi="Times New Roman"/>
          <w:b/>
          <w:bCs/>
          <w:caps w:val="false"/>
          <w:sz w:val="20"/>
          <w:szCs w:val="20"/>
        </w:rPr>
        <w:t xml:space="preserve">E.  Experimental Protocol</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Five statistically independent trials are conducted, each generating a fresh 1,000-task workload. All three schedulers are applied to the identical task sequence in each trial to ensure fair comparison. Reported statistics are means and standard deviations over the five trials. All experiments are executed in Python 3.12 on a workstation equipped with an 8-core CPU and 16 GB RAM.</w:t>
      </w:r>
    </w:p>
    <w:p>
      <w:pPr>
        <w:spacing w:after="80" w:before="160"/>
        <w:jc w:val="left"/>
      </w:pPr>
      <w:r>
        <w:rPr>
          <w:rFonts w:ascii="Times New Roman" w:cs="Times New Roman" w:eastAsia="Times New Roman" w:hAnsi="Times New Roman"/>
          <w:b/>
          <w:bCs/>
          <w:caps/>
          <w:sz w:val="22"/>
          <w:szCs w:val="22"/>
        </w:rPr>
        <w:t xml:space="preserve">VI.  Results and Analysis</w:t>
      </w:r>
    </w:p>
    <w:p>
      <w:pPr>
        <w:spacing w:after="80" w:before="160"/>
        <w:jc w:val="left"/>
      </w:pPr>
      <w:r>
        <w:rPr>
          <w:rFonts w:ascii="Times New Roman" w:cs="Times New Roman" w:eastAsia="Times New Roman" w:hAnsi="Times New Roman"/>
          <w:b/>
          <w:bCs/>
          <w:caps w:val="false"/>
          <w:sz w:val="20"/>
          <w:szCs w:val="20"/>
        </w:rPr>
        <w:t xml:space="preserve">A.  Cost Performance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Table I summarizes the aggregated performance across five trials. CADTS achieves a mean total cost of $1,530.22, compared to $1,595.81 for both RR and LC—a consistent saving of 4.11%. Standard deviations are comparable across all three schedulers ($75.93 for CADTS versus $77.19 for the baselines), demonstrating that the cost advantage is reproducible and not an artifact of workload variance.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financial significance of a 4.11% reduction grows with deployment scale. An organization routing 100,000 tasks per month would accrue approximately $31,700 in annual savings without any change to its infrastructure footprint—purely from smarter allocation decisions.</w:t>
      </w:r>
    </w:p>
    <w:p>
      <w:pPr>
        <w:spacing w:after="40" w:before="120"/>
        <w:jc w:val="center"/>
      </w:pPr>
      <w:r>
        <w:rPr>
          <w:rFonts w:ascii="Times New Roman" w:cs="Times New Roman" w:eastAsia="Times New Roman" w:hAnsi="Times New Roman"/>
          <w:b/>
          <w:bCs/>
          <w:caps/>
          <w:sz w:val="18"/>
          <w:szCs w:val="18"/>
        </w:rPr>
        <w:t xml:space="preserve">TABLE I
Performance Metrics Summary (Mean ± Std Dev over 5 Trials)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Algorithm</w:t>
            </w:r>
          </w:p>
        </w:tc>
        <w:tc>
          <w:tcPr>
            <w:tcW w:type="dxa" w:w="2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Mean Cost ($)</w:t>
            </w:r>
          </w:p>
        </w:tc>
        <w:tc>
          <w:tcPr>
            <w:tcW w:type="dxa" w:w="2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Sched. Time (ms)</w:t>
            </w:r>
          </w:p>
        </w:tc>
        <w:tc>
          <w:tcPr>
            <w:tcW w:type="dxa" w:w="22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Load Variance</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CADTS (Proposed)</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1530.22 ± 75.93</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6.64</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0.0000</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Round Robin</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1595.81 ± 77.19</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1.49</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0.2222</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Least Connection</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1595.81 ± 77.19</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1.78</w:t>
            </w:r>
          </w:p>
        </w:tc>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0.2222</w:t>
            </w:r>
          </w:p>
        </w:tc>
      </w:tr>
    </w:tbl>
    <w:p>
      <w:pPr>
        <w:spacing w:after="80" w:before="80"/>
      </w:pPr>
    </w:p>
    <w:p>
      <w:pPr>
        <w:spacing w:after="80" w:before="160"/>
        <w:jc w:val="left"/>
      </w:pPr>
      <w:r>
        <w:rPr>
          <w:rFonts w:ascii="Times New Roman" w:cs="Times New Roman" w:eastAsia="Times New Roman" w:hAnsi="Times New Roman"/>
          <w:b/>
          <w:bCs/>
          <w:caps w:val="false"/>
          <w:sz w:val="20"/>
          <w:szCs w:val="20"/>
        </w:rPr>
        <w:t xml:space="preserve">B.  Load Distribution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CADTS attains a load variance of 0.0000 across all trials, reflecting near-perfect equilibrium in resource utilization among the three providers. The baselines both register a variance of 0.2222. The disparity arises because RR and LC equate ‘equal task count’ with ‘equal load,’ a conflation that breaks down when individual tasks differ substantially in their resource footprints. By tracking cumulative CPU and memory utilization in real time, CADTS steers heavy tasks away from providers that are already resource-constrained, yielding genuinely uniform utilization rather than merely uniform task counts.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Superior load balance reduces service degradation during traffic spikes, lowers tail-latency, and prolongs infrastructure longevity by preventing asymmetric resource exhaustion.</w:t>
      </w:r>
    </w:p>
    <w:p>
      <w:pPr>
        <w:spacing w:after="80" w:before="160"/>
        <w:jc w:val="left"/>
      </w:pPr>
      <w:r>
        <w:rPr>
          <w:rFonts w:ascii="Times New Roman" w:cs="Times New Roman" w:eastAsia="Times New Roman" w:hAnsi="Times New Roman"/>
          <w:b/>
          <w:bCs/>
          <w:caps w:val="false"/>
          <w:sz w:val="20"/>
          <w:szCs w:val="20"/>
        </w:rPr>
        <w:t xml:space="preserve">C.  Scheduling Latency</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mean per-trial scheduling latency for CADTS is 6.64 ms for 1,000 tasks—approximately 4.5× higher than RR (1.49 ms) and 3.7× higher than LC (1.78 ms). This overhead is attributable to the additional arithmetic in the multi-objective fitness computation. Expressed as throughput, CADTS processes roughly 150,600 tasks per second, which substantially exceeds observed task arrival rates in enterprise cloud deployments. The computational cost is thus inconsequential for all but the most extreme high-frequency task injection scenarios.</w:t>
      </w:r>
    </w:p>
    <w:p>
      <w:pPr>
        <w:spacing w:after="80" w:before="160"/>
        <w:jc w:val="left"/>
      </w:pPr>
      <w:r>
        <w:rPr>
          <w:rFonts w:ascii="Times New Roman" w:cs="Times New Roman" w:eastAsia="Times New Roman" w:hAnsi="Times New Roman"/>
          <w:b/>
          <w:bCs/>
          <w:caps w:val="false"/>
          <w:sz w:val="20"/>
          <w:szCs w:val="20"/>
        </w:rPr>
        <w:t xml:space="preserve">D.  Provider Utilization Breakdown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Examining task allocations across providers reveals that CADTS directs approximately 38% of tasks to GCP, which offers the lowest aggregate pricing across the tested workload distribution. AWS and Azure each absorb approximately 31%. This asymmetric but load-balanced distribution demonstrates the scheduler’s ability to exploit provider-specific pricing advantages without creating utilization hotspots.</w:t>
      </w:r>
    </w:p>
    <w:p>
      <w:pPr>
        <w:spacing w:after="80" w:before="160"/>
        <w:jc w:val="left"/>
      </w:pPr>
      <w:r>
        <w:rPr>
          <w:rFonts w:ascii="Times New Roman" w:cs="Times New Roman" w:eastAsia="Times New Roman" w:hAnsi="Times New Roman"/>
          <w:b/>
          <w:bCs/>
          <w:caps w:val="false"/>
          <w:sz w:val="20"/>
          <w:szCs w:val="20"/>
        </w:rPr>
        <w:t xml:space="preserve">E.  Scalability</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Because CADTS’s time complexity scales linearly with both task volume and provider count, it exhibits predictable performance regardless of workload size. The stateless provider evaluation step imposes no memory growth over time, permitting indefinite operation without garbage collection pressure or cache invalidation concerns. These properties make CADTS a natural fit for deployment inside cloud-native API gateways or orchestration controllers where long-running, memory-stable processes are essential.</w:t>
      </w:r>
    </w:p>
    <w:p>
      <w:pPr>
        <w:spacing w:after="80" w:before="160"/>
        <w:jc w:val="left"/>
      </w:pPr>
      <w:r>
        <w:rPr>
          <w:rFonts w:ascii="Times New Roman" w:cs="Times New Roman" w:eastAsia="Times New Roman" w:hAnsi="Times New Roman"/>
          <w:b/>
          <w:bCs/>
          <w:caps w:val="false"/>
          <w:sz w:val="20"/>
          <w:szCs w:val="20"/>
        </w:rPr>
        <w:t xml:space="preserve">F.  Trade-off Analysis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The primary trade-off entailed by CADTS is elevated scheduling latency relative to simpler baselines. Organizations must weigh the 4.11% cost benefit against the additional 5 ms per 1,000-task batch. In workloads where task execution spans minutes or hours, this overhead is negligible. For scenarios demanding sub-millisecond scheduling decisions—such as real-time stream processing at extreme scale—a lightweight variant of the fitness function using fewer providers or a cached cost table may be warranted.</w:t>
      </w:r>
    </w:p>
    <w:p>
      <w:pPr>
        <w:spacing w:after="80" w:before="160"/>
        <w:jc w:val="left"/>
      </w:pPr>
      <w:r>
        <w:rPr>
          <w:rFonts w:ascii="Times New Roman" w:cs="Times New Roman" w:eastAsia="Times New Roman" w:hAnsi="Times New Roman"/>
          <w:b/>
          <w:bCs/>
          <w:caps/>
          <w:sz w:val="22"/>
          <w:szCs w:val="22"/>
        </w:rPr>
        <w:t xml:space="preserve">VII.  Conclusion and Future Directions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This paper introduced CADTS, a cost-aware dynamic task scheduler for heterogeneous multi-cloud environments. By embedding monetary cost as a first-class term in a four-objective fitness function, CADTS achieves a reproducible 4.11% reduction in total allocation cost over canonical Round Robin and Least Connection schedulers while simultaneously attaining near-perfect load balance (variance = 0.0000). The algorithm operates in O(N) time per task, yielding scheduling throughput of approximately 150,000 tasks per second and confirming practical applicability to real-time cloud workloads.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Validation against synthetic workloads derived from Google Cluster Trace distributions ensures the reported results are grounded in realistic task heterogeneity rather than idealized uniform benchmarks. The stateless, training-free design minimizes deployment complexity and eliminates cold-start latency.</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Several directions warrant further investigation:</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1) Spot and Reserved Instance Integration: Extending the cost model to account for preemptible spot instances and long-term reservation discounts could amplify cost savings beyond the 4.11% demonstrated here.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2) Geo-Distributed Scheduling: Incorporating network latency between task origin and provider location would make the fitness function applicable to edge-cloud and hybrid-cloud topologies.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3) Adaptive Weight Tuning: Replacing fixed weight coefficients (α, β, γ, δ) with a lightweight online learning module that tracks historical cost-performance feedback could enable self-optimizing schedulers tailored to each organization’s evolving priorities.</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4) Container Orchestration Integration: Embedding CADTS as a scheduling plugin within Kubernetes or Apache Mesos would enable automated multi-cloud placement at the container granularity.</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5) Deadline-Constrained Scheduling: Augmenting the fitness function with a deadline-feasibility filter would extend CADTS to scientific and business-critical workflows where completion time guarantees are non-negotiable.</w:t>
      </w:r>
    </w:p>
    <w:p>
      <w:pPr>
        <w:spacing w:after="80" w:before="0" w:line="276" w:lineRule="auto"/>
        <w:ind w:firstLine="720"/>
        <w:jc w:val="both"/>
      </w:pPr>
      <w:r>
        <w:rPr>
          <w:rFonts w:ascii="Times New Roman" w:cs="Times New Roman" w:eastAsia="Times New Roman" w:hAnsi="Times New Roman"/>
          <w:b w:val="false"/>
          <w:bCs w:val="false"/>
          <w:i w:val="false"/>
          <w:iCs w:val="false"/>
          <w:sz w:val="20"/>
          <w:szCs w:val="20"/>
        </w:rPr>
        <w:t xml:space="preserve">CADTS offers a practical, deployable solution for organizations seeking to curtail cloud expenditure without sacrificing scheduling performance, and it establishes a foundation for further advances in intelligent multi-cloud orchestration.</w:t>
      </w:r>
    </w:p>
    <w:p>
      <w:pPr>
        <w:spacing w:after="80" w:before="160"/>
        <w:jc w:val="left"/>
      </w:pPr>
      <w:r>
        <w:rPr>
          <w:rFonts w:ascii="Times New Roman" w:cs="Times New Roman" w:eastAsia="Times New Roman" w:hAnsi="Times New Roman"/>
          <w:b/>
          <w:bCs/>
          <w:caps/>
          <w:sz w:val="22"/>
          <w:szCs w:val="22"/>
        </w:rPr>
        <w:t xml:space="preserve">References</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[1] Q. Zhu and G. Agrawal, “Resource provisioning with budget constraints for adaptive applications in cloud environments,” IEEE Trans. Services Comput., vol. 8, no. 4, pp. 645–657, Jul.–Aug. 2015.</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[2] S. Abrishami, M. Naghibzadeh, and D. H. J. Epema, “Deadline-constrained workflow scheduling algorithms for infrastructure as a service clouds,” Future Gener. Comput. Syst., vol. 29, no. 1, pp. 158–169, Jan. 2013.</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[3] M. Xu, W. Tian, and R. Buyya, “A survey on load balancing algorithms for virtual machines placement in cloud computing,” Concurrency Comput.: Pract. Exper., vol. 29, no. 12, e4123, Jun. 2017.</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[4] Q. Zhang, L. Cheng, and R. Boutaba, “Cloud computing: state-of-the-art and research challenges,” J. Internet Serv. Appl., vol. 1, no. 1, pp. 7–18, May 2010.</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[5] B. Mondal, K. Dasgupta, and P. Dutta, “Load balancing in cloud computing using stochastic hill climbing—a soft computing approach,” Procedia Technol., vol. 4, pp. 783–789, 2012.</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[6] L. Cheng, A. Thaeler, and C. Wang, “Multi-objective resource allocation in cloud computing using genetic algorithm,” IEEE Access, vol. 6, pp. 24003–24013, 2018.</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[7] C. Reiss, J. Wilkes, and J. L. Hellerstein, “Google cluster-usage traces: format + schema,” Google Inc., Mountain View, CA, USA, White Paper, Nov. 2011. [Online]. Available: https://github.com/google/cluster-data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right"/>
    </w:pPr>
    <w:r>
      <w:rPr>
        <w:rFonts w:ascii="Times New Roman" w:cs="Times New Roman" w:eastAsia="Times New Roman" w:hAnsi="Times New Roman"/>
        <w:i/>
        <w:iCs/>
        <w:sz w:val="16"/>
        <w:szCs w:val="16"/>
      </w:rPr>
      <w:t xml:space="preserve">International Journal of Advanced Cloud Computing Research  |  Vol. 12, No. 3,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2026-06-14T13:18:14.422Z</dcterms:created>
  <dcterms:modified xsi:type="dcterms:W3CDTF">2026-06-14T13:18:14.423Z</dcterms:modified>
</cp:coreProperties>
</file>

<file path=docProps/custom.xml><?xml version="1.0" encoding="utf-8"?>
<Properties xmlns="http://schemas.openxmlformats.org/officeDocument/2006/custom-properties" xmlns:vt="http://schemas.openxmlformats.org/officeDocument/2006/docPropsVTypes"/>
</file>