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АГЕНТСТВО ПО РЫБОЛОВСТВУ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«Астраханский государственный технический университет»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рыбного хозяйства, биологии и природопользования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«Экологический туризм»</w:t>
      </w:r>
    </w:p>
    <w:p>
      <w:pPr>
        <w:spacing w:after="0" w:before="26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ИТОГОВАЯ КОНТРОЛЬНАЯ РАБОТА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«Маркетинговые стратегии в сфере туризма»</w:t>
      </w:r>
    </w:p>
    <w:p>
      <w:pPr>
        <w:spacing w:after="0"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«Анализ маркетинговой среды [название организации или объекта]»</w:t>
      </w:r>
    </w:p>
    <w:p>
      <w:pPr>
        <w:spacing w:after="0" w:before="24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подготовки 43.04.02 Туризм, направленность «Инновационные технологии экологического туризма»</w:t>
      </w:r>
    </w:p>
    <w:p>
      <w:pPr>
        <w:spacing w:before="140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обучающийся группы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 (Ф.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(должность, Ф. И. О.)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Оценка: ________</w:t>
      </w:r>
    </w:p>
    <w:p>
      <w:pPr>
        <w:spacing w:before="0" w:line="276"/>
        <w:ind w:left="538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Дата: __________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Астрахань 2026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Чтобы обновить содержание, щёлкните по нему правой кнопкой мыши и выберите «Обновить поле».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[Объект анализа: организация или объект, его продукт, клиенты, мощность и её единица, сезонность, каналы продаж. Стратегический вопрос из КТ-0: цель, горизонт, единица анализа, две альтернативы, главное ограничение. Какие данные собраны в КТ-1 и какими методами. Объём введения — до 1 страницы.]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Анализ внешней среды</w:t>
      </w:r>
    </w:p>
    <w:p>
      <w:pPr>
        <w:pStyle w:val="Heading2"/>
        <w:keepNext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1.1 STEP-анализ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[По каждой группе факторов — 2–4 фактора. У каждого фактора — источник с датой и вывод для объекта. Обязательно проверьте действующее регулирование: туристический налог, классификацию средств размещения, требования к рекламе и персональным данным; для природных объектов — правила посещения ООПТ и допустимую нагрузку.]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STEP-анализ внешней среды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1754"/>
        <w:gridCol w:w="2924"/>
      </w:tblGrid>
      <w:tr>
        <w:trPr>
          <w:tblHeader/>
        </w:trP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Группа факторов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Фактор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Источник и дата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Вывод для объекта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Социокультурные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Технологические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Экономические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Политико-правовые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pStyle w:val="Heading2"/>
        <w:keepNext/>
        <w:spacing w:after="24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1.2 Микросреда: клиенты, конкуренты, посредники, поставщики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[Кто клиенты и какие у них ситуации выбора (по интервью и отзывам КТ-1); кто конкуренты с точки зрения клиента, включая заменители; посредники и их условия; поставщики.]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Анализ внутренней среды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[Ресурсы и способности объекта: люди, продукт, технологии, репутация, финансы. Что из этого трудно скопировать и почему. Каждое утверждение — с подтверждением: документ, наблюдение, данные.]</w:t>
      </w: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SWOT-анализ с доказательствами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[Каждая клетка — утверждение, свидетельство и сила свидетельства: факт (документ, условие договора, измерение), оценка (вывод по ограниченным наблюдениям) или допущение. Пункт без свидетельства переносится в список гипотез.]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SWOT-анализ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4"/>
        <w:gridCol w:w="2924"/>
        <w:gridCol w:w="2924"/>
        <w:gridCol w:w="1754"/>
      </w:tblGrid>
      <w:tr>
        <w:trPr>
          <w:tblHeader/>
        </w:trPr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Клетка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Утверждение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Свидетельство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Сила: факт / оценка / допущение</w:t>
            </w:r>
          </w:p>
        </w:tc>
      </w:tr>
      <w:tr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Сильная сторона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Слабая сторона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Возможность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Угроза</w:t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9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Гипотезы, требующие проверки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0"/>
        <w:gridCol w:w="4010"/>
        <w:gridCol w:w="1336"/>
      </w:tblGrid>
      <w:tr>
        <w:trPr>
          <w:tblHeader/>
        </w:trPr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Гипотеза</w:t>
            </w:r>
          </w:p>
        </w:tc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Метод проверки</w:t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pStyle w:val="Heading1"/>
        <w:keepNext/>
        <w:pageBreakBefore/>
        <w:spacing w:after="240" w:before="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Стратегические связки TOWS и GAP-анализ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[Две связки: «сильная сторона + возможность» и «слабость + угроза» — какие стратегические варианты из них следуют. GAP: желаемое состояние через год, текущее состояние, разрыв в числах, вероятные причины.]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GAP-анализ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5"/>
        <w:gridCol w:w="1247"/>
        <w:gridCol w:w="1247"/>
        <w:gridCol w:w="1247"/>
        <w:gridCol w:w="3120"/>
      </w:tblGrid>
      <w:tr>
        <w:trPr>
          <w:tblHeader/>
        </w:trP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Сейчас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 через год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Разрыв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Вероятные причины</w:t>
            </w:r>
          </w:p>
        </w:tc>
      </w:tr>
      <w:tr>
        <w:tc>
          <w:tcPr>
            <w:tcW w:type="dxa" w:w="24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 w:line="360"/>
      </w:pP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ЗАКЛЮЧЕНИЕ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[Главные выводы анализа среды; 2–3 стратегических варианта для дальнейшей работы (КТ-3 — КТ-5); ограничения анализа: чего данные не позволяют утверждать.]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[Оформление по ГОСТ Р 7.0.100-2018. Примеры — замените своими источниками:]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Налоговый кодекс Российской Федерации (часть вторая) : Федеральный закон от 05.08.2000 № 117-ФЗ : глава 33.1 «Туристический налог». – Текст : электронный // КонсультантПлюс : справочная правовая система. – URL: https://www.consultant.ru (дата обращения: ДД.ММ.ГГГГ).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Гончарова, И. В. Маркетинг туризма : учебное пособие / И. В. Гончарова, Т. П. Розанова, М. А. Морозов, Н. С. Морозова. – Москва : Федеральное агентство по туризму, 2014. – 224 с. – Текст : непосредственный.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Скобкин, С. С. Маркетинг и продажи в гостиничном бизнесе : учебник для вузов / С. С. Скобкин. – 3-е изд., испр. и доп. – Москва : Юрайт, 2025. – 212 с. – (Высшее образование). – URL: https://urait.ru/bcode/563339 (дата обращения: ДД.ММ.ГГГГ). – Текст : электронный.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Туризм : официальная статистика // Федеральная служба государственной статистики : официальный сайт. – URL: https://rosstat.gov.ru/statistics/turizm (дата обращения: ДД.ММ.ГГГГ). – Текст : электронный.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color w:val="6B6B6B"/>
          <w:sz w:val="28"/>
          <w:szCs w:val="28"/>
        </w:rPr>
        <w:t xml:space="preserve">[Обязательное. Материалы полевого исследования: обезличенные выдержки интервью, кодовая книга отзывов, таблица тайного покупателя (листы рабочей тетради проекта).]</w:t>
      </w:r>
    </w:p>
    <w:sectPr>
      <w:footerReference w:type="default" r:id="rId7"/>
      <w:footerReference w:type="first" r:id="rId8"/>
      <w:pgSz w:w="11907" w:h="16840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40" w:before="240" w:line="36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Итоговая контрольная работа</dc:title>
  <dc:creator>Обучающийся</dc:creator>
  <dc:description>Маркетинговые стратегии в сфере туризма</dc:description>
  <cp:lastModifiedBy>Un-named</cp:lastModifiedBy>
  <cp:revision>1</cp:revision>
  <dcterms:created xsi:type="dcterms:W3CDTF">2026-10-17T07:01:50.042Z</dcterms:created>
  <dcterms:modified xsi:type="dcterms:W3CDTF">2026-10-17T07:01:50.043Z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