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ФЕДЕРАЛЬНОЕ АГЕНТСТВО ПО РЫБОЛОВСТВУ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Федеральное государственное бюджетное образовательное учреждение высшего образования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«Астраханский государственный технический университет»</w:t>
      </w:r>
    </w:p>
    <w:p>
      <w:pPr>
        <w:spacing w:after="0" w:before="12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Институт рыбного хозяйства, биологии и природопользования</w:t>
      </w:r>
    </w:p>
    <w:p>
      <w:pPr>
        <w:spacing w:after="0" w:before="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Кафедра «Экологический туризм»</w:t>
      </w:r>
    </w:p>
    <w:p>
      <w:pPr>
        <w:spacing w:after="0" w:before="2600" w:line="276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МАРКЕТИНГОВАЯ СТРАТЕГИЯ</w:t>
      </w:r>
    </w:p>
    <w:p>
      <w:pPr>
        <w:spacing w:after="0" w:before="12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дисциплине «Маркетинговые стратегии в сфере туризма»</w:t>
      </w:r>
    </w:p>
    <w:p>
      <w:pPr>
        <w:spacing w:after="0" w:before="120" w:line="276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на тему: «[Название организации или объекта]: маркетинговая стратегия на [период]»</w:t>
      </w:r>
    </w:p>
    <w:p>
      <w:pPr>
        <w:spacing w:after="0" w:before="240" w:line="276"/>
        <w:jc w:val="center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Направление подготовки 43.04.02 Туризм, направленность «Инновационные технологии экологического туризма»</w:t>
      </w:r>
    </w:p>
    <w:p>
      <w:pPr>
        <w:spacing w:before="1400" w:line="276"/>
        <w:ind w:left="5387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Выполнил(а):</w:t>
      </w:r>
    </w:p>
    <w:p>
      <w:pPr>
        <w:spacing w:before="0" w:line="276"/>
        <w:ind w:left="5387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обучающийся группы ________</w:t>
      </w:r>
    </w:p>
    <w:p>
      <w:pPr>
        <w:spacing w:before="0" w:line="276"/>
        <w:ind w:left="5387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______________ (Ф. И. О.)</w:t>
      </w:r>
    </w:p>
    <w:p>
      <w:pPr>
        <w:spacing w:before="0" w:line="276"/>
        <w:ind w:left="5387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before="0" w:line="276"/>
        <w:ind w:left="5387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Проверил(а):</w:t>
      </w:r>
    </w:p>
    <w:p>
      <w:pPr>
        <w:spacing w:before="0" w:line="276"/>
        <w:ind w:left="5387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______________</w:t>
      </w:r>
    </w:p>
    <w:p>
      <w:pPr>
        <w:spacing w:before="0" w:line="276"/>
        <w:ind w:left="5387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(должность, Ф. И. О.)</w:t>
      </w:r>
    </w:p>
    <w:p>
      <w:pPr>
        <w:spacing w:before="0" w:line="276"/>
        <w:ind w:left="5387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/>
      </w:r>
    </w:p>
    <w:p>
      <w:pPr>
        <w:spacing w:before="0" w:line="276"/>
        <w:ind w:left="5387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Оценка: ________</w:t>
      </w:r>
    </w:p>
    <w:p>
      <w:pPr>
        <w:spacing w:before="0" w:line="276"/>
        <w:ind w:left="5387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Дата: __________</w:t>
      </w:r>
    </w:p>
    <w:p>
      <w:pPr>
        <w:spacing w:before="120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Астрахань 2026</w:t>
      </w:r>
    </w:p>
    <w:p>
      <w:pPr>
        <w:pStyle w:val="Heading1"/>
        <w:keepNext/>
        <w:pageBreakBefore/>
        <w:spacing w:after="24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i/>
          <w:iCs/>
          <w:color w:val="6B6B6B"/>
          <w:sz w:val="28"/>
          <w:szCs w:val="28"/>
        </w:rPr>
        <w:t xml:space="preserve">Чтобы обновить содержание, щёлкните по нему правой кнопкой мыши и выберите «Обновить поле».</w:t>
      </w:r>
    </w:p>
    <w:p>
      <w:pPr>
        <w:pStyle w:val="Heading1"/>
        <w:keepNext/>
        <w:pageBreakBefore/>
        <w:spacing w:after="24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ВВЕДЕНИЕ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color w:val="6B6B6B"/>
          <w:sz w:val="28"/>
          <w:szCs w:val="28"/>
        </w:rPr>
        <w:t xml:space="preserve">[Объект, стратегический вопрос, траектория (своя организация или открытый кейс), какие данные собраны. До 1 страницы.]</w:t>
      </w:r>
    </w:p>
    <w:p>
      <w:pPr>
        <w:pStyle w:val="Heading1"/>
        <w:keepNext/>
        <w:pageBreakBefore/>
        <w:spacing w:after="240" w:before="0" w:line="360"/>
        <w:ind w:firstLine="709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 Проблема и критерий успеха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color w:val="6B6B6B"/>
          <w:sz w:val="28"/>
          <w:szCs w:val="28"/>
        </w:rPr>
        <w:t xml:space="preserve">[Какое решение принимается? Цель, горизонт, ограничения, единица анализа; симптом, который сам по себе не объясняет причину.]</w:t>
      </w:r>
    </w:p>
    <w:p>
      <w:pPr>
        <w:pStyle w:val="Heading1"/>
        <w:keepNext/>
        <w:pageBreakBefore/>
        <w:spacing w:after="240" w:before="0" w:line="360"/>
        <w:ind w:firstLine="709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 Целевой сегмент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color w:val="6B6B6B"/>
          <w:sz w:val="28"/>
          <w:szCs w:val="28"/>
        </w:rPr>
        <w:t xml:space="preserve">[Какая потребность объединяет клиентов? Какие свидетельства поддерживают выбор (КТ-1)?]</w:t>
      </w:r>
    </w:p>
    <w:p>
      <w:pPr>
        <w:pStyle w:val="Heading1"/>
        <w:keepNext/>
        <w:pageBreakBefore/>
        <w:spacing w:after="240" w:before="0" w:line="360"/>
        <w:ind w:firstLine="709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3 Предложение и позиционирование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color w:val="6B6B6B"/>
          <w:sz w:val="28"/>
          <w:szCs w:val="28"/>
        </w:rPr>
        <w:t xml:space="preserve">[Что обещаем клиенту относительно альтернатив и за счёт какой способности объекта (КТ-3)? Для экологического обещания — как оно подтверждается.]</w:t>
      </w:r>
    </w:p>
    <w:p>
      <w:pPr>
        <w:pStyle w:val="Heading1"/>
        <w:keepNext/>
        <w:pageBreakBefore/>
        <w:spacing w:after="240" w:before="0" w:line="360"/>
        <w:ind w:firstLine="709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4 Экономика стратегии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color w:val="6B6B6B"/>
          <w:sz w:val="28"/>
          <w:szCs w:val="28"/>
        </w:rPr>
        <w:t xml:space="preserve">[Альтернативы, цены, отмены, затраты и вытеснение; ссылка на таблицу-модель в приложении В (КТ-4).]</w:t>
      </w:r>
    </w:p>
    <w:p>
      <w:pPr>
        <w:pStyle w:val="Heading1"/>
        <w:keepNext/>
        <w:pageBreakBefore/>
        <w:spacing w:after="240" w:before="0" w:line="360"/>
        <w:ind w:firstLine="709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5 Неопределённость и альтернатива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color w:val="6B6B6B"/>
          <w:sz w:val="28"/>
          <w:szCs w:val="28"/>
        </w:rPr>
        <w:t xml:space="preserve">[Самое уязвимое допущение; порог, после которого выбор меняется; сильнейшая альтернатива и почему не она.]</w:t>
      </w:r>
    </w:p>
    <w:p>
      <w:pPr>
        <w:pStyle w:val="Heading1"/>
        <w:keepNext/>
        <w:pageBreakBefore/>
        <w:spacing w:after="240" w:before="0" w:line="360"/>
        <w:ind w:firstLine="709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6 Программа продвижения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color w:val="6B6B6B"/>
          <w:sz w:val="28"/>
          <w:szCs w:val="28"/>
        </w:rPr>
        <w:t xml:space="preserve">[Сегмент и сообщение; каналы с задачей, бюджетом и показателем результата; правовые требования (КТ-5).]</w:t>
      </w:r>
    </w:p>
    <w:p>
      <w:pPr>
        <w:pStyle w:val="Heading1"/>
        <w:keepNext/>
        <w:pageBreakBefore/>
        <w:spacing w:after="240" w:before="0" w:line="360"/>
        <w:ind w:firstLine="709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7 Проверка эффекта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color w:val="6B6B6B"/>
          <w:sz w:val="28"/>
          <w:szCs w:val="28"/>
        </w:rPr>
        <w:t xml:space="preserve">[Сравнение и контроль, показатель, период, правило решения, записанное заранее.]</w:t>
      </w:r>
    </w:p>
    <w:p>
      <w:pPr>
        <w:pStyle w:val="Heading1"/>
        <w:keepNext/>
        <w:pageBreakBefore/>
        <w:spacing w:after="240" w:before="0" w:line="360"/>
        <w:ind w:firstLine="709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8 Пересмотр решения и пределы вывода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color w:val="6B6B6B"/>
          <w:sz w:val="28"/>
          <w:szCs w:val="28"/>
        </w:rPr>
        <w:t xml:space="preserve">[Условия, при которых решение будет пересмотрено; что эти данные не позволяют утверждать.]</w:t>
      </w:r>
    </w:p>
    <w:p>
      <w:pPr>
        <w:pStyle w:val="Heading1"/>
        <w:keepNext/>
        <w:pageBreakBefore/>
        <w:spacing w:after="24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ЗАКЛЮЧЕНИЕ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color w:val="6B6B6B"/>
          <w:sz w:val="28"/>
          <w:szCs w:val="28"/>
        </w:rPr>
        <w:t xml:space="preserve">[Решение в одном абзаце: что делаем, для кого, почему, при каком условии пересмотрим.]</w:t>
      </w:r>
    </w:p>
    <w:p>
      <w:pPr>
        <w:pStyle w:val="Heading1"/>
        <w:keepNext/>
        <w:pageBreakBefore/>
        <w:spacing w:after="24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СПИСОК ИСПОЛЬЗОВАННЫХ ИСТОЧНИКОВ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color w:val="6B6B6B"/>
          <w:sz w:val="28"/>
          <w:szCs w:val="28"/>
        </w:rPr>
        <w:t xml:space="preserve">[Оформление по ГОСТ Р 7.0.100-2018. Примеры:]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Налоговый кодекс Российской Федерации (часть вторая) : Федеральный закон от 05.08.2000 № 117-ФЗ : глава 33.1 «Туристический налог». – Текст : электронный // КонсультантПлюс : справочная правовая система. – URL: https://www.consultant.ru (дата обращения: ДД.ММ.ГГГГ).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Гончарова, И. В. Маркетинг туризма : учебное пособие / И. В. Гончарова, Т. П. Розанова, М. А. Морозов, Н. С. Морозова. – Москва : Федеральное агентство по туризму, 2014. – 224 с. – Текст : непосредственный.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Скобкин, С. С. Маркетинг и продажи в гостиничном бизнесе : учебник для вузов / С. С. Скобкин. – 3-е изд., испр. и доп. – Москва : Юрайт, 2025. – 212 с. – (Высшее образование). – URL: https://urait.ru/bcode/563339 (дата обращения: ДД.ММ.ГГГГ). – Текст : электронный.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Туризм : официальная статистика // Федеральная служба государственной статистики : официальный сайт. – URL: https://rosstat.gov.ru/statistics/turizm (дата обращения: ДД.ММ.ГГГГ). – Текст : электронный.</w:t>
      </w:r>
    </w:p>
    <w:p>
      <w:pPr>
        <w:pStyle w:val="Heading1"/>
        <w:keepNext/>
        <w:pageBreakBefore/>
        <w:spacing w:after="24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ПРИЛОЖЕНИЕ А. ЖУРНАЛ ИСПОЛЬЗОВАНИЯ ИИ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color w:val="6B6B6B"/>
          <w:sz w:val="28"/>
          <w:szCs w:val="28"/>
        </w:rPr>
        <w:t xml:space="preserve">[Одна строка — одно обращение к ИИ. Если ИИ не использовался, оставьте одну строку: «ИИ не использовался». Без приложений А и Б работа не допускается к защите.]</w:t>
      </w:r>
    </w:p>
    <w:p>
      <w:pPr>
        <w:keepNext/>
        <w:spacing w:after="0"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 – Журнал использования ИИ</w:t>
      </w:r>
    </w:p>
    <w:tbl>
      <w:tblPr>
        <w:tblW w:type="dxa" w:w="935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59"/>
        <w:gridCol w:w="1559"/>
        <w:gridCol w:w="1559"/>
        <w:gridCol w:w="1559"/>
        <w:gridCol w:w="1559"/>
        <w:gridCol w:w="1561"/>
      </w:tblGrid>
      <w:tr>
        <w:trPr>
          <w:tblHeader/>
        </w:trPr>
        <w:tc>
          <w:tcPr>
            <w:tcW w:type="dxa" w:w="15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Дата</w:t>
            </w:r>
          </w:p>
        </w:tc>
        <w:tc>
          <w:tcPr>
            <w:tcW w:type="dxa" w:w="15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Сервис</w:t>
            </w:r>
          </w:p>
        </w:tc>
        <w:tc>
          <w:tcPr>
            <w:tcW w:type="dxa" w:w="15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Задача</w:t>
            </w:r>
          </w:p>
        </w:tc>
        <w:tc>
          <w:tcPr>
            <w:tcW w:type="dxa" w:w="15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Что попросил</w:t>
            </w:r>
          </w:p>
        </w:tc>
        <w:tc>
          <w:tcPr>
            <w:tcW w:type="dxa" w:w="15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Что взял</w:t>
            </w:r>
          </w:p>
        </w:tc>
        <w:tc>
          <w:tcPr>
            <w:tcW w:type="dxa" w:w="1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Что отверг и почему</w:t>
            </w:r>
          </w:p>
        </w:tc>
      </w:tr>
      <w:tr>
        <w:tc>
          <w:tcPr>
            <w:tcW w:type="dxa" w:w="15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5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5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5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5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15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5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5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5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5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56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</w:tbl>
    <w:p>
      <w:pPr>
        <w:spacing w:after="120" w:line="360"/>
      </w:pPr>
    </w:p>
    <w:p>
      <w:pPr>
        <w:pStyle w:val="Heading1"/>
        <w:keepNext/>
        <w:pageBreakBefore/>
        <w:spacing w:after="24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ПРИЛОЖЕНИЕ Б. ТАБЛИЦА УТВЕРЖДЕНИЙ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color w:val="6B6B6B"/>
          <w:sz w:val="28"/>
          <w:szCs w:val="28"/>
        </w:rPr>
        <w:t xml:space="preserve">[Каждая цифра и каждый ключевой факт записки. Статус: проверено, расчёт, оценка или допущение.]</w:t>
      </w:r>
    </w:p>
    <w:p>
      <w:pPr>
        <w:keepNext/>
        <w:spacing w:after="0" w:before="120" w:line="36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 – Таблица утверждений</w:t>
      </w:r>
    </w:p>
    <w:tbl>
      <w:tblPr>
        <w:tblW w:type="dxa" w:w="935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20"/>
        <w:gridCol w:w="2879"/>
        <w:gridCol w:w="2159"/>
        <w:gridCol w:w="2159"/>
        <w:gridCol w:w="1439"/>
      </w:tblGrid>
      <w:tr>
        <w:trPr>
          <w:tblHeader/>
        </w:trPr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№</w:t>
            </w:r>
          </w:p>
        </w:tc>
        <w:tc>
          <w:tcPr>
            <w:tcW w:type="dxa" w:w="28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Утверждение</w:t>
            </w:r>
          </w:p>
        </w:tc>
        <w:tc>
          <w:tcPr>
            <w:tcW w:type="dxa" w:w="21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Откуда</w:t>
            </w:r>
          </w:p>
        </w:tc>
        <w:tc>
          <w:tcPr>
            <w:tcW w:type="dxa" w:w="21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Страница или фрагмент</w:t>
            </w:r>
          </w:p>
        </w:tc>
        <w:tc>
          <w:tcPr>
            <w:tcW w:type="dxa" w:w="14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2F2F2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4"/>
                <w:szCs w:val="24"/>
              </w:rPr>
              <w:t xml:space="preserve">Статус</w:t>
            </w:r>
          </w:p>
        </w:tc>
      </w:tr>
      <w:tr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1</w:t>
            </w:r>
          </w:p>
        </w:tc>
        <w:tc>
          <w:tcPr>
            <w:tcW w:type="dxa" w:w="28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4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  <w:tr>
        <w:tc>
          <w:tcPr>
            <w:tcW w:type="dxa" w:w="72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4"/>
                <w:szCs w:val="24"/>
              </w:rPr>
              <w:t xml:space="preserve">2</w:t>
            </w:r>
          </w:p>
        </w:tc>
        <w:tc>
          <w:tcPr>
            <w:tcW w:type="dxa" w:w="287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21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  <w:tc>
          <w:tcPr>
            <w:tcW w:type="dxa" w:w="143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line="240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/>
            </w:r>
          </w:p>
        </w:tc>
      </w:tr>
    </w:tbl>
    <w:p>
      <w:pPr>
        <w:spacing w:after="120" w:line="360"/>
      </w:pPr>
    </w:p>
    <w:p>
      <w:pPr>
        <w:pStyle w:val="Heading1"/>
        <w:keepNext/>
        <w:pageBreakBefore/>
        <w:spacing w:after="24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ПРИЛОЖЕНИЕ В. МОДЕЛЬ АЛЬТЕРНАТИВ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i/>
          <w:iCs/>
          <w:color w:val="6B6B6B"/>
          <w:sz w:val="28"/>
          <w:szCs w:val="28"/>
        </w:rPr>
        <w:t xml:space="preserve">[Таблица-модель альтернатив с формулами (лист «КТ-4 Модель» рабочей тетради) и материалы КТ-1 — КТ-5.]</w:t>
      </w:r>
    </w:p>
    <w:sectPr>
      <w:footerReference w:type="default" r:id="rId6"/>
      <w:footerReference w:type="first" r:id="rId7"/>
      <w:pgSz w:w="11907" w:h="16840" w:orient="portrait"/>
      <w:pgMar w:top="1134" w:right="851" w:bottom="1134" w:left="1701" w:header="708" w:footer="567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40" w:line="360"/>
      <w:outlineLvl w:val="0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240" w:before="240" w:line="360"/>
      <w:outlineLvl w:val="1"/>
    </w:pPr>
    <w:rPr>
      <w:rFonts w:ascii="Times New Roman" w:cs="Times New Roman" w:eastAsia="Times New Roman" w:hAnsi="Times New Roman"/>
      <w:b/>
      <w:bCs/>
      <w:color w:val="000000"/>
      <w:sz w:val="28"/>
      <w:szCs w:val="28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Маркетинговая стратегия</dc:title>
  <dc:creator>Обучающийся</dc:creator>
  <dc:description>Маркетинговые стратегии в сфере туризма</dc:description>
  <cp:lastModifiedBy>Un-named</cp:lastModifiedBy>
  <cp:revision>1</cp:revision>
  <dcterms:created xsi:type="dcterms:W3CDTF">2026-10-23T00:35:04.972Z</dcterms:created>
  <dcterms:modified xsi:type="dcterms:W3CDTF">2026-10-23T00:35:04.972Z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