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Choosing the Right Cloud GPU for Fine-Tuning LLMs: A Developer’s Guide</w:t>
      </w:r>
    </w:p>
    <w:p>
      <w:pPr>
        <w:spacing w:after="200"/>
      </w:pPr>
      <w:r>
        <w:t>When choosing the best cloud GPU for fine-tuning LLMs, compare memory fit, software compatibility, and the cost of a completed training run. An NVIDIA RTX 4090 with 24 GB of VRAM can be a practical starting point for smaller LoRA or QLoRA experiments. Larger models, longer contexts, or full-parameter training may require more memory or multiple GPUs. Validate the configuration with a short pilot before committing to a longer run.</w:t>
      </w:r>
    </w:p>
    <w:p>
      <w:r>
        <w:t>Glows.ai is a good fit for developers who want to configure their own training workflow on on-demand GPUs with per-second billing. Public rates start at $0.49 per GPU-hour for the RTX 4090; A100 80GB and H100 80GB options are available at $1.20 and $2.96 per GPU-hour, respectively. Glows.ai provides GPU infrastructure and training environments, rather than a one-click fine-tuning service.</w:t>
      </w:r>
    </w:p>
    <w:p>
      <w:pPr>
        <w:pStyle w:val="Heading2"/>
      </w:pPr>
      <w:r>
        <w:t>1. Match the GPU to your fine-tuning method</w:t>
      </w:r>
    </w:p>
    <w:p>
      <w:r>
        <w:t>The memory needed to load a model is only part of the training requirement. Leave room for gradients, optimizer states, activations, and temporary buffers. Model size, precision, sequence length, micro-batch size, and the training method all affect peak memory use.</w:t>
      </w:r>
    </w:p>
    <w:p>
      <w:pPr>
        <w:ind w:left="245" w:hanging="245"/>
      </w:pPr>
      <w:r>
        <w:t xml:space="preserve">• </w:t>
      </w:r>
      <w:r>
        <w:rPr>
          <w:b/>
        </w:rPr>
        <w:t xml:space="preserve">Full fine-tuning: </w:t>
      </w:r>
      <w:r>
        <w:t>Updates all model parameters. Depending on the model and optimizer, the training state can require substantially more memory than the weights alone.</w:t>
      </w:r>
    </w:p>
    <w:p>
      <w:pPr>
        <w:ind w:left="245" w:hanging="245"/>
      </w:pPr>
      <w:r>
        <w:t xml:space="preserve">• </w:t>
      </w:r>
      <w:r>
        <w:rPr>
          <w:b/>
        </w:rPr>
        <w:t xml:space="preserve">LoRA: </w:t>
      </w:r>
      <w:r>
        <w:t>Trains a smaller set of adapter parameters while keeping the base model frozen. This reduces trainable state, but base-model weights and activations still occupy memory.</w:t>
      </w:r>
    </w:p>
    <w:p>
      <w:pPr>
        <w:ind w:left="245" w:hanging="245"/>
      </w:pPr>
      <w:r>
        <w:t xml:space="preserve">• </w:t>
      </w:r>
      <w:r>
        <w:rPr>
          <w:b/>
        </w:rPr>
        <w:t xml:space="preserve">QLoRA: </w:t>
      </w:r>
      <w:r>
        <w:t>Combines a quantized base model with trainable adapters to reduce memory requirements. The model, quantization libraries, and training framework must be compatible.</w:t>
      </w:r>
    </w:p>
    <w:tbl>
      <w:tblPr>
        <w:tblW w:type="auto" w:w="0"/>
        <w:jc w:val="center"/>
        <w:tblLayout w:type="fixed"/>
        <w:tblLook w:firstColumn="1" w:firstRow="1" w:lastColumn="0" w:lastRow="0" w:noHBand="0" w:noVBand="1" w:val="04A0"/>
      </w:tblPr>
      <w:tblGrid>
        <w:gridCol w:w="2189"/>
        <w:gridCol w:w="3168"/>
        <w:gridCol w:w="4245"/>
      </w:tblGrid>
      <w:tr>
        <w:trPr>
          <w:tblHeader/>
          <w:cantSplit/>
        </w:trPr>
        <w:tc>
          <w:tcPr>
            <w:tcW w:type="dxa" w:w="2189"/>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Configuration</w:t>
            </w:r>
          </w:p>
        </w:tc>
        <w:tc>
          <w:tcPr>
            <w:tcW w:type="dxa" w:w="3168"/>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When to evaluate it</w:t>
            </w:r>
          </w:p>
        </w:tc>
        <w:tc>
          <w:tcPr>
            <w:tcW w:type="dxa" w:w="4245"/>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What to verify</w:t>
            </w:r>
          </w:p>
        </w:tc>
      </w:tr>
      <w:tr>
        <w:trPr>
          <w:cantSplit/>
        </w:trPr>
        <w:tc>
          <w:tcPr>
            <w:tcW w:type="dxa" w:w="2189"/>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RTX 4090 · 24 GB VRAM</w:t>
            </w:r>
          </w:p>
        </w:tc>
        <w:tc>
          <w:tcPr>
            <w:tcW w:type="dxa" w:w="3168"/>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Smaller LoRA or QLoRA pilots</w:t>
            </w:r>
          </w:p>
        </w:tc>
        <w:tc>
          <w:tcPr>
            <w:tcW w:type="dxa" w:w="4245"/>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Peak memory at your intended sequence length and micro-batch size</w:t>
            </w:r>
          </w:p>
        </w:tc>
      </w:tr>
      <w:tr>
        <w:trPr>
          <w:cantSplit/>
        </w:trPr>
        <w:tc>
          <w:tcPr>
            <w:tcW w:type="dxa" w:w="2189"/>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A100 80GB or H100 80GB</w:t>
            </w:r>
          </w:p>
        </w:tc>
        <w:tc>
          <w:tcPr>
            <w:tcW w:type="dxa" w:w="3168"/>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Jobs needing more memory than a 24 GB GPU provides</w:t>
            </w:r>
          </w:p>
        </w:tc>
        <w:tc>
          <w:tcPr>
            <w:tcW w:type="dxa" w:w="4245"/>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Memory headroom, runtime, and cost at the same target quality</w:t>
            </w:r>
          </w:p>
        </w:tc>
      </w:tr>
      <w:tr>
        <w:trPr>
          <w:cantSplit/>
        </w:trPr>
        <w:tc>
          <w:tcPr>
            <w:tcW w:type="dxa" w:w="2189"/>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Multiple GPUs</w:t>
            </w:r>
          </w:p>
        </w:tc>
        <w:tc>
          <w:tcPr>
            <w:tcW w:type="dxa" w:w="3168"/>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Jobs that exceed a single GPU’s memory or need more throughput</w:t>
            </w:r>
          </w:p>
        </w:tc>
        <w:tc>
          <w:tcPr>
            <w:tcW w:type="dxa" w:w="4245"/>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Framework support, interconnect, and actual scaling efficiency</w:t>
            </w:r>
          </w:p>
        </w:tc>
      </w:tr>
    </w:tbl>
    <w:p>
      <w:pPr>
        <w:spacing w:after="20" w:before="0" w:line="240" w:lineRule="auto"/>
      </w:pPr>
      <w:r>
        <w:rPr>
          <w:sz w:val="4"/>
        </w:rPr>
      </w:r>
    </w:p>
    <w:p>
      <w:r>
        <w:t>Multiple GPUs do not automatically provide one shared pool of VRAM. Techniques such as FSDP, ZeRO, tensor parallelism, or pipeline parallelism need suitable software and hardware support. Confirm the available GPU configuration and node topology before planning a distributed run.</w:t>
      </w:r>
    </w:p>
    <w:p>
      <w:r>
        <w:br w:type="page"/>
      </w:r>
    </w:p>
    <w:p>
      <w:pPr>
        <w:pStyle w:val="Heading2"/>
      </w:pPr>
      <w:r>
        <w:t>2. Compare Glows.ai GPU options and rates</w:t>
      </w:r>
    </w:p>
    <w:p>
      <w:r>
        <w:t>Glows.ai offers on-demand GPU instances for AI training and inference. Use the rates below to estimate compute costs, then validate the selected configuration against your own workload.</w:t>
      </w:r>
    </w:p>
    <w:p>
      <w:pPr>
        <w:keepNext/>
        <w:spacing w:after="120"/>
      </w:pPr>
      <w:r>
        <w:rPr>
          <w:rFonts w:ascii="Liberation Sans" w:hAnsi="Liberation Sans" w:eastAsia="Noto Sans CJK SC"/>
          <w:b/>
          <w:color w:val="7C3AED"/>
          <w:sz w:val="20"/>
        </w:rPr>
        <w:t>Glows.ai on-demand GPU rates · October 2026</w:t>
      </w:r>
    </w:p>
    <w:tbl>
      <w:tblPr>
        <w:tblW w:type="auto" w:w="0"/>
        <w:jc w:val="center"/>
        <w:tblLayout w:type="fixed"/>
        <w:tblLook w:firstColumn="1" w:firstRow="1" w:lastColumn="0" w:lastRow="0" w:noHBand="0" w:noVBand="1" w:val="04A0"/>
      </w:tblPr>
      <w:tblGrid>
        <w:gridCol w:w="2376"/>
        <w:gridCol w:w="1656"/>
        <w:gridCol w:w="5569"/>
      </w:tblGrid>
      <w:tr>
        <w:trPr>
          <w:tblHeader/>
          <w:cantSplit/>
        </w:trPr>
        <w:tc>
          <w:tcPr>
            <w:tcW w:type="dxa" w:w="2376"/>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NVIDIA GPU</w:t>
            </w:r>
          </w:p>
        </w:tc>
        <w:tc>
          <w:tcPr>
            <w:tcW w:type="dxa" w:w="1656"/>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USD / GPU-hour</w:t>
            </w:r>
          </w:p>
        </w:tc>
        <w:tc>
          <w:tcPr>
            <w:tcW w:type="dxa" w:w="5569"/>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Selection note</w:t>
            </w:r>
          </w:p>
        </w:tc>
      </w:tr>
      <w:tr>
        <w:trPr>
          <w:cantSplit/>
        </w:trPr>
        <w:tc>
          <w:tcPr>
            <w:tcW w:type="dxa" w:w="2376"/>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RTX 4090 · 24 GB VRAM</w:t>
            </w:r>
          </w:p>
        </w:tc>
        <w:tc>
          <w:tcPr>
            <w:tcW w:type="dxa" w:w="1656"/>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$0.49</w:t>
            </w:r>
          </w:p>
        </w:tc>
        <w:tc>
          <w:tcPr>
            <w:tcW w:type="dxa" w:w="5569"/>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A starting option for smaller adapter-tuning experiments</w:t>
            </w:r>
          </w:p>
        </w:tc>
      </w:tr>
      <w:tr>
        <w:trPr>
          <w:cantSplit/>
        </w:trPr>
        <w:tc>
          <w:tcPr>
            <w:tcW w:type="dxa" w:w="2376"/>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L40S</w:t>
            </w:r>
          </w:p>
        </w:tc>
        <w:tc>
          <w:tcPr>
            <w:tcW w:type="dxa" w:w="1656"/>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$0.83</w:t>
            </w:r>
          </w:p>
        </w:tc>
        <w:tc>
          <w:tcPr>
            <w:tcW w:type="dxa" w:w="5569"/>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Check memory fit and measured training time</w:t>
            </w:r>
          </w:p>
        </w:tc>
      </w:tr>
      <w:tr>
        <w:trPr>
          <w:cantSplit/>
        </w:trPr>
        <w:tc>
          <w:tcPr>
            <w:tcW w:type="dxa" w:w="2376"/>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A100 80GB</w:t>
            </w:r>
          </w:p>
        </w:tc>
        <w:tc>
          <w:tcPr>
            <w:tcW w:type="dxa" w:w="1656"/>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$1.20</w:t>
            </w:r>
          </w:p>
        </w:tc>
        <w:tc>
          <w:tcPr>
            <w:tcW w:type="dxa" w:w="5569"/>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An option when a job needs more GPU memory</w:t>
            </w:r>
          </w:p>
        </w:tc>
      </w:tr>
      <w:tr>
        <w:trPr>
          <w:cantSplit/>
        </w:trPr>
        <w:tc>
          <w:tcPr>
            <w:tcW w:type="dxa" w:w="2376"/>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RTX PRO 6000</w:t>
            </w:r>
          </w:p>
        </w:tc>
        <w:tc>
          <w:tcPr>
            <w:tcW w:type="dxa" w:w="1656"/>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$1.78</w:t>
            </w:r>
          </w:p>
        </w:tc>
        <w:tc>
          <w:tcPr>
            <w:tcW w:type="dxa" w:w="5569"/>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Confirm the available variant and VRAM before sizing</w:t>
            </w:r>
          </w:p>
        </w:tc>
      </w:tr>
      <w:tr>
        <w:trPr>
          <w:cantSplit/>
        </w:trPr>
        <w:tc>
          <w:tcPr>
            <w:tcW w:type="dxa" w:w="2376"/>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H100 80GB</w:t>
            </w:r>
          </w:p>
        </w:tc>
        <w:tc>
          <w:tcPr>
            <w:tcW w:type="dxa" w:w="1656"/>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$2.96</w:t>
            </w:r>
          </w:p>
        </w:tc>
        <w:tc>
          <w:tcPr>
            <w:tcW w:type="dxa" w:w="5569"/>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Measure whether runtime savings offset the higher hourly rate</w:t>
            </w:r>
          </w:p>
        </w:tc>
      </w:tr>
    </w:tbl>
    <w:p>
      <w:pPr>
        <w:spacing w:after="20" w:before="0" w:line="240" w:lineRule="auto"/>
      </w:pPr>
      <w:r>
        <w:rPr>
          <w:sz w:val="4"/>
        </w:rPr>
      </w:r>
    </w:p>
    <w:p>
      <w:r>
        <w:t>Compute is billed per second. For RTX 5090, H200, and B200 deployments, contact Glows.ai for availability and pricing. Large-volume H100 orders also require a quote. Check current rates and configurations before booking a run.</w:t>
      </w:r>
    </w:p>
    <w:p>
      <w:r>
        <w:t>Do not assume similarly named GPUs are equivalent across providers. For example, confirm the H100 variant, GPU count, and bundled CPU, RAM, and storage before comparing offers.</w:t>
      </w:r>
    </w:p>
    <w:p>
      <w:pPr>
        <w:pStyle w:val="Heading2"/>
      </w:pPr>
      <w:r>
        <w:t>3. Optimize cost per completed run</w:t>
      </w:r>
    </w:p>
    <w:p>
      <w:r>
        <w:t>The lowest hourly price does not necessarily produce the lowest training bill. A faster GPU may finish the same task sooner, while a smaller GPU may need a slower configuration to stay within memory limits.</w:t>
      </w:r>
    </w:p>
    <w:p>
      <w:pPr>
        <w:keepLines/>
        <w:spacing w:before="100" w:after="200"/>
        <w:ind w:left="144"/>
        <w:shd w:fill="F3E8FF"/>
      </w:pPr>
      <w:r>
        <w:rPr>
          <w:rFonts w:ascii="Liberation Sans" w:hAnsi="Liberation Sans" w:eastAsia="Noto Sans CJK SC"/>
          <w:b/>
          <w:color w:val="5B21B6"/>
        </w:rPr>
        <w:t>GPU compute cost = GPU count × hourly rate per GPU × billable runtime in hours</w:t>
      </w:r>
    </w:p>
    <w:p>
      <w:r>
        <w:t>For illustration, a single RTX 4090 running for 10 hours at $0.49 per GPU-hour costs $4.90 in GPU compute. If the same workload reaches the same target validation quality on one A100 80GB in four hours, compute costs $4.80 at $1.20 per GPU-hour. These runtimes are hypothetical, not benchmark results.</w:t>
      </w:r>
    </w:p>
    <w:p>
      <w:r>
        <w:t>Include any applicable storage, data-transfer, and other service charges when calculating the full project cost. Account for setup time, idle instances, and failed-run retries as well.</w:t>
      </w:r>
    </w:p>
    <w:p>
      <w:r>
        <w:t>Measure memory and throughput after changing training settings. Gradient checkpointing trades extra computation for lower activation memory; it does not necessarily shorten a run. Saving recovery checkpoints is a separate operation that adds storage I/O but can reduce lost work after a failure.</w:t>
      </w:r>
    </w:p>
    <w:p>
      <w:r>
        <w:br w:type="page"/>
      </w:r>
    </w:p>
    <w:p>
      <w:pPr>
        <w:pStyle w:val="Heading2"/>
      </w:pPr>
      <w:r>
        <w:t>4. Build a repeatable training workflow</w:t>
      </w:r>
    </w:p>
    <w:p>
      <w:r>
        <w:t>A suitable environment matters as much as the GPU. The Glows.ai image catalog includes PyTorch environments and LLaMA-Factory. Check the selected image’s configuration and compatibility before starting; an available image does not guarantee that every model or training recipe will run unchanged.</w:t>
      </w:r>
    </w:p>
    <w:p>
      <w:pPr>
        <w:ind w:left="245" w:hanging="245"/>
      </w:pPr>
      <w:r>
        <w:t xml:space="preserve">1. </w:t>
      </w:r>
      <w:r>
        <w:rPr>
          <w:b/>
        </w:rPr>
        <w:t xml:space="preserve">Select the environment. </w:t>
      </w:r>
      <w:r>
        <w:t>Match the model and fine-tuning framework to the image’s Python, CUDA, PyTorch, and quantization-library versions. Choose a training environment rather than assuming an inference image is suitable for fine-tuning.</w:t>
      </w:r>
    </w:p>
    <w:p>
      <w:pPr>
        <w:ind w:left="245" w:hanging="245"/>
      </w:pPr>
      <w:r>
        <w:t xml:space="preserve">2. </w:t>
      </w:r>
      <w:r>
        <w:rPr>
          <w:b/>
        </w:rPr>
        <w:t xml:space="preserve">Prepare access and data. </w:t>
      </w:r>
      <w:r>
        <w:t>Use SSH or JupyterLab to configure the job. Check dataset permissions, tokenization, train/validation splits, and model-license requirements before uploading data or downloading weights.</w:t>
      </w:r>
    </w:p>
    <w:p>
      <w:pPr>
        <w:ind w:left="245" w:hanging="245"/>
      </w:pPr>
      <w:r>
        <w:t xml:space="preserve">3. </w:t>
      </w:r>
      <w:r>
        <w:rPr>
          <w:b/>
        </w:rPr>
        <w:t xml:space="preserve">Record the configuration. </w:t>
      </w:r>
      <w:r>
        <w:t>Version the code, dataset, base model, tokenizer, dependency list, and hyperparameters. Record random seeds and relevant runtime settings to make experiments easier to repeat and compare.</w:t>
      </w:r>
    </w:p>
    <w:p>
      <w:pPr>
        <w:ind w:left="245" w:hanging="245"/>
      </w:pPr>
      <w:r>
        <w:t xml:space="preserve">4. </w:t>
      </w:r>
      <w:r>
        <w:rPr>
          <w:b/>
        </w:rPr>
        <w:t xml:space="preserve">Plan checkpoint storage. </w:t>
      </w:r>
      <w:r>
        <w:t>Choose a storage location that will remain available after the training instance ends. Confirm retention, access, and recovery behavior, then test saving and reloading a checkpoint before a long run.</w:t>
      </w:r>
    </w:p>
    <w:p>
      <w:pPr>
        <w:ind w:left="245" w:hanging="245"/>
      </w:pPr>
      <w:r>
        <w:t xml:space="preserve">5. </w:t>
      </w:r>
      <w:r>
        <w:rPr>
          <w:b/>
        </w:rPr>
        <w:t xml:space="preserve">Coordinate team access. </w:t>
      </w:r>
      <w:r>
        <w:t>For shared work, Glows.ai Team brings GPU resources, environments, datasets, permissions, and quotas into one workspace. Agree on naming, ownership, and budget limits before running parallel experiments.</w:t>
      </w:r>
    </w:p>
    <w:p>
      <w:pPr>
        <w:pStyle w:val="Heading2"/>
      </w:pPr>
      <w:r>
        <w:t>5. Compare providers on the same basis</w:t>
      </w:r>
    </w:p>
    <w:p>
      <w:r>
        <w:t>If you are comparing Glows.ai with RunPod, Vast.ai, Lambda, GMI Cloud, or AWS, evaluate a matched workload rather than a headline price. A GPU marketplace and a spot instance are not the same thing: marketplaces can list different offer types, while spot or interruptible terms describe whether capacity can be reclaimed.</w:t>
      </w:r>
    </w:p>
    <w:tbl>
      <w:tblPr>
        <w:tblW w:type="auto" w:w="0"/>
        <w:jc w:val="center"/>
        <w:tblLayout w:type="fixed"/>
        <w:tblLook w:firstColumn="1" w:firstRow="1" w:lastColumn="0" w:lastRow="0" w:noHBand="0" w:noVBand="1" w:val="04A0"/>
      </w:tblPr>
      <w:tblGrid>
        <w:gridCol w:w="2448"/>
        <w:gridCol w:w="7153"/>
      </w:tblGrid>
      <w:tr>
        <w:trPr>
          <w:tblHeader/>
          <w:cantSplit/>
        </w:trPr>
        <w:tc>
          <w:tcPr>
            <w:tcW w:type="dxa" w:w="2448"/>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Compare</w:t>
            </w:r>
          </w:p>
        </w:tc>
        <w:tc>
          <w:tcPr>
            <w:tcW w:type="dxa" w:w="7153"/>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Ask before committing</w:t>
            </w:r>
          </w:p>
        </w:tc>
      </w:tr>
      <w:tr>
        <w:trPr>
          <w:cantSplit/>
        </w:trPr>
        <w:tc>
          <w:tcPr>
            <w:tcW w:type="dxa" w:w="2448"/>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Hardware and training fit</w:t>
            </w:r>
          </w:p>
        </w:tc>
        <w:tc>
          <w:tcPr>
            <w:tcW w:type="dxa" w:w="7153"/>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Are GPU variant, VRAM, GPU count, and interconnect comparable?</w:t>
            </w:r>
          </w:p>
        </w:tc>
      </w:tr>
      <w:tr>
        <w:trPr>
          <w:cantSplit/>
        </w:trPr>
        <w:tc>
          <w:tcPr>
            <w:tcW w:type="dxa" w:w="2448"/>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Price and interruption policy</w:t>
            </w:r>
          </w:p>
        </w:tc>
        <w:tc>
          <w:tcPr>
            <w:tcW w:type="dxa" w:w="7153"/>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Is the offer on-demand or interruptible? What is billed separately?</w:t>
            </w:r>
          </w:p>
        </w:tc>
      </w:tr>
      <w:tr>
        <w:trPr>
          <w:cantSplit/>
        </w:trPr>
        <w:tc>
          <w:tcPr>
            <w:tcW w:type="dxa" w:w="2448"/>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Environment and workflow</w:t>
            </w:r>
          </w:p>
        </w:tc>
        <w:tc>
          <w:tcPr>
            <w:tcW w:type="dxa" w:w="7153"/>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Can your framework, dependencies, and checkpoint workflow run as required?</w:t>
            </w:r>
          </w:p>
        </w:tc>
      </w:tr>
      <w:tr>
        <w:trPr>
          <w:cantSplit/>
        </w:trPr>
        <w:tc>
          <w:tcPr>
            <w:tcW w:type="dxa" w:w="2448"/>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Capacity and recovery</w:t>
            </w:r>
          </w:p>
        </w:tc>
        <w:tc>
          <w:tcPr>
            <w:tcW w:type="dxa" w:w="7153"/>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Is the required configuration available? What happens if a job fails?</w:t>
            </w:r>
          </w:p>
        </w:tc>
      </w:tr>
      <w:tr>
        <w:trPr>
          <w:cantSplit/>
        </w:trPr>
        <w:tc>
          <w:tcPr>
            <w:tcW w:type="dxa" w:w="2448"/>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Measured outcome</w:t>
            </w:r>
          </w:p>
        </w:tc>
        <w:tc>
          <w:tcPr>
            <w:tcW w:type="dxa" w:w="7153"/>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What is the total cost to reach the same validation target?</w:t>
            </w:r>
          </w:p>
        </w:tc>
      </w:tr>
    </w:tbl>
    <w:p>
      <w:pPr>
        <w:spacing w:after="20" w:before="0" w:line="240" w:lineRule="auto"/>
      </w:pPr>
      <w:r>
        <w:rPr>
          <w:sz w:val="4"/>
        </w:rPr>
      </w:r>
    </w:p>
    <w:p>
      <w:r>
        <w:t>Compare dated, published on-demand prices for equivalent configurations. Evaluate spot or interruptible offers separately, including their recovery requirements and potential retry costs.</w:t>
      </w:r>
    </w:p>
    <w:p>
      <w:r>
        <w:br w:type="page"/>
      </w:r>
    </w:p>
    <w:p>
      <w:pPr>
        <w:pStyle w:val="Heading2"/>
      </w:pPr>
      <w:r>
        <w:t>6. Validate the configuration before scaling</w:t>
      </w:r>
    </w:p>
    <w:p>
      <w:r>
        <w:t>Run a representative pilot using the intended model, sequence length, and training method. A short run can expose memory and compatibility problems; it is not a substitute for evaluating the final model.</w:t>
      </w:r>
    </w:p>
    <w:p>
      <w:pPr>
        <w:ind w:left="245" w:hanging="245"/>
      </w:pPr>
      <w:r>
        <w:t xml:space="preserve">• </w:t>
      </w:r>
      <w:r>
        <w:rPr>
          <w:b/>
        </w:rPr>
        <w:t xml:space="preserve">Memory: </w:t>
      </w:r>
      <w:r>
        <w:t>Record peak VRAM use, including validation and checkpoint-saving stages, and leave room for workload variation.</w:t>
      </w:r>
    </w:p>
    <w:p>
      <w:pPr>
        <w:ind w:left="245" w:hanging="245"/>
      </w:pPr>
      <w:r>
        <w:t xml:space="preserve">• </w:t>
      </w:r>
      <w:r>
        <w:rPr>
          <w:b/>
        </w:rPr>
        <w:t xml:space="preserve">Throughput: </w:t>
      </w:r>
      <w:r>
        <w:t>Measure useful training throughput and check whether data loading or checkpoint I/O is limiting the GPU.</w:t>
      </w:r>
    </w:p>
    <w:p>
      <w:pPr>
        <w:ind w:left="245" w:hanging="245"/>
      </w:pPr>
      <w:r>
        <w:t xml:space="preserve">• </w:t>
      </w:r>
      <w:r>
        <w:rPr>
          <w:b/>
        </w:rPr>
        <w:t xml:space="preserve">Quality: </w:t>
      </w:r>
      <w:r>
        <w:t>Track a validation metric that reflects the task. Compare configurations at the same target quality, not merely the same elapsed time.</w:t>
      </w:r>
    </w:p>
    <w:p>
      <w:pPr>
        <w:ind w:left="245" w:hanging="245"/>
      </w:pPr>
      <w:r>
        <w:t xml:space="preserve">• </w:t>
      </w:r>
      <w:r>
        <w:rPr>
          <w:b/>
        </w:rPr>
        <w:t xml:space="preserve">Recovery: </w:t>
      </w:r>
      <w:r>
        <w:t>Test checkpoint save and reload. If you need to resume training, preserve the relevant optimizer, scheduler, and other training state as well as model weights.</w:t>
      </w:r>
    </w:p>
    <w:p>
      <w:pPr>
        <w:ind w:left="245" w:hanging="245"/>
      </w:pPr>
      <w:r>
        <w:t xml:space="preserve">• </w:t>
      </w:r>
      <w:r>
        <w:rPr>
          <w:b/>
        </w:rPr>
        <w:t xml:space="preserve">Cost: </w:t>
      </w:r>
      <w:r>
        <w:t>Estimate the complete run from measured performance and reassess after a longer trial. Include evaluation, retries, and idle compute.</w:t>
      </w:r>
    </w:p>
    <w:p>
      <w:pPr>
        <w:pStyle w:val="Heading3"/>
      </w:pPr>
      <w:r>
        <w:t>Check data-handling requirements separately</w:t>
      </w:r>
    </w:p>
    <w:p>
      <w:r>
        <w:t>GPU performance does not establish security or regulatory suitability. Before using sensitive data, confirm processing location, access controls, encryption in transit and at rest, log handling, retention and deletion policies, and any required contractual protections. Do not assume a globally distributed service provides a particular data-residency guarantee.</w:t>
      </w:r>
    </w:p>
    <w:p>
      <w:pPr>
        <w:pStyle w:val="Heading3"/>
      </w:pPr>
      <w:r>
        <w:t>Plan the handoff to inference</w:t>
      </w:r>
    </w:p>
    <w:p>
      <w:r>
        <w:t>Export the trained weights or adapters together with the base-model and tokenizer versions and configuration. Check that the serving runtime supports the architecture, quantization, and adapter format; merge adapters only if the deployment workflow requires and supports it. Validate output quality and load behavior before directing production traffic to the model.</w:t>
      </w:r>
    </w:p>
    <w:p>
      <w:r>
        <w:t>Glows.ai offers Inference on Cloud for autoscaling inference and Inference on Dedicated Cloud for isolated inference resources. Confirm model compatibility and deployment requirements separately from the training setup.</w:t>
      </w:r>
    </w:p>
    <w:p>
      <w:r>
        <w:br w:type="page"/>
      </w:r>
    </w:p>
    <w:p>
      <w:pPr>
        <w:pStyle w:val="Heading2"/>
      </w:pPr>
      <w:r>
        <w:t>Frequently asked questions</w:t>
      </w:r>
    </w:p>
    <w:p>
      <w:pPr>
        <w:pStyle w:val="Heading3"/>
      </w:pPr>
      <w:r>
        <w:t>Is Glows.ai good for fine-tuning LLMs?</w:t>
      </w:r>
    </w:p>
    <w:p>
      <w:r>
        <w:t>Glows.ai is a good fit if you want on-demand GPU infrastructure, per-second billing, and control over your training environment. The RTX 4090 24 GB option starts at $0.49 per GPU-hour, with A100 80GB and H100 80GB options for jobs that need more memory. You still need to select and configure the model, dataset, and fine-tuning framework.</w:t>
      </w:r>
    </w:p>
    <w:p>
      <w:pPr>
        <w:pStyle w:val="Heading3"/>
      </w:pPr>
      <w:r>
        <w:t>Can I start fine-tuning on an RTX 4090?</w:t>
      </w:r>
    </w:p>
    <w:p>
      <w:r>
        <w:t>Yes, an RTX 4090 with 24 GB of VRAM can be suitable for some LoRA or QLoRA experiments. Fit depends on model size, quantization, context length, and batch settings. Run a memory test with your intended configuration rather than assuming every model that loads will also fit during training.</w:t>
      </w:r>
    </w:p>
    <w:p>
      <w:pPr>
        <w:pStyle w:val="Heading3"/>
      </w:pPr>
      <w:r>
        <w:t>Does Glows.ai provide one-click LLM fine-tuning?</w:t>
      </w:r>
    </w:p>
    <w:p>
      <w:r>
        <w:t>Glows.ai provides GPU infrastructure and environments such as PyTorch and LLaMA-Factory, rather than a one-click fine-tuning service. Users configure the training framework, dependencies, dataset, and parameters for their chosen workflow.</w:t>
      </w:r>
    </w:p>
    <w:p>
      <w:pPr>
        <w:pStyle w:val="Heading3"/>
      </w:pPr>
      <w:r>
        <w:t>Is a lower hourly GPU price always cheaper?</w:t>
      </w:r>
    </w:p>
    <w:p>
      <w:r>
        <w:t>No. Compare GPU count, billable runtime, and other applicable charges for the same task and target quality. A higher-rate GPU can cost less overall if it completes the job sufficiently faster. Use measured training performance rather than assuming a fixed speedup.</w:t>
      </w:r>
    </w:p>
    <w:p>
      <w:pPr>
        <w:pStyle w:val="Heading3"/>
      </w:pPr>
      <w:r>
        <w:t>How do I keep experiments repeatable between instances?</w:t>
      </w:r>
    </w:p>
    <w:p>
      <w:r>
        <w:t>Version the code, data, base model, tokenizer, dependencies, and training settings. Save checkpoints to storage with confirmed retention beyond the instance lifecycle, and test restoration. A saved environment alone does not capture every dependency or guarantee identical results.</w:t>
      </w:r>
    </w:p>
    <w:p>
      <w:pPr>
        <w:pStyle w:val="Heading3"/>
      </w:pPr>
      <w:r>
        <w:t>When should I consider multiple GPUs?</w:t>
      </w:r>
    </w:p>
    <w:p>
      <w:r>
        <w:t>Consider multiple GPUs when a suitable single GPU cannot fit the training job or when measured scaling improves completion time or cost. Confirm that the framework, interconnect, and node topology support your parallelism strategy. More GPUs do not guarantee a proportional speedup.</w:t>
      </w:r>
    </w:p>
    <w:p>
      <w:pPr>
        <w:pStyle w:val="Heading2"/>
      </w:pPr>
      <w:r>
        <w:t>Start with a measured pilot</w:t>
      </w:r>
    </w:p>
    <w:p>
      <w:r>
        <w:t>Choose the fine-tuning method, verify memory fit, and compare the cost of a successful run. Explore Glows.ai On-Demand Cloud for your first experiment, or contact our team to discuss a larger GPU configuration.</w:t>
      </w:r>
    </w:p>
    <w:p>
      <w:pPr>
        <w:spacing w:after="80"/>
      </w:pPr>
      <w:hyperlink r:id="rId11">
        <w:r>
          <w:rPr>
            <w:color w:val="7C3AED"/>
            <w:u w:val="single"/>
          </w:rPr>
          <w:t>Explore On-Demand Cloud</w:t>
        </w:r>
      </w:hyperlink>
    </w:p>
    <w:p>
      <w:pPr>
        <w:spacing w:after="80"/>
      </w:pPr>
      <w:hyperlink r:id="rId12">
        <w:r>
          <w:rPr>
            <w:color w:val="7C3AED"/>
            <w:u w:val="single"/>
          </w:rPr>
          <w:t>Read the Glows.ai documentation</w:t>
        </w:r>
      </w:hyperlink>
    </w:p>
    <w:p>
      <w:pPr>
        <w:spacing w:after="80"/>
      </w:pPr>
      <w:hyperlink r:id="rId13">
        <w:r>
          <w:rPr>
            <w:color w:val="7C3AED"/>
            <w:u w:val="single"/>
          </w:rPr>
          <w:t>Contact Glows.ai</w:t>
        </w:r>
      </w:hyperlink>
    </w:p>
    <w:p>
      <w:pPr>
        <w:pStyle w:val="Heading3"/>
      </w:pPr>
      <w:r>
        <w:t>Further reading</w:t>
      </w:r>
    </w:p>
    <w:p>
      <w:pPr>
        <w:spacing w:after="80"/>
      </w:pPr>
      <w:hyperlink r:id="rId14">
        <w:r>
          <w:rPr>
            <w:color w:val="7C3AED"/>
            <w:u w:val="single"/>
          </w:rPr>
          <w:t>Hugging Face PEFT: LoRA</w:t>
        </w:r>
      </w:hyperlink>
    </w:p>
    <w:p>
      <w:pPr>
        <w:spacing w:after="80"/>
      </w:pPr>
      <w:hyperlink r:id="rId15">
        <w:r>
          <w:rPr>
            <w:color w:val="7C3AED"/>
            <w:u w:val="single"/>
          </w:rPr>
          <w:t>Hugging Face Transformers: bitsandbytes quantization</w:t>
        </w:r>
      </w:hyperlink>
    </w:p>
    <w:sectPr w:rsidR="00FC693F" w:rsidRPr="0006063C" w:rsidSect="00034616">
      <w:headerReference w:type="default" r:id="rId9"/>
      <w:footerReference w:type="default" r:id="rId10"/>
      <w:pgSz w:w="11905" w:h="16838"/>
      <w:pgMar w:top="1051" w:right="1152" w:bottom="979"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Noto Sans CJK SC"/>
        <w:color w:val="666666"/>
        <w:sz w:val="16"/>
      </w:rPr>
      <w:t xml:space="preserve">Glows.ai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E9D5FF" w:space="6"/>
      </w:pBdr>
    </w:pPr>
    <w:r>
      <w:rPr>
        <w:rFonts w:ascii="Liberation Sans" w:hAnsi="Liberation Sans" w:eastAsia="Noto Sans CJK SC"/>
        <w:b/>
        <w:color w:val="7C3AED"/>
        <w:sz w:val="20"/>
      </w:rPr>
      <w:t>Glows.ai</w:t>
    </w:r>
    <w:r>
      <w:rPr>
        <w:rFonts w:ascii="Liberation Sans" w:hAnsi="Liberation Sans" w:eastAsia="Noto Sans CJK SC"/>
        <w:color w:val="666666"/>
        <w:sz w:val="18"/>
      </w:rPr>
      <w:t xml:space="preserve">  /  Developer guides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Liberation Sans" w:hAnsi="Liberation Sans" w:eastAsia="Noto Sans CJK SC"/>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252" w:lineRule="auto"/>
      <w:outlineLvl w:val="0"/>
    </w:pPr>
    <w:rPr>
      <w:rFonts w:asciiTheme="majorHAnsi" w:eastAsiaTheme="majorEastAsia" w:hAnsiTheme="majorHAnsi" w:cstheme="majorBidi" w:ascii="Liberation Sans" w:hAnsi="Liberation Sans" w:eastAsia="Noto Sans CJK SC"/>
      <w:b/>
      <w:bCs/>
      <w:color w:val="5B21B6"/>
      <w:sz w:val="48"/>
      <w:szCs w:val="28"/>
    </w:rPr>
  </w:style>
  <w:style w:type="paragraph" w:styleId="Heading2">
    <w:name w:val="heading 2"/>
    <w:basedOn w:val="Normal"/>
    <w:next w:val="Normal"/>
    <w:link w:val="Heading2Char"/>
    <w:uiPriority w:val="9"/>
    <w:unhideWhenUsed/>
    <w:qFormat/>
    <w:rsid w:val="00FC693F"/>
    <w:pPr>
      <w:keepNext/>
      <w:keepLines/>
      <w:spacing w:before="260" w:after="160" w:line="252" w:lineRule="auto"/>
      <w:outlineLvl w:val="1"/>
    </w:pPr>
    <w:rPr>
      <w:rFonts w:asciiTheme="majorHAnsi" w:eastAsiaTheme="majorEastAsia" w:hAnsiTheme="majorHAnsi" w:cstheme="majorBidi" w:ascii="Liberation Sans" w:hAnsi="Liberation Sans" w:eastAsia="Noto Sans CJK SC"/>
      <w:b/>
      <w:bCs/>
      <w:color w:val="5B21B6"/>
      <w:sz w:val="30"/>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Liberation Sans" w:hAnsi="Liberation Sans" w:eastAsia="Noto Sans CJK SC"/>
      <w:b/>
      <w:bCs/>
      <w:color w:val="5B21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7C3AE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B21B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B21B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7C3AE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B21B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7C3AE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7C3AED"/>
    </w:rPr>
  </w:style>
  <w:style w:type="paragraph" w:styleId="Title">
    <w:name w:val="Title"/>
    <w:basedOn w:val="Normal"/>
    <w:next w:val="Normal"/>
    <w:link w:val="TitleChar"/>
    <w:uiPriority w:val="10"/>
    <w:qFormat/>
    <w:rsid w:val="00FC693F"/>
    <w:pPr>
      <w:pBdr>
        <w:bottom w:val="single" w:sz="8" w:space="4" w:color="7C3AED"/>
      </w:pBdr>
      <w:spacing w:after="300" w:line="240" w:lineRule="auto"/>
      <w:contextualSpacing/>
    </w:pPr>
    <w:rPr>
      <w:rFonts w:asciiTheme="majorHAnsi" w:eastAsiaTheme="majorEastAsia" w:hAnsiTheme="majorHAnsi" w:cstheme="majorBidi"/>
      <w:color w:val="5B21B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B21B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7C3AE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7C3AE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Liberation Sans" w:hAnsi="Liberation San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Liberation Sans" w:hAnsi="Liberation San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7C3AE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B21B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B21B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7C3AE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7C3AE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7C3AED"/>
      </w:pBdr>
      <w:spacing w:before="200" w:after="280"/>
      <w:ind w:left="936" w:right="936"/>
    </w:pPr>
    <w:rPr>
      <w:b/>
      <w:bCs/>
      <w:i/>
      <w:iCs/>
      <w:color w:val="7C3AED"/>
    </w:rPr>
  </w:style>
  <w:style w:type="character" w:customStyle="1" w:styleId="IntenseQuoteChar">
    <w:name w:val="Intense Quote Char"/>
    <w:basedOn w:val="DefaultParagraphFont"/>
    <w:link w:val="IntenseQuote"/>
    <w:uiPriority w:val="30"/>
    <w:rsid w:val="00FC693F"/>
    <w:rPr>
      <w:b/>
      <w:bCs/>
      <w:i/>
      <w:iCs/>
      <w:color w:val="7C3AE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7C3AED"/>
    </w:rPr>
  </w:style>
  <w:style w:type="character" w:styleId="SubtleReference">
    <w:name w:val="Subtle Reference"/>
    <w:basedOn w:val="DefaultParagraphFont"/>
    <w:uiPriority w:val="31"/>
    <w:qFormat/>
    <w:rsid w:val="00FC693F"/>
    <w:rPr>
      <w:smallCaps/>
      <w:color w:val="7C3AED"/>
      <w:u w:val="single"/>
    </w:rPr>
  </w:style>
  <w:style w:type="character" w:styleId="IntenseReference">
    <w:name w:val="Intense Reference"/>
    <w:basedOn w:val="DefaultParagraphFont"/>
    <w:uiPriority w:val="32"/>
    <w:qFormat/>
    <w:rsid w:val="00FC693F"/>
    <w:rPr>
      <w:b/>
      <w:bCs/>
      <w:smallCaps/>
      <w:color w:val="7C3AE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2">
    <w:name w:val="Light Shading Accent 2"/>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3">
    <w:name w:val="Light Shading Accent 3"/>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4">
    <w:name w:val="Light Shading Accent 4"/>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5">
    <w:name w:val="Light Shading Accent 5"/>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6">
    <w:name w:val="Light Shading Accent 6"/>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5B21B6"/>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F5F0FF"/>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F5F0FF"/>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F5F0FF"/>
      </w:tcPr>
    </w:tblStylePr>
    <w:tblStylePr w:type="lastRow">
      <w:rPr>
        <w:b/>
        <w:bCs/>
        <w:color w:val="000000"/>
      </w:rPr>
      <w:tblPr/>
      <w:tcPr>
        <w:shd w:val="clear" w:color="AUTO" w:fill="F5F0FF"/>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F5F0FF"/>
      </w:tcPr>
    </w:tblStylePr>
    <w:tblStylePr w:type="lastRow">
      <w:rPr>
        <w:b/>
        <w:bCs/>
        <w:color w:val="000000"/>
      </w:rPr>
      <w:tblPr/>
      <w:tcPr>
        <w:shd w:val="clear" w:color="AUTO" w:fill="F5F0FF"/>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B21B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C3AE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C3AE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7C3AE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B21B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B21B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7C3AE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B21B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7C3AE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7C3AED"/>
    </w:rPr>
  </w:style>
  <w:style w:type="paragraph" w:styleId="Title">
    <w:name w:val="Title"/>
    <w:basedOn w:val="Normal"/>
    <w:next w:val="Normal"/>
    <w:link w:val="TitleChar"/>
    <w:uiPriority w:val="10"/>
    <w:qFormat/>
    <w:rsid w:val="00FC693F"/>
    <w:pPr>
      <w:pBdr>
        <w:bottom w:val="single" w:sz="8" w:space="4" w:color="7C3AED"/>
      </w:pBdr>
      <w:spacing w:after="300" w:line="240" w:lineRule="auto"/>
      <w:contextualSpacing/>
    </w:pPr>
    <w:rPr>
      <w:rFonts w:asciiTheme="majorHAnsi" w:eastAsiaTheme="majorEastAsia" w:hAnsiTheme="majorHAnsi" w:cstheme="majorBidi"/>
      <w:color w:val="5B21B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B21B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7C3AE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7C3AE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7C3AE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B21B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B21B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7C3AE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7C3AE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7C3AED"/>
      </w:pBdr>
      <w:spacing w:before="200" w:after="280"/>
      <w:ind w:left="936" w:right="936"/>
    </w:pPr>
    <w:rPr>
      <w:b/>
      <w:bCs/>
      <w:i/>
      <w:iCs/>
      <w:color w:val="7C3AED"/>
    </w:rPr>
  </w:style>
  <w:style w:type="character" w:customStyle="1" w:styleId="IntenseQuoteChar">
    <w:name w:val="Intense Quote Char"/>
    <w:basedOn w:val="DefaultParagraphFont"/>
    <w:link w:val="IntenseQuote"/>
    <w:uiPriority w:val="30"/>
    <w:rsid w:val="00FC693F"/>
    <w:rPr>
      <w:b/>
      <w:bCs/>
      <w:i/>
      <w:iCs/>
      <w:color w:val="7C3AE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7C3AED"/>
    </w:rPr>
  </w:style>
  <w:style w:type="character" w:styleId="SubtleReference">
    <w:name w:val="Subtle Reference"/>
    <w:basedOn w:val="DefaultParagraphFont"/>
    <w:uiPriority w:val="31"/>
    <w:qFormat/>
    <w:rsid w:val="00FC693F"/>
    <w:rPr>
      <w:smallCaps/>
      <w:color w:val="7C3AED"/>
      <w:u w:val="single"/>
    </w:rPr>
  </w:style>
  <w:style w:type="character" w:styleId="IntenseReference">
    <w:name w:val="Intense Reference"/>
    <w:basedOn w:val="DefaultParagraphFont"/>
    <w:uiPriority w:val="32"/>
    <w:qFormat/>
    <w:rsid w:val="00FC693F"/>
    <w:rPr>
      <w:b/>
      <w:bCs/>
      <w:smallCaps/>
      <w:color w:val="7C3AE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2">
    <w:name w:val="Light Shading Accent 2"/>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3">
    <w:name w:val="Light Shading Accent 3"/>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4">
    <w:name w:val="Light Shading Accent 4"/>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5">
    <w:name w:val="Light Shading Accent 5"/>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6">
    <w:name w:val="Light Shading Accent 6"/>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5B21B6"/>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F5F0FF"/>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F5F0FF"/>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F5F0FF"/>
      </w:tcPr>
    </w:tblStylePr>
    <w:tblStylePr w:type="lastRow">
      <w:rPr>
        <w:b/>
        <w:bCs/>
        <w:color w:val="000000"/>
      </w:rPr>
      <w:tblPr/>
      <w:tcPr>
        <w:shd w:val="clear" w:color="AUTO" w:fill="F5F0FF"/>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F5F0FF"/>
      </w:tcPr>
    </w:tblStylePr>
    <w:tblStylePr w:type="lastRow">
      <w:rPr>
        <w:b/>
        <w:bCs/>
        <w:color w:val="000000"/>
      </w:rPr>
      <w:tblPr/>
      <w:tcPr>
        <w:shd w:val="clear" w:color="AUTO" w:fill="F5F0FF"/>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lows.ai/product/on-demand-cloud" TargetMode="External"/><Relationship Id="rId12" Type="http://schemas.openxmlformats.org/officeDocument/2006/relationships/hyperlink" Target="https://docs.glows.ai" TargetMode="External"/><Relationship Id="rId13" Type="http://schemas.openxmlformats.org/officeDocument/2006/relationships/hyperlink" Target="mailto:hi@glows.ai" TargetMode="External"/><Relationship Id="rId14" Type="http://schemas.openxmlformats.org/officeDocument/2006/relationships/hyperlink" Target="https://huggingface.co/docs/peft/en/conceptual_guides/lora" TargetMode="External"/><Relationship Id="rId15" Type="http://schemas.openxmlformats.org/officeDocument/2006/relationships/hyperlink" Target="https://huggingface.co/docs/transformers/en/quantization/bitsandbytes" TargetMode="External"/></Relationships>
</file>

<file path=word/theme/theme1.xml><?xml version="1.0" encoding="utf-8"?>
<a:theme xmlns:a="http://schemas.openxmlformats.org/drawingml/2006/main" name="Office Theme">
  <a:themeElements>
    <a:clrScheme name="Office">
      <a:dk1>
        <a:srgbClr val="242424"/>
      </a:dk1>
      <a:lt1>
        <a:srgbClr val="FFFFFF"/>
      </a:lt1>
      <a:dk2>
        <a:srgbClr val="3B0764"/>
      </a:dk2>
      <a:lt2>
        <a:srgbClr val="F5F0FF"/>
      </a:lt2>
      <a:accent1>
        <a:srgbClr val="7C3AED"/>
      </a:accent1>
      <a:accent2>
        <a:srgbClr val="5B21B6"/>
      </a:accent2>
      <a:accent3>
        <a:srgbClr val="A855F7"/>
      </a:accent3>
      <a:accent4>
        <a:srgbClr val="C084FC"/>
      </a:accent4>
      <a:accent5>
        <a:srgbClr val="E9D5FF"/>
      </a:accent5>
      <a:accent6>
        <a:srgbClr val="6B21A8"/>
      </a:accent6>
      <a:hlink>
        <a:srgbClr val="7C3AED"/>
      </a:hlink>
      <a:folHlink>
        <a:srgbClr val="7C3AE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the Right Cloud GPU for Fine-Tuning LLMs: A Developer’s Guide</dc:title>
  <dc:subject>LLM fine-tuning GPU selection</dc:subject>
  <dc:creator>Glows.ai</dc:creator>
  <cp:keywords/>
  <dc:description>generated by python-docx</dc:description>
  <cp:lastModifiedBy/>
  <cp:revision>2</cp:revision>
  <dcterms:created xsi:type="dcterms:W3CDTF">2013-12-23T23:15:00Z</dcterms:created>
  <dcterms:modified xsi:type="dcterms:W3CDTF">2013-12-23T23:15:00Z</dcterms:modified>
  <cp:category/>
</cp:coreProperties>
</file>