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GPU Cloud Providers for Startups: How to Choose, Set Up, and Scale</w:t>
      </w:r>
    </w:p>
    <w:p>
      <w:pPr>
        <w:spacing w:after="200"/>
      </w:pPr>
      <w:r>
        <w:t>When comparing the best GPU cloud providers for startups, begin with your workload, budget, and the engineering time you can commit. Choose a provider that supports your model, makes billing understandable, and lets your team test a repeatable workflow before investing in larger deployments.</w:t>
      </w:r>
    </w:p>
    <w:p>
      <w:r>
        <w:t>Glows.ai is worth considering for startups that want on-demand GPU infrastructure, per-second billing, and control over their training or inference environment. Public rates start at $0.49 per GPU-hour for the NVIDIA RTX 4090. Glows.ai Team brings shared GPU resources, environments, datasets, permissions, and quotas into one workspace.</w:t>
      </w:r>
    </w:p>
    <w:p>
      <w:pPr>
        <w:pStyle w:val="Heading2"/>
      </w:pPr>
      <w:r>
        <w:t>1. Compare providers against your next milestone</w:t>
      </w:r>
    </w:p>
    <w:p>
      <w:r>
        <w:t>A prototype, a fine-tuning experiment, and a customer-facing endpoint have different requirements. Write down the model, expected workload, acceptable completion time or latency, and budget before comparing offers.</w:t>
      </w:r>
    </w:p>
    <w:tbl>
      <w:tblPr>
        <w:tblW w:type="auto" w:w="0"/>
        <w:jc w:val="center"/>
        <w:tblLayout w:type="fixed"/>
        <w:tblLook w:firstColumn="1" w:firstRow="1" w:lastColumn="0" w:lastRow="0" w:noHBand="0" w:noVBand="1" w:val="04A0"/>
      </w:tblPr>
      <w:tblGrid>
        <w:gridCol w:w="2952"/>
        <w:gridCol w:w="6649"/>
      </w:tblGrid>
      <w:tr>
        <w:trPr>
          <w:tblHeader/>
          <w:cantSplit/>
        </w:trPr>
        <w:tc>
          <w:tcPr>
            <w:tcW w:type="dxa" w:w="2952"/>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Startup priority</w:t>
            </w:r>
          </w:p>
        </w:tc>
        <w:tc>
          <w:tcPr>
            <w:tcW w:type="dxa" w:w="6649"/>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What to check</w:t>
            </w:r>
          </w:p>
        </w:tc>
      </w:tr>
      <w:tr>
        <w:trPr>
          <w:cantSplit/>
        </w:trPr>
        <w:tc>
          <w:tcPr>
            <w:tcW w:type="dxa" w:w="295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Run the first experiment</w:t>
            </w:r>
          </w:p>
        </w:tc>
        <w:tc>
          <w:tcPr>
            <w:tcW w:type="dxa" w:w="664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Compatible images, remote access, and the required GPU configuration</w:t>
            </w:r>
          </w:p>
        </w:tc>
      </w:tr>
      <w:tr>
        <w:trPr>
          <w:cantSplit/>
        </w:trPr>
        <w:tc>
          <w:tcPr>
            <w:tcW w:type="dxa" w:w="2952"/>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Control the bill</w:t>
            </w:r>
          </w:p>
        </w:tc>
        <w:tc>
          <w:tcPr>
            <w:tcW w:type="dxa" w:w="664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Billing increment, minimum charge, idle compute, and separate fees</w:t>
            </w:r>
          </w:p>
        </w:tc>
      </w:tr>
      <w:tr>
        <w:trPr>
          <w:cantSplit/>
        </w:trPr>
        <w:tc>
          <w:tcPr>
            <w:tcW w:type="dxa" w:w="295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Repeat the work</w:t>
            </w:r>
          </w:p>
        </w:tc>
        <w:tc>
          <w:tcPr>
            <w:tcW w:type="dxa" w:w="664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Versioned environments, checkpoint recovery, and storage retention</w:t>
            </w:r>
          </w:p>
        </w:tc>
      </w:tr>
      <w:tr>
        <w:trPr>
          <w:cantSplit/>
        </w:trPr>
        <w:tc>
          <w:tcPr>
            <w:tcW w:type="dxa" w:w="2952"/>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Share resources</w:t>
            </w:r>
          </w:p>
        </w:tc>
        <w:tc>
          <w:tcPr>
            <w:tcW w:type="dxa" w:w="664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Permissions, quotas, ownership, and access for teammates</w:t>
            </w:r>
          </w:p>
        </w:tc>
      </w:tr>
      <w:tr>
        <w:trPr>
          <w:cantSplit/>
        </w:trPr>
        <w:tc>
          <w:tcPr>
            <w:tcW w:type="dxa" w:w="295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Serve customers</w:t>
            </w:r>
          </w:p>
        </w:tc>
        <w:tc>
          <w:tcPr>
            <w:tcW w:type="dxa" w:w="664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Model compatibility, measured latency, capacity, and recovery requirements</w:t>
            </w:r>
          </w:p>
        </w:tc>
      </w:tr>
    </w:tbl>
    <w:p>
      <w:pPr>
        <w:spacing w:after="20" w:before="0" w:line="240" w:lineRule="auto"/>
      </w:pPr>
      <w:r>
        <w:rPr>
          <w:sz w:val="4"/>
        </w:rPr>
      </w:r>
    </w:p>
    <w:p>
      <w:r>
        <w:t>If you are comparing Glows.ai with RunPod, Vast.ai, Lambda, GMI Cloud, or AWS, use the same criteria and dated quotes. Match GPU variant, GPU count, included resources, and billing type. A marketplace offer is not automatically a spot instance; check its actual interruption terms.</w:t>
      </w:r>
    </w:p>
    <w:p>
      <w:r>
        <w:t>GPU rental is also worth comparing with a hosted model API. An API can reduce infrastructure work for an early product, while rented GPUs give you more control over the software environment. Test both against your expected traffic and quality requirements.</w:t>
      </w:r>
    </w:p>
    <w:p>
      <w:r>
        <w:br w:type="page"/>
      </w:r>
    </w:p>
    <w:p>
      <w:pPr>
        <w:pStyle w:val="Heading2"/>
      </w:pPr>
      <w:r>
        <w:t>2. Build a budget from the actual configuration</w:t>
      </w:r>
    </w:p>
    <w:p>
      <w:r>
        <w:t>Glows.ai provides an on-demand GPU range for AI training and inference. Use these rates as a compute-cost starting point, then check the configuration and availability you need.</w:t>
      </w:r>
    </w:p>
    <w:p>
      <w:pPr>
        <w:keepNext/>
        <w:spacing w:after="120"/>
      </w:pPr>
      <w:r>
        <w:rPr>
          <w:rFonts w:ascii="Liberation Sans" w:hAnsi="Liberation Sans" w:eastAsia="Noto Sans CJK SC"/>
          <w:b/>
          <w:color w:val="7C3AED"/>
          <w:sz w:val="20"/>
        </w:rPr>
        <w:t>Glows.ai on-demand pricing reference · October 2026</w:t>
      </w:r>
    </w:p>
    <w:tbl>
      <w:tblPr>
        <w:tblW w:type="auto" w:w="0"/>
        <w:jc w:val="center"/>
        <w:tblLayout w:type="fixed"/>
        <w:tblLook w:firstColumn="1" w:firstRow="1" w:lastColumn="0" w:lastRow="0" w:noHBand="0" w:noVBand="1" w:val="04A0"/>
      </w:tblPr>
      <w:tblGrid>
        <w:gridCol w:w="6289"/>
        <w:gridCol w:w="3312"/>
      </w:tblGrid>
      <w:tr>
        <w:trPr>
          <w:tblHeader/>
          <w:cantSplit/>
        </w:trPr>
        <w:tc>
          <w:tcPr>
            <w:tcW w:type="dxa" w:w="6289"/>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NVIDIA GPU</w:t>
            </w:r>
          </w:p>
        </w:tc>
        <w:tc>
          <w:tcPr>
            <w:tcW w:type="dxa" w:w="3312"/>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USD / GPU-hour</w:t>
            </w:r>
          </w:p>
        </w:tc>
      </w:tr>
      <w:tr>
        <w:trPr>
          <w:cantSplit/>
        </w:trPr>
        <w:tc>
          <w:tcPr>
            <w:tcW w:type="dxa" w:w="628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RTX 4090 · 24 GB VRAM</w:t>
            </w:r>
          </w:p>
        </w:tc>
        <w:tc>
          <w:tcPr>
            <w:tcW w:type="dxa" w:w="331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$0.49</w:t>
            </w:r>
          </w:p>
        </w:tc>
      </w:tr>
      <w:tr>
        <w:trPr>
          <w:cantSplit/>
        </w:trPr>
        <w:tc>
          <w:tcPr>
            <w:tcW w:type="dxa" w:w="628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L40S</w:t>
            </w:r>
          </w:p>
        </w:tc>
        <w:tc>
          <w:tcPr>
            <w:tcW w:type="dxa" w:w="3312"/>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$0.83</w:t>
            </w:r>
          </w:p>
        </w:tc>
      </w:tr>
      <w:tr>
        <w:trPr>
          <w:cantSplit/>
        </w:trPr>
        <w:tc>
          <w:tcPr>
            <w:tcW w:type="dxa" w:w="628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A100 80GB</w:t>
            </w:r>
          </w:p>
        </w:tc>
        <w:tc>
          <w:tcPr>
            <w:tcW w:type="dxa" w:w="331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$1.20</w:t>
            </w:r>
          </w:p>
        </w:tc>
      </w:tr>
      <w:tr>
        <w:trPr>
          <w:cantSplit/>
        </w:trPr>
        <w:tc>
          <w:tcPr>
            <w:tcW w:type="dxa" w:w="628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RTX PRO 6000</w:t>
            </w:r>
          </w:p>
        </w:tc>
        <w:tc>
          <w:tcPr>
            <w:tcW w:type="dxa" w:w="3312"/>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$1.78</w:t>
            </w:r>
          </w:p>
        </w:tc>
      </w:tr>
      <w:tr>
        <w:trPr>
          <w:cantSplit/>
        </w:trPr>
        <w:tc>
          <w:tcPr>
            <w:tcW w:type="dxa" w:w="628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H100 80GB</w:t>
            </w:r>
          </w:p>
        </w:tc>
        <w:tc>
          <w:tcPr>
            <w:tcW w:type="dxa" w:w="331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$2.96</w:t>
            </w:r>
          </w:p>
        </w:tc>
      </w:tr>
    </w:tbl>
    <w:p>
      <w:pPr>
        <w:spacing w:after="20" w:before="0" w:line="240" w:lineRule="auto"/>
      </w:pPr>
      <w:r>
        <w:rPr>
          <w:sz w:val="4"/>
        </w:rPr>
      </w:r>
    </w:p>
    <w:p>
      <w:r>
        <w:t>Compute is billed per second. For RTX 5090, H200, and B200 deployments, contact Glows.ai for pricing and availability. Large-volume H100 orders require a quote. Confirm GPU variants and any bundled CPU, RAM, and storage before comparing offers.</w:t>
      </w:r>
    </w:p>
    <w:p>
      <w:pPr>
        <w:keepLines/>
        <w:spacing w:before="100" w:after="200"/>
        <w:ind w:left="144"/>
        <w:shd w:fill="F3E8FF"/>
      </w:pPr>
      <w:r>
        <w:rPr>
          <w:rFonts w:ascii="Liberation Sans" w:hAnsi="Liberation Sans" w:eastAsia="Noto Sans CJK SC"/>
          <w:b/>
          <w:color w:val="5B21B6"/>
        </w:rPr>
        <w:t>GPU compute cost = GPU count × rate per GPU-hour × billable hours</w:t>
      </w:r>
    </w:p>
    <w:p>
      <w:r>
        <w:t>For example, one RTX 4090 billed for 20 hours at $0.49 per GPU-hour costs $9.80 in GPU compute. This is an arithmetic example, not a prediction of how much training or inference the instance will complete. Include separately billed storage, data transfer, and other applicable services in the project budget.</w:t>
      </w:r>
    </w:p>
    <w:p>
      <w:pPr>
        <w:ind w:left="245" w:hanging="245"/>
      </w:pPr>
      <w:r>
        <w:t xml:space="preserve">• </w:t>
      </w:r>
      <w:r>
        <w:rPr>
          <w:b/>
        </w:rPr>
        <w:t xml:space="preserve">Count all billable time. </w:t>
      </w:r>
      <w:r>
        <w:t>Setup, idle instances, and retries may contribute to compute charges. Do not add those charges twice if they are already included in the billable hours.</w:t>
      </w:r>
    </w:p>
    <w:p>
      <w:pPr>
        <w:ind w:left="245" w:hanging="245"/>
      </w:pPr>
      <w:r>
        <w:t xml:space="preserve">• </w:t>
      </w:r>
      <w:r>
        <w:rPr>
          <w:b/>
        </w:rPr>
        <w:t xml:space="preserve">Assign ownership. </w:t>
      </w:r>
      <w:r>
        <w:t>Give each experiment an owner and spending estimate. Review active resources regularly; confirm the provider’s stop, release, and storage-billing rules.</w:t>
      </w:r>
    </w:p>
    <w:p>
      <w:pPr>
        <w:ind w:left="245" w:hanging="245"/>
      </w:pPr>
      <w:r>
        <w:t xml:space="preserve">• </w:t>
      </w:r>
      <w:r>
        <w:rPr>
          <w:b/>
        </w:rPr>
        <w:t xml:space="preserve">Test the outcome. </w:t>
      </w:r>
      <w:r>
        <w:t>A lower hourly rate does not guarantee a cheaper result. Compare the cost of reaching the same validation quality or meeting the same inference requirements.</w:t>
      </w:r>
    </w:p>
    <w:p>
      <w:r>
        <w:br w:type="page"/>
      </w:r>
    </w:p>
    <w:p>
      <w:pPr>
        <w:pStyle w:val="Heading2"/>
      </w:pPr>
      <w:r>
        <w:t>3. Set up a repeatable first experiment</w:t>
      </w:r>
    </w:p>
    <w:p>
      <w:r>
        <w:t>Start with a small, representative job that verifies the complete workflow. Glows.ai lets developers launch NVIDIA GPUs in minutes, but setup time still depends on the selected environment, data, and application.</w:t>
      </w:r>
    </w:p>
    <w:p>
      <w:pPr>
        <w:ind w:left="245" w:hanging="245"/>
      </w:pPr>
      <w:r>
        <w:t xml:space="preserve">1. </w:t>
      </w:r>
      <w:r>
        <w:rPr>
          <w:b/>
        </w:rPr>
        <w:t xml:space="preserve">Choose the GPU and environment. </w:t>
      </w:r>
      <w:r>
        <w:t>Match the model, training method, and memory requirement to the GPU. The Glows.ai image catalog includes PyTorch environments and LLaMA-Factory. Verify the selected image’s Python, CUDA, framework, and library compatibility rather than assuming every recipe runs unchanged.</w:t>
      </w:r>
    </w:p>
    <w:p>
      <w:pPr>
        <w:ind w:left="245" w:hanging="245"/>
      </w:pPr>
      <w:r>
        <w:t xml:space="preserve">2. </w:t>
      </w:r>
      <w:r>
        <w:rPr>
          <w:b/>
        </w:rPr>
        <w:t xml:space="preserve">Prepare access and data. </w:t>
      </w:r>
      <w:r>
        <w:t>Use SSH or JupyterLab to configure the job. Expose only required services and manage access credentials carefully. Confirm dataset permissions and model-license requirements before uploading data or downloading weights.</w:t>
      </w:r>
    </w:p>
    <w:p>
      <w:pPr>
        <w:ind w:left="245" w:hanging="245"/>
      </w:pPr>
      <w:r>
        <w:t xml:space="preserve">3. </w:t>
      </w:r>
      <w:r>
        <w:rPr>
          <w:b/>
        </w:rPr>
        <w:t xml:space="preserve">Run a representative test. </w:t>
      </w:r>
      <w:r>
        <w:t>Use realistic sequence lengths, batch settings, or request sizes. Record peak GPU memory, throughput, output quality, and billable time. A model fitting into memory for inference does not establish that its training configuration will fit.</w:t>
      </w:r>
    </w:p>
    <w:p>
      <w:pPr>
        <w:ind w:left="245" w:hanging="245"/>
      </w:pPr>
      <w:r>
        <w:t xml:space="preserve">4. </w:t>
      </w:r>
      <w:r>
        <w:rPr>
          <w:b/>
        </w:rPr>
        <w:t xml:space="preserve">Test recovery. </w:t>
      </w:r>
      <w:r>
        <w:t>Save and reload a checkpoint. For training resumption, preserve the required optimizer, scheduler, and other training state as well as weights. Confirm that the storage location will remain accessible after the instance ends.</w:t>
      </w:r>
    </w:p>
    <w:p>
      <w:pPr>
        <w:ind w:left="245" w:hanging="245"/>
      </w:pPr>
      <w:r>
        <w:t xml:space="preserve">5. </w:t>
      </w:r>
      <w:r>
        <w:rPr>
          <w:b/>
        </w:rPr>
        <w:t xml:space="preserve">Record and release. </w:t>
      </w:r>
      <w:r>
        <w:t>Version the code, image identifier, dependencies, model, tokenizer, dataset, and settings. Save required artifacts, then stop or release compute according to the provider’s rules. Check whether other resources remain billable.</w:t>
      </w:r>
    </w:p>
    <w:p>
      <w:r>
        <w:t>An RTX 4090 with 24 GB of VRAM can be a starting point for smaller LoRA or QLoRA experiments. Larger models, longer contexts, or full-parameter training may need more memory or multiple GPUs. Validate the actual configuration before scaling.</w:t>
      </w:r>
    </w:p>
    <w:p>
      <w:r>
        <w:br w:type="page"/>
      </w:r>
    </w:p>
    <w:p>
      <w:pPr>
        <w:pStyle w:val="Heading2"/>
      </w:pPr>
      <w:r>
        <w:t>4. Scale when measurements justify the change</w:t>
      </w:r>
    </w:p>
    <w:p>
      <w:r>
        <w:t>Keep experiments flexible while demand is uncertain. Consider a larger instance or cluster when memory, throughput, or scheduling is limiting progress. Compare the additional capacity against its full cost and the effort needed to operate it.</w:t>
      </w:r>
    </w:p>
    <w:p>
      <w:r>
        <w:t>Glows.ai’s training products include On-Demand Cloud, Bare Metal Clusters, and Virtualized On-Demand Clusters. Confirm available configurations, interconnect, software compatibility, and commercial terms for the workload you plan to run. A long job alone does not prove that dedicated capacity will cost less.</w:t>
      </w:r>
    </w:p>
    <w:p>
      <w:r>
        <w:t>Multiple GPUs do not automatically provide one shared memory pool or a proportional speedup. Distributed training needs an appropriate framework and node topology. Gradient accumulation, mixed precision, and memory-saving techniques also have tradeoffs; measure their effects on runtime and model quality.</w:t>
      </w:r>
    </w:p>
    <w:p>
      <w:pPr>
        <w:pStyle w:val="Heading3"/>
      </w:pPr>
      <w:r>
        <w:t>Treat inference as a separate deployment test</w:t>
      </w:r>
    </w:p>
    <w:p>
      <w:r>
        <w:t>Glows.ai offers Inference on Cloud for autoscaling inference and Inference on Dedicated Cloud for isolated inference resources. Check model and adapter compatibility, latency under load, capacity requirements, and recovery behavior before directing customer traffic to a deployment.</w:t>
      </w:r>
    </w:p>
    <w:p>
      <w:r>
        <w:t>Autoscaling does not by itself establish scale-to-zero billing or eliminate cold starts. Confirm minimum resources, billing rules, and startup behavior. Preserve versioned model artifacts and a tested rollback path rather than assuming training environments transfer unchanged into serving.</w:t>
      </w:r>
    </w:p>
    <w:p>
      <w:pPr>
        <w:pStyle w:val="Heading3"/>
      </w:pPr>
      <w:r>
        <w:t>Make collaboration and data handling explicit</w:t>
      </w:r>
    </w:p>
    <w:p>
      <w:r>
        <w:t>Use Glows.ai Team to coordinate shared resources, permissions, and quotas. Assign ownership, document environments, and agree on access and spending policies. Shared workspaces help organize collaboration; reproducibility still depends on the files, versions, and settings your team records.</w:t>
      </w:r>
    </w:p>
    <w:p>
      <w:r>
        <w:t>Before using sensitive data, confirm processing location, access controls, encryption, retention, deletion, and any contractual requirements. Globally distributed infrastructure does not establish a particular residency or compliance guarantee.</w:t>
      </w:r>
    </w:p>
    <w:p>
      <w:r>
        <w:br w:type="page"/>
      </w:r>
    </w:p>
    <w:p>
      <w:pPr>
        <w:pStyle w:val="Heading2"/>
      </w:pPr>
      <w:r>
        <w:t>Frequently asked questions</w:t>
      </w:r>
    </w:p>
    <w:p>
      <w:pPr>
        <w:pStyle w:val="Heading3"/>
      </w:pPr>
      <w:r>
        <w:t>Is Glows.ai a good GPU cloud option for a startup?</w:t>
      </w:r>
    </w:p>
    <w:p>
      <w:r>
        <w:t>Glows.ai is a good fit when your team wants on-demand GPU infrastructure, per-second billing, and control over its training or inference environment. Public RTX 4090 rates start at $0.49 per GPU-hour. Run a pilot to check compatibility, performance, and complete costs against your product’s requirements.</w:t>
      </w:r>
    </w:p>
    <w:p>
      <w:pPr>
        <w:pStyle w:val="Heading3"/>
      </w:pPr>
      <w:r>
        <w:t>Should a startup begin with an H100?</w:t>
      </w:r>
    </w:p>
    <w:p>
      <w:r>
        <w:t>Choose by workload. A smaller GPU may handle an initial prototype or adapter-tuning experiment, while other jobs need the memory or throughput of a larger configuration. Measure memory fit, runtime, and cost at the target quality instead of selecting hardware solely by model name.</w:t>
      </w:r>
    </w:p>
    <w:p>
      <w:pPr>
        <w:pStyle w:val="Heading3"/>
      </w:pPr>
      <w:r>
        <w:t>Do fixed on-demand rates guarantee uninterrupted jobs?</w:t>
      </w:r>
    </w:p>
    <w:p>
      <w:r>
        <w:t>No. Pricing, interruption terms, and service availability are separate considerations. Review the offer’s operating conditions and recovery procedures. Keep recoverable checkpoints; a fixed rate does not guarantee uptime or automatic restoration of training state.</w:t>
      </w:r>
    </w:p>
    <w:p>
      <w:pPr>
        <w:pStyle w:val="Heading3"/>
      </w:pPr>
      <w:r>
        <w:t>When should we consider dedicated capacity?</w:t>
      </w:r>
    </w:p>
    <w:p>
      <w:r>
        <w:t>Consider it when measured demand, scheduling requirements, or distributed-training needs justify a dedicated configuration. Compare the actual quote, commitment, available resources, and operating effort with on-demand alternatives. High utilization can support the case, but does not guarantee savings.</w:t>
      </w:r>
    </w:p>
    <w:p>
      <w:pPr>
        <w:pStyle w:val="Heading3"/>
      </w:pPr>
      <w:r>
        <w:t>How can we reduce costs during quiet periods?</w:t>
      </w:r>
    </w:p>
    <w:p>
      <w:r>
        <w:t>Release unused compute where the workflow permits, and confirm what remains billable. For serving, evaluate autoscaling and any minimum-resource requirements against a representative traffic pattern. Review storage retention and charges before deleting resources or assuming the bill will fall to zero.</w:t>
      </w:r>
    </w:p>
    <w:p>
      <w:pPr>
        <w:pStyle w:val="Heading2"/>
      </w:pPr>
      <w:r>
        <w:t>Start with one measured workload</w:t>
      </w:r>
    </w:p>
    <w:p>
      <w:r>
        <w:t>Define the result your startup needs, test a matched configuration, and compare the complete cost. Explore Glows.ai On-Demand Cloud for an initial experiment, or contact our team to discuss larger training and inference requirements.</w:t>
      </w:r>
    </w:p>
    <w:p>
      <w:pPr>
        <w:spacing w:after="80"/>
      </w:pPr>
      <w:hyperlink r:id="rId11">
        <w:r>
          <w:rPr>
            <w:color w:val="7C3AED"/>
            <w:u w:val="single"/>
          </w:rPr>
          <w:t>Explore On-Demand Cloud</w:t>
        </w:r>
      </w:hyperlink>
    </w:p>
    <w:p>
      <w:pPr>
        <w:spacing w:after="80"/>
      </w:pPr>
      <w:hyperlink r:id="rId12">
        <w:r>
          <w:rPr>
            <w:color w:val="7C3AED"/>
            <w:u w:val="single"/>
          </w:rPr>
          <w:t>Explore Bare Metal Clusters</w:t>
        </w:r>
      </w:hyperlink>
    </w:p>
    <w:p>
      <w:pPr>
        <w:spacing w:after="80"/>
      </w:pPr>
      <w:hyperlink r:id="rId13">
        <w:r>
          <w:rPr>
            <w:color w:val="7C3AED"/>
            <w:u w:val="single"/>
          </w:rPr>
          <w:t>Explore Inference on Cloud</w:t>
        </w:r>
      </w:hyperlink>
    </w:p>
    <w:p>
      <w:pPr>
        <w:spacing w:after="80"/>
      </w:pPr>
      <w:hyperlink r:id="rId14">
        <w:r>
          <w:rPr>
            <w:color w:val="7C3AED"/>
            <w:u w:val="single"/>
          </w:rPr>
          <w:t>Read the Glows.ai documentation</w:t>
        </w:r>
      </w:hyperlink>
    </w:p>
    <w:p>
      <w:pPr>
        <w:spacing w:after="80"/>
      </w:pPr>
      <w:hyperlink r:id="rId15">
        <w:r>
          <w:rPr>
            <w:color w:val="7C3AED"/>
            <w:u w:val="single"/>
          </w:rPr>
          <w:t>Contact Glows.ai</w:t>
        </w:r>
      </w:hyperlink>
    </w:p>
    <w:sectPr w:rsidR="00FC693F" w:rsidRPr="0006063C" w:rsidSect="00034616">
      <w:headerReference w:type="default" r:id="rId9"/>
      <w:footerReference w:type="default" r:id="rId10"/>
      <w:pgSz w:w="11905" w:h="16838"/>
      <w:pgMar w:top="1051"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Developer guides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Liberation Sans" w:hAnsi="Liberation Sans" w:eastAsia="Noto Sans CJK SC"/>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52" w:lineRule="auto"/>
      <w:outlineLvl w:val="0"/>
    </w:pPr>
    <w:rPr>
      <w:rFonts w:asciiTheme="majorHAnsi" w:eastAsiaTheme="majorEastAsia" w:hAnsiTheme="majorHAnsi" w:cstheme="majorBidi" w:ascii="Liberation Sans" w:hAnsi="Liberation Sans" w:eastAsia="Noto Sans CJK SC"/>
      <w:b/>
      <w:bCs/>
      <w:color w:val="5B21B6"/>
      <w:sz w:val="48"/>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Liberation Sans" w:hAnsi="Liberation Sans" w:eastAsia="Noto Sans CJK SC"/>
      <w:b/>
      <w:bCs/>
      <w:color w:val="5B21B6"/>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Liberation Sans" w:hAnsi="Liberation Sans" w:eastAsia="Noto Sans CJK SC"/>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1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C3AE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ws.ai/product/on-demand-cloud" TargetMode="External"/><Relationship Id="rId12" Type="http://schemas.openxmlformats.org/officeDocument/2006/relationships/hyperlink" Target="https://glows.ai/product/bare-metal-clusters" TargetMode="External"/><Relationship Id="rId13" Type="http://schemas.openxmlformats.org/officeDocument/2006/relationships/hyperlink" Target="https://glows.ai/product/inference-on-cloud" TargetMode="External"/><Relationship Id="rId14" Type="http://schemas.openxmlformats.org/officeDocument/2006/relationships/hyperlink" Target="https://docs.glows.ai" TargetMode="External"/><Relationship Id="rId15" Type="http://schemas.openxmlformats.org/officeDocument/2006/relationships/hyperlink" Target="mailto:hi@glows.ai"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Cloud Providers for Startups: How to Choose, Set Up, and Scale</dc:title>
  <dc:subject>Glows.ai official English GPU cloud guide</dc:subject>
  <dc:creator>Glows.ai</dc:creator>
  <cp:keywords/>
  <dc:description>generated by python-docx</dc:description>
  <cp:lastModifiedBy/>
  <cp:revision>1</cp:revision>
  <dcterms:created xsi:type="dcterms:W3CDTF">2013-12-23T23:15:00Z</dcterms:created>
  <dcterms:modified xsi:type="dcterms:W3CDTF">2013-12-23T23:15:00Z</dcterms:modified>
  <cp:category/>
</cp:coreProperties>
</file>