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Serverless GPU Platforms for AI Inference: A 2026 Guide</w:t>
      </w:r>
    </w:p>
    <w:p>
      <w:pPr>
        <w:spacing w:after="200"/>
      </w:pPr>
      <w:r>
        <w:t>When comparing the best serverless GPU platforms for AI inference, start with your model, traffic pattern, latency target, and cost per useful result. Look for a service that can run your workload and adjust capacity as demand changes. Then test startup behavior, performance under load, billing, and data handling. The serverless label alone does not guarantee instant responses, scale-to-zero, or a lower bill.</w:t>
      </w:r>
    </w:p>
    <w:p>
      <w:r>
        <w:t>Glows.ai offers Inference on Cloud for autoscaling inference and Inference on Dedicated Cloud for isolated inference resources with end-to-end encryption. Inference on Cloud is worth evaluating when you want managed inference capacity that adapts to demand. Confirm model support, endpoint pricing, scaling limits, and deployment requirements for the service you choose.</w:t>
      </w:r>
    </w:p>
    <w:p>
      <w:pPr>
        <w:pStyle w:val="Heading2"/>
      </w:pPr>
      <w:r>
        <w:t>1. Choose the deployment model before comparing prices</w:t>
      </w:r>
    </w:p>
    <w:p>
      <w:r>
        <w:t>Serverless GPU inference generally shifts infrastructure management to a provider. You still need to select the model, validate outputs, manage application access, and understand operating limits. Providers differ in how endpoints are deployed, how capacity changes, and what remains billable between requests.</w:t>
      </w:r>
    </w:p>
    <w:tbl>
      <w:tblPr>
        <w:tblW w:type="auto" w:w="0"/>
        <w:jc w:val="center"/>
        <w:tblLayout w:type="fixed"/>
        <w:tblLook w:firstColumn="1" w:firstRow="1" w:lastColumn="0" w:lastRow="0" w:noHBand="0" w:noVBand="1" w:val="04A0"/>
      </w:tblPr>
      <w:tblGrid>
        <w:gridCol w:w="2376"/>
        <w:gridCol w:w="3600"/>
        <w:gridCol w:w="3625"/>
      </w:tblGrid>
      <w:tr>
        <w:trPr>
          <w:tblHeader/>
          <w:cantSplit/>
        </w:trPr>
        <w:tc>
          <w:tcPr>
            <w:tcW w:type="dxa" w:w="2376"/>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Approach</w:t>
            </w:r>
          </w:p>
        </w:tc>
        <w:tc>
          <w:tcPr>
            <w:tcW w:type="dxa" w:w="3600"/>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When to evaluate it</w:t>
            </w:r>
          </w:p>
        </w:tc>
        <w:tc>
          <w:tcPr>
            <w:tcW w:type="dxa" w:w="3625"/>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What to confirm</w:t>
            </w:r>
          </w:p>
        </w:tc>
      </w:tr>
      <w:tr>
        <w:trPr>
          <w:cantSplit/>
        </w:trPr>
        <w:tc>
          <w:tcPr>
            <w:tcW w:type="dxa" w:w="237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Managed autoscaling endpoint</w:t>
            </w:r>
          </w:p>
        </w:tc>
        <w:tc>
          <w:tcPr>
            <w:tcW w:type="dxa" w:w="3600"/>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Demand varies and your team wants less infrastructure management</w:t>
            </w:r>
          </w:p>
        </w:tc>
        <w:tc>
          <w:tcPr>
            <w:tcW w:type="dxa" w:w="3625"/>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Model support, startup delay, scaling limits, and endpoint billing</w:t>
            </w:r>
          </w:p>
        </w:tc>
      </w:tr>
      <w:tr>
        <w:trPr>
          <w:cantSplit/>
        </w:trPr>
        <w:tc>
          <w:tcPr>
            <w:tcW w:type="dxa" w:w="2376"/>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Dedicated inference resources</w:t>
            </w:r>
          </w:p>
        </w:tc>
        <w:tc>
          <w:tcPr>
            <w:tcW w:type="dxa" w:w="3600"/>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Isolation is an important deployment requirement</w:t>
            </w:r>
          </w:p>
        </w:tc>
        <w:tc>
          <w:tcPr>
            <w:tcW w:type="dxa" w:w="3625"/>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Isolation boundaries, encryption, capacity terms, and data handling</w:t>
            </w:r>
          </w:p>
        </w:tc>
      </w:tr>
      <w:tr>
        <w:trPr>
          <w:cantSplit/>
        </w:trPr>
        <w:tc>
          <w:tcPr>
            <w:tcW w:type="dxa" w:w="237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Self-managed GPU instance</w:t>
            </w:r>
          </w:p>
        </w:tc>
        <w:tc>
          <w:tcPr>
            <w:tcW w:type="dxa" w:w="3600"/>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You need direct control over the serving stack</w:t>
            </w:r>
          </w:p>
        </w:tc>
        <w:tc>
          <w:tcPr>
            <w:tcW w:type="dxa" w:w="3625"/>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Deployment work, idle compute, monitoring, and recovery responsibilities</w:t>
            </w:r>
          </w:p>
        </w:tc>
      </w:tr>
    </w:tbl>
    <w:p>
      <w:pPr>
        <w:spacing w:after="20" w:before="0" w:line="240" w:lineRule="auto"/>
      </w:pPr>
      <w:r>
        <w:rPr>
          <w:sz w:val="4"/>
        </w:rPr>
      </w:r>
    </w:p>
    <w:p>
      <w:r>
        <w:t>Dedicated resources do not automatically imply serverless billing or autoscaling. Equally, an autoscaling endpoint does not necessarily stop all charges when no requests arrive. Compare the specific service and contract rather than treating these categories as interchangeable.</w:t>
      </w:r>
    </w:p>
    <w:p>
      <w:r>
        <w:t>When shortlisting Glows.ai, RunPod, AWS, or another provider, apply the same workload and acceptance criteria. A company's general GPU catalog is not evidence that every listed GPU is available through its managed inference service.</w:t>
      </w:r>
    </w:p>
    <w:p>
      <w:r>
        <w:br w:type="page"/>
      </w:r>
    </w:p>
    <w:p>
      <w:pPr>
        <w:pStyle w:val="Heading2"/>
      </w:pPr>
      <w:r>
        <w:t>2. Test latency and throughput under realistic traffic</w:t>
      </w:r>
    </w:p>
    <w:p>
      <w:r>
        <w:t>Use the same model version, precision, input lengths, output limits, and quality checks across tests. Include the concurrency and traffic bursts you expect in production. A single warm request says little about how an endpoint behaves after an idle period or during a sudden increase in demand.</w:t>
      </w:r>
    </w:p>
    <w:tbl>
      <w:tblPr>
        <w:tblW w:type="auto" w:w="0"/>
        <w:jc w:val="center"/>
        <w:tblLayout w:type="fixed"/>
        <w:tblLook w:firstColumn="1" w:firstRow="1" w:lastColumn="0" w:lastRow="0" w:noHBand="0" w:noVBand="1" w:val="04A0"/>
      </w:tblPr>
      <w:tblGrid>
        <w:gridCol w:w="2952"/>
        <w:gridCol w:w="6649"/>
      </w:tblGrid>
      <w:tr>
        <w:trPr>
          <w:tblHeader/>
          <w:cantSplit/>
        </w:trPr>
        <w:tc>
          <w:tcPr>
            <w:tcW w:type="dxa" w:w="2952"/>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Measure</w:t>
            </w:r>
          </w:p>
        </w:tc>
        <w:tc>
          <w:tcPr>
            <w:tcW w:type="dxa" w:w="6649"/>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Why it matters</w:t>
            </w:r>
          </w:p>
        </w:tc>
      </w:tr>
      <w:tr>
        <w:trPr>
          <w:cantSplit/>
        </w:trPr>
        <w:tc>
          <w:tcPr>
            <w:tcW w:type="dxa" w:w="2952"/>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Time to first token</w:t>
            </w:r>
          </w:p>
        </w:tc>
        <w:tc>
          <w:tcPr>
            <w:tcW w:type="dxa" w:w="664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Captures how quickly streaming text starts reaching the user</w:t>
            </w:r>
          </w:p>
        </w:tc>
      </w:tr>
      <w:tr>
        <w:trPr>
          <w:cantSplit/>
        </w:trPr>
        <w:tc>
          <w:tcPr>
            <w:tcW w:type="dxa" w:w="2952"/>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End-to-end response latency</w:t>
            </w:r>
          </w:p>
        </w:tc>
        <w:tc>
          <w:tcPr>
            <w:tcW w:type="dxa" w:w="6649"/>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Includes waiting and generation until the response completes</w:t>
            </w:r>
          </w:p>
        </w:tc>
      </w:tr>
      <w:tr>
        <w:trPr>
          <w:cantSplit/>
        </w:trPr>
        <w:tc>
          <w:tcPr>
            <w:tcW w:type="dxa" w:w="2952"/>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Tail latency, such as p95</w:t>
            </w:r>
          </w:p>
        </w:tc>
        <w:tc>
          <w:tcPr>
            <w:tcW w:type="dxa" w:w="664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Shows delays that averages can hide; report test conditions and sample size</w:t>
            </w:r>
          </w:p>
        </w:tc>
      </w:tr>
      <w:tr>
        <w:trPr>
          <w:cantSplit/>
        </w:trPr>
        <w:tc>
          <w:tcPr>
            <w:tcW w:type="dxa" w:w="2952"/>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Useful throughput</w:t>
            </w:r>
          </w:p>
        </w:tc>
        <w:tc>
          <w:tcPr>
            <w:tcW w:type="dxa" w:w="6649"/>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Counts successful requests, tokens, or images while meeting quality and latency targets</w:t>
            </w:r>
          </w:p>
        </w:tc>
      </w:tr>
      <w:tr>
        <w:trPr>
          <w:cantSplit/>
        </w:trPr>
        <w:tc>
          <w:tcPr>
            <w:tcW w:type="dxa" w:w="2952"/>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Cold-start behavior</w:t>
            </w:r>
          </w:p>
        </w:tc>
        <w:tc>
          <w:tcPr>
            <w:tcW w:type="dxa" w:w="6649"/>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Reveals delay after idle periods or when new capacity is added</w:t>
            </w:r>
          </w:p>
        </w:tc>
      </w:tr>
    </w:tbl>
    <w:p>
      <w:pPr>
        <w:spacing w:after="20" w:before="0" w:line="240" w:lineRule="auto"/>
      </w:pPr>
      <w:r>
        <w:rPr>
          <w:sz w:val="4"/>
        </w:rPr>
      </w:r>
    </w:p>
    <w:p>
      <w:r>
        <w:t>Record failures, timeouts, and throttling alongside successful responses. Report whether latency measurements include those outcomes; otherwise, a fast percentile can conceal requests that never completed. For generated images, keep resolution, step count, and other generation settings comparable.</w:t>
      </w:r>
    </w:p>
    <w:p>
      <w:pPr>
        <w:pStyle w:val="Heading3"/>
      </w:pPr>
      <w:r>
        <w:t>Treat cold starts as a measured trade-off</w:t>
      </w:r>
    </w:p>
    <w:p>
      <w:r>
        <w:t>A cold start can involve capacity allocation, environment initialization, model loading, and runtime warm-up. Ask which stages affect your first response. If a provider supports warm capacity, test its latency benefit against the cost of keeping resources ready. Do not assume a minimum replica setting or a particular startup time exists.</w:t>
      </w:r>
    </w:p>
    <w:p>
      <w:r>
        <w:t>Batching can improve aggregate throughput while increasing time spent waiting. Longer contexts and higher concurrency can also increase KV-cache memory. Measure the resulting memory use and latency before raising concurrency or changing batch settings.</w:t>
      </w:r>
    </w:p>
    <w:p>
      <w:r>
        <w:br w:type="page"/>
      </w:r>
    </w:p>
    <w:p>
      <w:pPr>
        <w:pStyle w:val="Heading2"/>
      </w:pPr>
      <w:r>
        <w:t>3. Calculate inference costs using the endpoint's billing terms</w:t>
      </w:r>
    </w:p>
    <w:p>
      <w:r>
        <w:t>Obtain a quote for the inference service you intend to deploy. Glows.ai's public on-demand GPU-hour rates describe GPU instances; they should not be presented as Inference on Cloud endpoint rates or converted into per-token prices without a service quote and measured throughput.</w:t>
      </w:r>
    </w:p>
    <w:p>
      <w:pPr>
        <w:ind w:left="245" w:hanging="245"/>
      </w:pPr>
      <w:r>
        <w:t xml:space="preserve">• </w:t>
      </w:r>
      <w:r>
        <w:rPr>
          <w:b/>
        </w:rPr>
        <w:t xml:space="preserve">Billing unit: </w:t>
      </w:r>
      <w:r>
        <w:t>Confirm whether the service charges for GPU time, tokens, requests, reserved capacity, or a combination, including minimum charges and rounding rules.</w:t>
      </w:r>
    </w:p>
    <w:p>
      <w:pPr>
        <w:ind w:left="245" w:hanging="245"/>
      </w:pPr>
      <w:r>
        <w:t xml:space="preserve">• </w:t>
      </w:r>
      <w:r>
        <w:rPr>
          <w:b/>
        </w:rPr>
        <w:t xml:space="preserve">Billable duration: </w:t>
      </w:r>
      <w:r>
        <w:t>For time-based charges, check whether startup, warm idle capacity, queued work, shutdown delays, and retries are billable. Count each billed period once.</w:t>
      </w:r>
    </w:p>
    <w:p>
      <w:pPr>
        <w:ind w:left="245" w:hanging="245"/>
      </w:pPr>
      <w:r>
        <w:t xml:space="preserve">• </w:t>
      </w:r>
      <w:r>
        <w:rPr>
          <w:b/>
        </w:rPr>
        <w:t xml:space="preserve">Other resources: </w:t>
      </w:r>
      <w:r>
        <w:t>Include separately charged storage, model artifacts, data transfer, and optional services. Check what is already bundled before adding costs.</w:t>
      </w:r>
    </w:p>
    <w:p>
      <w:pPr>
        <w:ind w:left="245" w:hanging="245"/>
      </w:pPr>
      <w:r>
        <w:t xml:space="preserve">• </w:t>
      </w:r>
      <w:r>
        <w:rPr>
          <w:b/>
        </w:rPr>
        <w:t xml:space="preserve">Failed requests: </w:t>
      </w:r>
      <w:r>
        <w:t>Check charges for errors, timeouts, and retries, as well as the application's behavior when a request is submitted more than once.</w:t>
      </w:r>
    </w:p>
    <w:p>
      <w:pPr>
        <w:keepLines/>
        <w:spacing w:before="100" w:after="200"/>
        <w:ind w:left="144"/>
        <w:shd w:fill="F3E8FF"/>
      </w:pPr>
      <w:r>
        <w:rPr>
          <w:rFonts w:ascii="Liberation Sans" w:hAnsi="Liberation Sans" w:eastAsia="Noto Sans CJK SC"/>
          <w:b/>
          <w:color w:val="5B21B6"/>
        </w:rPr>
        <w:t>Cost per useful result = total charges for the evaluation period ÷ results meeting the agreed quality and service requirements</w:t>
      </w:r>
    </w:p>
    <w:p>
      <w:r>
        <w:t>For illustration, $120 in total service charges divided by 200,000 qualifying results equals $0.0006 per result, or $0.60 per 1,000 results. These figures are hypothetical, not Glows.ai prices or benchmark results. Keep the result definition and request mix consistent when comparing services.</w:t>
      </w:r>
    </w:p>
    <w:p>
      <w:r>
        <w:t>For token-priced APIs, distinguish input and output tokens and apply the provider's published billing rules. For GPU-time services, include every billable replica and time interval. Estimate engineering effort separately if you are comparing full operating costs with a self-managed deployment.</w:t>
      </w:r>
    </w:p>
    <w:p>
      <w:r>
        <w:t>Test both an active period and an idle interval. Autoscaling may reduce excess capacity, but cold starts, minimum capacity, and billing granularity can change the savings. Choose based on the measured traffic pattern rather than a zero-cost-idle assumption.</w:t>
      </w:r>
    </w:p>
    <w:p>
      <w:r>
        <w:br w:type="page"/>
      </w:r>
    </w:p>
    <w:p>
      <w:pPr>
        <w:pStyle w:val="Heading2"/>
      </w:pPr>
      <w:r>
        <w:t>4. Prepare a repeatable deployment and recovery plan</w:t>
      </w:r>
    </w:p>
    <w:p>
      <w:pPr>
        <w:ind w:left="245" w:hanging="245"/>
      </w:pPr>
      <w:r>
        <w:t xml:space="preserve">1. </w:t>
      </w:r>
      <w:r>
        <w:rPr>
          <w:b/>
        </w:rPr>
        <w:t xml:space="preserve">Version the model and runtime. </w:t>
      </w:r>
      <w:r>
        <w:t>Record the weights or adapters, tokenizer, dependencies, and configuration. Confirm support for the architecture, quantization, and packaging format before deploying.</w:t>
      </w:r>
    </w:p>
    <w:p>
      <w:pPr>
        <w:ind w:left="245" w:hanging="245"/>
      </w:pPr>
      <w:r>
        <w:t xml:space="preserve">2. </w:t>
      </w:r>
      <w:r>
        <w:rPr>
          <w:b/>
        </w:rPr>
        <w:t xml:space="preserve">Test the actual endpoint interface. </w:t>
      </w:r>
      <w:r>
        <w:t>Verify authentication, request limits, streaming, and error handling. Similar HTTP or OpenAI-compatible interfaces can still differ in supported parameters and behavior.</w:t>
      </w:r>
    </w:p>
    <w:p>
      <w:pPr>
        <w:ind w:left="245" w:hanging="245"/>
      </w:pPr>
      <w:r>
        <w:t xml:space="preserve">3. </w:t>
      </w:r>
      <w:r>
        <w:rPr>
          <w:b/>
        </w:rPr>
        <w:t xml:space="preserve">Validate before switching traffic. </w:t>
      </w:r>
      <w:r>
        <w:t>Use representative requests to check quality, latency, memory, and costs. Keep a known working version and verify how your chosen deployment supports rollback or controlled traffic changes.</w:t>
      </w:r>
    </w:p>
    <w:p>
      <w:pPr>
        <w:ind w:left="245" w:hanging="245"/>
      </w:pPr>
      <w:r>
        <w:t xml:space="preserve">4. </w:t>
      </w:r>
      <w:r>
        <w:rPr>
          <w:b/>
        </w:rPr>
        <w:t xml:space="preserve">Plan failure handling. </w:t>
      </w:r>
      <w:r>
        <w:t>Set timeouts and bounded retries appropriate to the workload. Check duplicate-request behavior and rate limits so retries do not amplify an incident or create repeated charges.</w:t>
      </w:r>
    </w:p>
    <w:p>
      <w:r>
        <w:t>Monitor user-visible latency, completion quality, errors, queueing, and spend. Use provider telemetry where available and application-side measurements where needed. Model or configuration changes can alter both output quality and resource requirements, so repeat the test after material changes.</w:t>
      </w:r>
    </w:p>
    <w:p>
      <w:pPr>
        <w:pStyle w:val="Heading3"/>
      </w:pPr>
      <w:r>
        <w:t>Check security and governance separately</w:t>
      </w:r>
    </w:p>
    <w:p>
      <w:r>
        <w:t>Confirm processing location, isolation, encryption scope, retention, deletion, and access controls for prompts, outputs, weights, and logs. Avoid recording sensitive content unnecessarily. A globally distributed platform does not establish a particular data-residency guarantee, and dedicated resources alone do not establish regulatory compliance.</w:t>
      </w:r>
    </w:p>
    <w:p>
      <w:r>
        <w:t>Glows.ai Team provides shared GPU resources, environments, datasets, permissions, and quotas. Confirm how the selected inference deployment integrates with your team's access and budget processes. Do not assume that SSO, endpoint-specific audit trails, or deployment approvals are included without checking.</w:t>
      </w:r>
    </w:p>
    <w:p>
      <w:r>
        <w:br w:type="page"/>
      </w:r>
    </w:p>
    <w:p>
      <w:pPr>
        <w:pStyle w:val="Heading2"/>
      </w:pPr>
      <w:r>
        <w:t>Frequently asked questions</w:t>
      </w:r>
    </w:p>
    <w:p>
      <w:pPr>
        <w:pStyle w:val="Heading3"/>
      </w:pPr>
      <w:r>
        <w:t>Does serverless GPU inference always scale to zero?</w:t>
      </w:r>
    </w:p>
    <w:p>
      <w:r>
        <w:t>No. Check the specific service's minimum capacity, idle policy, and billing. Glows.ai Inference on Cloud supports autoscaling; confirm scale-to-zero behavior and any remaining charges directly before relying on them in a budget or application design.</w:t>
      </w:r>
    </w:p>
    <w:p>
      <w:pPr>
        <w:pStyle w:val="Heading3"/>
      </w:pPr>
      <w:r>
        <w:t>When should I consider dedicated inference?</w:t>
      </w:r>
    </w:p>
    <w:p>
      <w:r>
        <w:t>Evaluate dedicated resources when isolation is important to your deployment. Glows.ai Inference on Dedicated Cloud provides isolated resources and end-to-end encryption. Confirm the implementation, operating terms, and data-handling requirements rather than assuming a compliance certification or deterministic performance.</w:t>
      </w:r>
    </w:p>
    <w:p>
      <w:pPr>
        <w:pStyle w:val="Heading3"/>
      </w:pPr>
      <w:r>
        <w:t>Can I use GPU instance prices to estimate serverless token costs?</w:t>
      </w:r>
    </w:p>
    <w:p>
      <w:r>
        <w:t>Not directly. Instance rates and managed endpoint pricing may cover different services. Obtain the applicable quote, measure throughput at your required latency and quality, and include startup, idle capacity, and other charges specified by that service.</w:t>
      </w:r>
    </w:p>
    <w:p>
      <w:pPr>
        <w:pStyle w:val="Heading3"/>
      </w:pPr>
      <w:r>
        <w:t>How can I reduce cold-start delays?</w:t>
      </w:r>
    </w:p>
    <w:p>
      <w:r>
        <w:t>Measure where the delay occurs, then evaluate supported warm-capacity or model-loading options. Compare the latency benefit with any additional idle cost. Confirm available controls with the provider instead of assuming warm pools or regional pre-warming are supported.</w:t>
      </w:r>
    </w:p>
    <w:p>
      <w:pPr>
        <w:pStyle w:val="Heading3"/>
      </w:pPr>
      <w:r>
        <w:t>Is a managed endpoint always cheaper than running my own GPU?</w:t>
      </w:r>
    </w:p>
    <w:p>
      <w:r>
        <w:t>No. Compare the same workload, quality, and response targets across a representative traffic pattern. Include idle resources and operational work for self-managed instances, and all applicable managed-service charges. The result depends on actual utilization and service terms.</w:t>
      </w:r>
    </w:p>
    <w:p>
      <w:pPr>
        <w:pStyle w:val="Heading2"/>
      </w:pPr>
      <w:r>
        <w:t>Start with an endpoint evaluation</w:t>
      </w:r>
    </w:p>
    <w:p>
      <w:r>
        <w:t>Define what a useful result means, test realistic traffic, and compare the full service cost. Explore Glows.ai Inference on Cloud for autoscaling inference, or discuss Inference on Dedicated Cloud when isolation is a deployment priority.</w:t>
      </w:r>
    </w:p>
    <w:p>
      <w:pPr>
        <w:spacing w:after="80"/>
      </w:pPr>
      <w:hyperlink r:id="rId11">
        <w:r>
          <w:rPr>
            <w:color w:val="7C3AED"/>
            <w:u w:val="single"/>
          </w:rPr>
          <w:t>Explore Inference on Cloud</w:t>
        </w:r>
      </w:hyperlink>
    </w:p>
    <w:p>
      <w:pPr>
        <w:spacing w:after="80"/>
      </w:pPr>
      <w:hyperlink r:id="rId12">
        <w:r>
          <w:rPr>
            <w:color w:val="7C3AED"/>
            <w:u w:val="single"/>
          </w:rPr>
          <w:t>Explore Inference on Dedicated Cloud</w:t>
        </w:r>
      </w:hyperlink>
    </w:p>
    <w:p>
      <w:pPr>
        <w:spacing w:after="80"/>
      </w:pPr>
      <w:hyperlink r:id="rId13">
        <w:r>
          <w:rPr>
            <w:color w:val="7C3AED"/>
            <w:u w:val="single"/>
          </w:rPr>
          <w:t>Explore Glows.ai Team</w:t>
        </w:r>
      </w:hyperlink>
    </w:p>
    <w:p>
      <w:pPr>
        <w:spacing w:after="80"/>
      </w:pPr>
      <w:hyperlink r:id="rId14">
        <w:r>
          <w:rPr>
            <w:color w:val="7C3AED"/>
            <w:u w:val="single"/>
          </w:rPr>
          <w:t>Contact Glows.ai</w:t>
        </w:r>
      </w:hyperlink>
    </w:p>
    <w:sectPr w:rsidR="00FC693F" w:rsidRPr="0006063C" w:rsidSect="00034616">
      <w:headerReference w:type="default" r:id="rId9"/>
      <w:footerReference w:type="default" r:id="rId10"/>
      <w:pgSz w:w="11905" w:h="16838"/>
      <w:pgMar w:top="1051"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Developer guides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Liberation Sans" w:hAnsi="Liberation Sans" w:eastAsia="Noto Sans CJK SC"/>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52" w:lineRule="auto"/>
      <w:outlineLvl w:val="0"/>
    </w:pPr>
    <w:rPr>
      <w:rFonts w:asciiTheme="majorHAnsi" w:eastAsiaTheme="majorEastAsia" w:hAnsiTheme="majorHAnsi" w:cstheme="majorBidi" w:ascii="Liberation Sans" w:hAnsi="Liberation Sans" w:eastAsia="Noto Sans CJK SC"/>
      <w:b/>
      <w:bCs/>
      <w:color w:val="5B21B6"/>
      <w:sz w:val="48"/>
      <w:szCs w:val="28"/>
    </w:rPr>
  </w:style>
  <w:style w:type="paragraph" w:styleId="Heading2">
    <w:name w:val="heading 2"/>
    <w:basedOn w:val="Normal"/>
    <w:next w:val="Normal"/>
    <w:link w:val="Heading2Char"/>
    <w:uiPriority w:val="9"/>
    <w:unhideWhenUsed/>
    <w:qFormat/>
    <w:rsid w:val="00FC693F"/>
    <w:pPr>
      <w:keepNext/>
      <w:keepLines/>
      <w:spacing w:before="260" w:after="160" w:line="252" w:lineRule="auto"/>
      <w:outlineLvl w:val="1"/>
    </w:pPr>
    <w:rPr>
      <w:rFonts w:asciiTheme="majorHAnsi" w:eastAsiaTheme="majorEastAsia" w:hAnsiTheme="majorHAnsi" w:cstheme="majorBidi" w:ascii="Liberation Sans" w:hAnsi="Liberation Sans" w:eastAsia="Noto Sans CJK SC"/>
      <w:b/>
      <w:bCs/>
      <w:color w:val="5B21B6"/>
      <w:sz w:val="30"/>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Liberation Sans" w:hAnsi="Liberation Sans" w:eastAsia="Noto Sans CJK SC"/>
      <w:b/>
      <w:bCs/>
      <w:color w:val="5B21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C3AE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B21B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B21B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C3AE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B21B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C3AE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C3AED"/>
    </w:rPr>
  </w:style>
  <w:style w:type="paragraph" w:styleId="Title">
    <w:name w:val="Title"/>
    <w:basedOn w:val="Normal"/>
    <w:next w:val="Normal"/>
    <w:link w:val="TitleChar"/>
    <w:uiPriority w:val="10"/>
    <w:qFormat/>
    <w:rsid w:val="00FC693F"/>
    <w:pPr>
      <w:pBdr>
        <w:bottom w:val="single" w:sz="8" w:space="4" w:color="7C3AED"/>
      </w:pBdr>
      <w:spacing w:after="300" w:line="240" w:lineRule="auto"/>
      <w:contextualSpacing/>
    </w:pPr>
    <w:rPr>
      <w:rFonts w:asciiTheme="majorHAnsi" w:eastAsiaTheme="majorEastAsia" w:hAnsiTheme="majorHAnsi" w:cstheme="majorBidi"/>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B21B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C3AE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C3AE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Liberation Sans" w:hAnsi="Liberation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C3AE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B21B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B21B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C3AE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C3AE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C3AED"/>
      </w:pBdr>
      <w:spacing w:before="200" w:after="280"/>
      <w:ind w:left="936" w:right="936"/>
    </w:pPr>
    <w:rPr>
      <w:b/>
      <w:bCs/>
      <w:i/>
      <w:iCs/>
      <w:color w:val="7C3AED"/>
    </w:rPr>
  </w:style>
  <w:style w:type="character" w:customStyle="1" w:styleId="IntenseQuoteChar">
    <w:name w:val="Intense Quote Char"/>
    <w:basedOn w:val="DefaultParagraphFont"/>
    <w:link w:val="IntenseQuote"/>
    <w:uiPriority w:val="30"/>
    <w:rsid w:val="00FC693F"/>
    <w:rPr>
      <w:b/>
      <w:bCs/>
      <w:i/>
      <w:iCs/>
      <w:color w:val="7C3AE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C3AED"/>
    </w:rPr>
  </w:style>
  <w:style w:type="character" w:styleId="SubtleReference">
    <w:name w:val="Subtle Reference"/>
    <w:basedOn w:val="DefaultParagraphFont"/>
    <w:uiPriority w:val="31"/>
    <w:qFormat/>
    <w:rsid w:val="00FC693F"/>
    <w:rPr>
      <w:smallCaps/>
      <w:color w:val="7C3AED"/>
      <w:u w:val="single"/>
    </w:rPr>
  </w:style>
  <w:style w:type="character" w:styleId="IntenseReference">
    <w:name w:val="Intense Reference"/>
    <w:basedOn w:val="DefaultParagraphFont"/>
    <w:uiPriority w:val="32"/>
    <w:qFormat/>
    <w:rsid w:val="00FC693F"/>
    <w:rPr>
      <w:b/>
      <w:bCs/>
      <w:smallCaps/>
      <w:color w:val="7C3AE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2">
    <w:name w:val="Light Shading Accent 2"/>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3">
    <w:name w:val="Light Shading Accent 3"/>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4">
    <w:name w:val="Light Shading Accent 4"/>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5">
    <w:name w:val="Light Shading Accent 5"/>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6">
    <w:name w:val="Light Shading Accent 6"/>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B21B6"/>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21B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C3AE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C3AE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B21B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B21B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C3AE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B21B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C3AE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C3AED"/>
    </w:rPr>
  </w:style>
  <w:style w:type="paragraph" w:styleId="Title">
    <w:name w:val="Title"/>
    <w:basedOn w:val="Normal"/>
    <w:next w:val="Normal"/>
    <w:link w:val="TitleChar"/>
    <w:uiPriority w:val="10"/>
    <w:qFormat/>
    <w:rsid w:val="00FC693F"/>
    <w:pPr>
      <w:pBdr>
        <w:bottom w:val="single" w:sz="8" w:space="4" w:color="7C3AED"/>
      </w:pBdr>
      <w:spacing w:after="300" w:line="240" w:lineRule="auto"/>
      <w:contextualSpacing/>
    </w:pPr>
    <w:rPr>
      <w:rFonts w:asciiTheme="majorHAnsi" w:eastAsiaTheme="majorEastAsia" w:hAnsiTheme="majorHAnsi" w:cstheme="majorBidi"/>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B21B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C3AE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C3AE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C3AE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B21B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B21B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C3AE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C3AE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C3AED"/>
      </w:pBdr>
      <w:spacing w:before="200" w:after="280"/>
      <w:ind w:left="936" w:right="936"/>
    </w:pPr>
    <w:rPr>
      <w:b/>
      <w:bCs/>
      <w:i/>
      <w:iCs/>
      <w:color w:val="7C3AED"/>
    </w:rPr>
  </w:style>
  <w:style w:type="character" w:customStyle="1" w:styleId="IntenseQuoteChar">
    <w:name w:val="Intense Quote Char"/>
    <w:basedOn w:val="DefaultParagraphFont"/>
    <w:link w:val="IntenseQuote"/>
    <w:uiPriority w:val="30"/>
    <w:rsid w:val="00FC693F"/>
    <w:rPr>
      <w:b/>
      <w:bCs/>
      <w:i/>
      <w:iCs/>
      <w:color w:val="7C3AE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C3AED"/>
    </w:rPr>
  </w:style>
  <w:style w:type="character" w:styleId="SubtleReference">
    <w:name w:val="Subtle Reference"/>
    <w:basedOn w:val="DefaultParagraphFont"/>
    <w:uiPriority w:val="31"/>
    <w:qFormat/>
    <w:rsid w:val="00FC693F"/>
    <w:rPr>
      <w:smallCaps/>
      <w:color w:val="7C3AED"/>
      <w:u w:val="single"/>
    </w:rPr>
  </w:style>
  <w:style w:type="character" w:styleId="IntenseReference">
    <w:name w:val="Intense Reference"/>
    <w:basedOn w:val="DefaultParagraphFont"/>
    <w:uiPriority w:val="32"/>
    <w:qFormat/>
    <w:rsid w:val="00FC693F"/>
    <w:rPr>
      <w:b/>
      <w:bCs/>
      <w:smallCaps/>
      <w:color w:val="7C3AE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2">
    <w:name w:val="Light Shading Accent 2"/>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3">
    <w:name w:val="Light Shading Accent 3"/>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4">
    <w:name w:val="Light Shading Accent 4"/>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5">
    <w:name w:val="Light Shading Accent 5"/>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6">
    <w:name w:val="Light Shading Accent 6"/>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B21B6"/>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lows.ai/product/inference-on-cloud" TargetMode="External"/><Relationship Id="rId12" Type="http://schemas.openxmlformats.org/officeDocument/2006/relationships/hyperlink" Target="https://glows.ai/product/inference-on-dedicated-cloud" TargetMode="External"/><Relationship Id="rId13" Type="http://schemas.openxmlformats.org/officeDocument/2006/relationships/hyperlink" Target="https://glows.ai/product/glows-ai-team" TargetMode="External"/><Relationship Id="rId14" Type="http://schemas.openxmlformats.org/officeDocument/2006/relationships/hyperlink" Target="mailto:hi@glows.ai"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Serverless GPU Platforms for AI Inference: A 2026 Guide</dc:title>
  <dc:subject>Glows.ai official English GPU cloud guide</dc:subject>
  <dc:creator>Glows.ai</dc:creator>
  <cp:keywords/>
  <dc:description>generated by python-docx</dc:description>
  <cp:lastModifiedBy/>
  <cp:revision>1</cp:revision>
  <dcterms:created xsi:type="dcterms:W3CDTF">2013-12-23T23:15:00Z</dcterms:created>
  <dcterms:modified xsi:type="dcterms:W3CDTF">2013-12-23T23:15:00Z</dcterms:modified>
  <cp:category/>
</cp:coreProperties>
</file>