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1afaa5424573c0c13bc89ead612db7e1ae69615"/>
    <w:p>
      <w:pPr>
        <w:pStyle w:val="Heading1"/>
      </w:pPr>
      <w:r>
        <w:t xml:space="preserve">8 GPU Cloud Providers for AI and ML in 2026: How to Choose</w:t>
      </w:r>
    </w:p>
    <w:p>
      <w:pPr>
        <w:pStyle w:val="FirstParagraph"/>
      </w:pPr>
      <w:r>
        <w:t xml:space="preserve">By Glows.ai</w:t>
      </w:r>
    </w:p>
    <w:p>
      <w:pPr>
        <w:pStyle w:val="BodyText"/>
      </w:pPr>
      <w:r>
        <w:t xml:space="preserve">The best GPU cloud provider depends on the workload: fine-tuning an LLM, training a vision model, serving an API, or running ComfyUI. GPU memory, software setup, billing, and operational requirements all affect the decision.</w:t>
      </w:r>
    </w:p>
    <w:p>
      <w:pPr>
        <w:pStyle w:val="BodyText"/>
      </w:pPr>
      <w:r>
        <w:t xml:space="preserve">Glows.ai combines on-demand NVIDIA GPUs, public hourly rates, per-second compute billing, preconfigured AI environments, and shared team resources. It is a practical option for developers and startups that want direct control of their environment and a clear experiment budget.</w:t>
      </w:r>
    </w:p>
    <w:p>
      <w:pPr>
        <w:pStyle w:val="BodyText"/>
      </w:pPr>
      <w:r>
        <w:t xml:space="preserve">Below are eight options to compare, including major cloud platforms, AI-focused infrastructure providers, and NVIDIA’s cloud AI offering.</w:t>
      </w:r>
    </w:p>
    <w:bookmarkStart w:id="20" w:name="what-to-look-for-in-a-cloud-gpu-provider"/>
    <w:p>
      <w:pPr>
        <w:pStyle w:val="Heading2"/>
        <w:pageBreakBefore w:val="0"/>
        <w:spacing w:before="240" w:after="120"/>
      </w:pPr>
      <w:r>
        <w:t xml:space="preserve">What to look for in a cloud GPU provider</w:t>
      </w:r>
    </w:p>
    <w:p>
      <w:pPr>
        <w:pStyle w:val="Compact"/>
        <w:numPr>
          <w:ilvl w:val="0"/>
          <w:numId w:val="1001"/>
        </w:numPr>
      </w:pPr>
      <w:r>
        <w:rPr>
          <w:b/>
          <w:bCs/>
        </w:rPr>
        <w:t xml:space="preserve">Hardware fit:</w:t>
      </w:r>
      <w:r>
        <w:t xml:space="preserve"> </w:t>
      </w:r>
      <w:r>
        <w:t xml:space="preserve">Match GPU memory to the model, training method, batch size, context length, and concurrency. For distributed work, check the actual interconnect and topology.</w:t>
      </w:r>
    </w:p>
    <w:p>
      <w:pPr>
        <w:pStyle w:val="Compact"/>
        <w:numPr>
          <w:ilvl w:val="0"/>
          <w:numId w:val="1001"/>
        </w:numPr>
      </w:pPr>
      <w:r>
        <w:rPr>
          <w:b/>
          <w:bCs/>
        </w:rPr>
        <w:t xml:space="preserve">Total cost:</w:t>
      </w:r>
      <w:r>
        <w:t xml:space="preserve"> </w:t>
      </w:r>
      <w:r>
        <w:t xml:space="preserve">Compare billable duration, minimum rental size, storage, transfer, and purchasing terms.</w:t>
      </w:r>
    </w:p>
    <w:p>
      <w:pPr>
        <w:pStyle w:val="Compact"/>
        <w:numPr>
          <w:ilvl w:val="0"/>
          <w:numId w:val="1001"/>
        </w:numPr>
      </w:pPr>
      <w:r>
        <w:rPr>
          <w:b/>
          <w:bCs/>
        </w:rPr>
        <w:t xml:space="preserve">Developer workflow:</w:t>
      </w:r>
      <w:r>
        <w:t xml:space="preserve"> </w:t>
      </w:r>
      <w:r>
        <w:t xml:space="preserve">Look for suitable images, inspection access, and a repeatable launch process.</w:t>
      </w:r>
    </w:p>
    <w:p>
      <w:pPr>
        <w:pStyle w:val="Compact"/>
        <w:numPr>
          <w:ilvl w:val="0"/>
          <w:numId w:val="1001"/>
        </w:numPr>
      </w:pPr>
      <w:r>
        <w:rPr>
          <w:b/>
          <w:bCs/>
        </w:rPr>
        <w:t xml:space="preserve">Scale and team controls:</w:t>
      </w:r>
      <w:r>
        <w:t xml:space="preserve"> </w:t>
      </w:r>
      <w:r>
        <w:t xml:space="preserve">Evaluate capacity, shared resources, permissions, and operational ownership.</w:t>
      </w:r>
    </w:p>
    <w:p>
      <w:pPr>
        <w:pStyle w:val="Compact"/>
        <w:numPr>
          <w:ilvl w:val="0"/>
          <w:numId w:val="1001"/>
        </w:numPr>
      </w:pPr>
      <w:r>
        <w:rPr>
          <w:b/>
          <w:bCs/>
        </w:rPr>
        <w:t xml:space="preserve">Security requirements:</w:t>
      </w:r>
      <w:r>
        <w:t xml:space="preserve"> </w:t>
      </w:r>
      <w:r>
        <w:t xml:space="preserve">Confirm access controls, data handling, and any required certifications for the specific service and agreement.</w:t>
      </w:r>
    </w:p>
    <w:bookmarkEnd w:id="20"/>
    <w:bookmarkStart w:id="29" w:name="cloud-gpu-providers-compared"/>
    <w:p>
      <w:pPr>
        <w:pStyle w:val="Heading2"/>
        <w:pageBreakBefore w:val="0"/>
        <w:spacing w:before="240" w:after="120"/>
      </w:pPr>
      <w:r>
        <w:t xml:space="preserve">Cloud GPU providers compared</w:t>
      </w:r>
    </w:p>
    <w:p>
      <w:pPr>
        <w:pStyle w:val="FirstParagraph"/>
      </w:pPr>
      <w:r>
        <w:t xml:space="preserve">This is an unranked shortlist published by Glows.ai.</w:t>
      </w:r>
    </w:p>
    <w:tbl>
      <w:tblPr>
        <w:tblStyle w:val="Table"/>
        <w:tblW w:type="dxa" w:w="9601"/>
        <w:jc w:val="left"/>
        <w:tblLayout w:type="fixed"/>
        <w:tblLook w:firstRow="1" w:lastRow="0" w:firstColumn="0" w:lastColumn="0" w:noHBand="0" w:noVBand="0" w:val="0020"/>
      </w:tblPr>
      <w:tblGrid>
        <w:gridCol w:w="2112"/>
        <w:gridCol w:w="3648"/>
        <w:gridCol w:w="3841"/>
      </w:tblGrid>
      <w:tr>
        <w:trPr>
          <w:tblHeader w:val="on"/>
          <w:cantSplit/>
          <w:tblHeader/>
        </w:trPr>
        <w:tc>
          <w:tcPr>
            <w:tcW w:type="dxa" w:w="2112"/>
            <w:vAlign w:val="top"/>
            <w:shd w:fill="5B21B6"/>
          </w:tcPr>
          <w:p>
            <w:pPr>
              <w:keepNext w:val="0"/>
              <w:pageBreakBefore w:val="0"/>
              <w:spacing w:before="40" w:after="60" w:line="240" w:lineRule="auto"/>
              <w:jc w:val="left"/>
            </w:pPr>
            <w:r>
              <w:rPr>
                <w:b/>
                <w:color w:val="FFFFFF"/>
                <w:sz w:val="19"/>
              </w:rPr>
              <w:t xml:space="preserve">Provider or offering</w:t>
            </w:r>
          </w:p>
        </w:tc>
        <w:tc>
          <w:tcPr>
            <w:tcW w:type="dxa" w:w="3648"/>
            <w:vAlign w:val="top"/>
            <w:shd w:fill="5B21B6"/>
          </w:tcPr>
          <w:p>
            <w:pPr>
              <w:keepNext w:val="0"/>
              <w:pageBreakBefore w:val="0"/>
              <w:spacing w:before="40" w:after="60" w:line="240" w:lineRule="auto"/>
              <w:jc w:val="left"/>
            </w:pPr>
            <w:r>
              <w:rPr>
                <w:b/>
                <w:color w:val="FFFFFF"/>
                <w:sz w:val="19"/>
              </w:rPr>
              <w:t xml:space="preserve">Consider it for</w:t>
            </w:r>
          </w:p>
        </w:tc>
        <w:tc>
          <w:tcPr>
            <w:tcW w:type="dxa" w:w="3841"/>
            <w:vAlign w:val="top"/>
            <w:shd w:fill="5B21B6"/>
          </w:tcPr>
          <w:p>
            <w:pPr>
              <w:keepNext w:val="0"/>
              <w:pageBreakBefore w:val="0"/>
              <w:spacing w:before="40" w:after="60" w:line="240" w:lineRule="auto"/>
              <w:jc w:val="left"/>
            </w:pPr>
            <w:r>
              <w:rPr>
                <w:b/>
                <w:color w:val="FFFFFF"/>
                <w:sz w:val="19"/>
              </w:rPr>
              <w:t xml:space="preserve">What to evaluate</w:t>
            </w:r>
          </w:p>
        </w:tc>
      </w:tr>
      <w:tr>
        <w:trPr>
          <w:cantSplit/>
        </w:trPr>
        <w:tc>
          <w:tcPr>
            <w:tcW w:type="dxa" w:w="2112"/>
            <w:vAlign w:val="top"/>
            <w:shd w:fill="F5F0FF"/>
          </w:tcPr>
          <w:p>
            <w:pPr>
              <w:keepNext w:val="0"/>
              <w:pageBreakBefore w:val="0"/>
              <w:spacing w:before="40" w:after="60" w:line="240" w:lineRule="auto"/>
              <w:jc w:val="left"/>
            </w:pPr>
            <w:hyperlink r:id="rId21">
              <w:r>
                <w:rPr>
                  <w:rStyle w:val="Hyperlink"/>
                  <w:b/>
                  <w:bCs/>
                </w:rPr>
                <w:t xml:space="preserve">Glows.ai</w:t>
              </w:r>
            </w:hyperlink>
          </w:p>
        </w:tc>
        <w:tc>
          <w:tcPr>
            <w:tcW w:type="dxa" w:w="3648"/>
            <w:vAlign w:val="top"/>
            <w:shd w:fill="F5F0FF"/>
          </w:tcPr>
          <w:p>
            <w:pPr>
              <w:keepNext w:val="0"/>
              <w:pageBreakBefore w:val="0"/>
              <w:spacing w:before="40" w:after="60" w:line="240" w:lineRule="auto"/>
              <w:jc w:val="left"/>
            </w:pPr>
            <w:r>
              <w:rPr>
                <w:color w:val="242424"/>
                <w:sz w:val="19"/>
              </w:rPr>
              <w:t xml:space="preserve">On-demand AI development, fine-tuning, self-hosted inference, and team workflows</w:t>
            </w:r>
          </w:p>
        </w:tc>
        <w:tc>
          <w:tcPr>
            <w:tcW w:type="dxa" w:w="3841"/>
            <w:vAlign w:val="top"/>
            <w:shd w:fill="F5F0FF"/>
          </w:tcPr>
          <w:p>
            <w:pPr>
              <w:keepNext w:val="0"/>
              <w:pageBreakBefore w:val="0"/>
              <w:spacing w:before="40" w:after="60" w:line="240" w:lineRule="auto"/>
              <w:jc w:val="left"/>
            </w:pPr>
            <w:r>
              <w:rPr>
                <w:color w:val="242424"/>
                <w:sz w:val="19"/>
              </w:rPr>
              <w:t xml:space="preserve">Public rates, per-second compute billing, selected image and GPU fit</w:t>
            </w:r>
          </w:p>
        </w:tc>
      </w:tr>
      <w:tr>
        <w:trPr>
          <w:cantSplit/>
        </w:trPr>
        <w:tc>
          <w:tcPr>
            <w:tcW w:type="dxa" w:w="2112"/>
            <w:vAlign w:val="top"/>
            <w:shd w:fill="FFFFFF"/>
          </w:tcPr>
          <w:p>
            <w:pPr>
              <w:keepNext w:val="0"/>
              <w:pageBreakBefore w:val="0"/>
              <w:spacing w:before="40" w:after="60" w:line="240" w:lineRule="auto"/>
              <w:jc w:val="left"/>
            </w:pPr>
            <w:hyperlink r:id="rId22">
              <w:r>
                <w:rPr>
                  <w:rStyle w:val="Hyperlink"/>
                  <w:b/>
                  <w:bCs/>
                </w:rPr>
                <w:t xml:space="preserve">AWS</w:t>
              </w:r>
            </w:hyperlink>
          </w:p>
        </w:tc>
        <w:tc>
          <w:tcPr>
            <w:tcW w:type="dxa" w:w="3648"/>
            <w:vAlign w:val="top"/>
            <w:shd w:fill="FFFFFF"/>
          </w:tcPr>
          <w:p>
            <w:pPr>
              <w:keepNext w:val="0"/>
              <w:pageBreakBefore w:val="0"/>
              <w:spacing w:before="40" w:after="60" w:line="240" w:lineRule="auto"/>
              <w:jc w:val="left"/>
            </w:pPr>
            <w:r>
              <w:rPr>
                <w:color w:val="242424"/>
                <w:sz w:val="19"/>
              </w:rPr>
              <w:t xml:space="preserve">GPU workloads alongside existing AWS applications and data</w:t>
            </w:r>
          </w:p>
        </w:tc>
        <w:tc>
          <w:tcPr>
            <w:tcW w:type="dxa" w:w="3841"/>
            <w:vAlign w:val="top"/>
            <w:shd w:fill="FFFFFF"/>
          </w:tcPr>
          <w:p>
            <w:pPr>
              <w:keepNext w:val="0"/>
              <w:pageBreakBefore w:val="0"/>
              <w:spacing w:before="40" w:after="60" w:line="240" w:lineRule="auto"/>
              <w:jc w:val="left"/>
            </w:pPr>
            <w:r>
              <w:rPr>
                <w:color w:val="242424"/>
                <w:sz w:val="19"/>
              </w:rPr>
              <w:t xml:space="preserve">Instance configuration, purchasing model, storage, and transfer</w:t>
            </w:r>
          </w:p>
        </w:tc>
      </w:tr>
      <w:tr>
        <w:trPr>
          <w:cantSplit/>
        </w:trPr>
        <w:tc>
          <w:tcPr>
            <w:tcW w:type="dxa" w:w="2112"/>
            <w:vAlign w:val="top"/>
            <w:shd w:fill="F5F0FF"/>
          </w:tcPr>
          <w:p>
            <w:pPr>
              <w:keepNext w:val="0"/>
              <w:pageBreakBefore w:val="0"/>
              <w:spacing w:before="40" w:after="60" w:line="240" w:lineRule="auto"/>
              <w:jc w:val="left"/>
            </w:pPr>
            <w:hyperlink r:id="rId23">
              <w:r>
                <w:rPr>
                  <w:rStyle w:val="Hyperlink"/>
                  <w:b/>
                  <w:bCs/>
                </w:rPr>
                <w:t xml:space="preserve">Google Cloud</w:t>
              </w:r>
            </w:hyperlink>
          </w:p>
        </w:tc>
        <w:tc>
          <w:tcPr>
            <w:tcW w:type="dxa" w:w="3648"/>
            <w:vAlign w:val="top"/>
            <w:shd w:fill="F5F0FF"/>
          </w:tcPr>
          <w:p>
            <w:pPr>
              <w:keepNext w:val="0"/>
              <w:pageBreakBefore w:val="0"/>
              <w:spacing w:before="40" w:after="60" w:line="240" w:lineRule="auto"/>
              <w:jc w:val="left"/>
            </w:pPr>
            <w:r>
              <w:rPr>
                <w:color w:val="242424"/>
                <w:sz w:val="19"/>
              </w:rPr>
              <w:t xml:space="preserve">GPU compute within an existing data or ML workflow</w:t>
            </w:r>
          </w:p>
        </w:tc>
        <w:tc>
          <w:tcPr>
            <w:tcW w:type="dxa" w:w="3841"/>
            <w:vAlign w:val="top"/>
            <w:shd w:fill="F5F0FF"/>
          </w:tcPr>
          <w:p>
            <w:pPr>
              <w:keepNext w:val="0"/>
              <w:pageBreakBefore w:val="0"/>
              <w:spacing w:before="40" w:after="60" w:line="240" w:lineRule="auto"/>
              <w:jc w:val="left"/>
            </w:pPr>
            <w:r>
              <w:rPr>
                <w:color w:val="242424"/>
                <w:sz w:val="19"/>
              </w:rPr>
              <w:t xml:space="preserve">Selected service, accelerator configuration, quotas, and data movement</w:t>
            </w:r>
          </w:p>
        </w:tc>
      </w:tr>
      <w:tr>
        <w:trPr>
          <w:cantSplit/>
        </w:trPr>
        <w:tc>
          <w:tcPr>
            <w:tcW w:type="dxa" w:w="2112"/>
            <w:vAlign w:val="top"/>
            <w:shd w:fill="FFFFFF"/>
          </w:tcPr>
          <w:p>
            <w:pPr>
              <w:keepNext w:val="0"/>
              <w:pageBreakBefore w:val="0"/>
              <w:spacing w:before="40" w:after="60" w:line="240" w:lineRule="auto"/>
              <w:jc w:val="left"/>
            </w:pPr>
            <w:hyperlink r:id="rId24">
              <w:r>
                <w:rPr>
                  <w:rStyle w:val="Hyperlink"/>
                  <w:b/>
                  <w:bCs/>
                </w:rPr>
                <w:t xml:space="preserve">Microsoft Azure</w:t>
              </w:r>
            </w:hyperlink>
          </w:p>
        </w:tc>
        <w:tc>
          <w:tcPr>
            <w:tcW w:type="dxa" w:w="3648"/>
            <w:vAlign w:val="top"/>
            <w:shd w:fill="FFFFFF"/>
          </w:tcPr>
          <w:p>
            <w:pPr>
              <w:keepNext w:val="0"/>
              <w:pageBreakBefore w:val="0"/>
              <w:spacing w:before="40" w:after="60" w:line="240" w:lineRule="auto"/>
              <w:jc w:val="left"/>
            </w:pPr>
            <w:r>
              <w:rPr>
                <w:color w:val="242424"/>
                <w:sz w:val="19"/>
              </w:rPr>
              <w:t xml:space="preserve">Extending a Microsoft cloud environment</w:t>
            </w:r>
          </w:p>
        </w:tc>
        <w:tc>
          <w:tcPr>
            <w:tcW w:type="dxa" w:w="3841"/>
            <w:vAlign w:val="top"/>
            <w:shd w:fill="FFFFFF"/>
          </w:tcPr>
          <w:p>
            <w:pPr>
              <w:keepNext w:val="0"/>
              <w:pageBreakBefore w:val="0"/>
              <w:spacing w:before="40" w:after="60" w:line="240" w:lineRule="auto"/>
              <w:jc w:val="left"/>
            </w:pPr>
            <w:r>
              <w:rPr>
                <w:color w:val="242424"/>
                <w:sz w:val="19"/>
              </w:rPr>
              <w:t xml:space="preserve">Configuration, capacity, identity integration, and service-specific requirements</w:t>
            </w:r>
          </w:p>
        </w:tc>
      </w:tr>
      <w:tr>
        <w:trPr>
          <w:cantSplit/>
        </w:trPr>
        <w:tc>
          <w:tcPr>
            <w:tcW w:type="dxa" w:w="2112"/>
            <w:vAlign w:val="top"/>
            <w:shd w:fill="F5F0FF"/>
          </w:tcPr>
          <w:p>
            <w:pPr>
              <w:keepNext w:val="0"/>
              <w:pageBreakBefore w:val="0"/>
              <w:spacing w:before="40" w:after="60" w:line="240" w:lineRule="auto"/>
              <w:jc w:val="left"/>
            </w:pPr>
            <w:hyperlink r:id="rId25">
              <w:r>
                <w:rPr>
                  <w:rStyle w:val="Hyperlink"/>
                  <w:b/>
                  <w:bCs/>
                </w:rPr>
                <w:t xml:space="preserve">CoreWeave</w:t>
              </w:r>
            </w:hyperlink>
          </w:p>
        </w:tc>
        <w:tc>
          <w:tcPr>
            <w:tcW w:type="dxa" w:w="3648"/>
            <w:vAlign w:val="top"/>
            <w:shd w:fill="F5F0FF"/>
          </w:tcPr>
          <w:p>
            <w:pPr>
              <w:keepNext w:val="0"/>
              <w:pageBreakBefore w:val="0"/>
              <w:spacing w:before="40" w:after="60" w:line="240" w:lineRule="auto"/>
              <w:jc w:val="left"/>
            </w:pPr>
            <w:r>
              <w:rPr>
                <w:color w:val="242424"/>
                <w:sz w:val="19"/>
              </w:rPr>
              <w:t xml:space="preserve">AI infrastructure with substantial orchestration needs</w:t>
            </w:r>
          </w:p>
        </w:tc>
        <w:tc>
          <w:tcPr>
            <w:tcW w:type="dxa" w:w="3841"/>
            <w:vAlign w:val="top"/>
            <w:shd w:fill="F5F0FF"/>
          </w:tcPr>
          <w:p>
            <w:pPr>
              <w:keepNext w:val="0"/>
              <w:pageBreakBefore w:val="0"/>
              <w:spacing w:before="40" w:after="60" w:line="240" w:lineRule="auto"/>
              <w:jc w:val="left"/>
            </w:pPr>
            <w:r>
              <w:rPr>
                <w:color w:val="242424"/>
                <w:sz w:val="19"/>
              </w:rPr>
              <w:t xml:space="preserve">Deployment model, capacity, networking, and operational responsibility</w:t>
            </w:r>
          </w:p>
        </w:tc>
      </w:tr>
      <w:tr>
        <w:trPr>
          <w:cantSplit/>
        </w:trPr>
        <w:tc>
          <w:tcPr>
            <w:tcW w:type="dxa" w:w="2112"/>
            <w:vAlign w:val="top"/>
            <w:shd w:fill="FFFFFF"/>
          </w:tcPr>
          <w:p>
            <w:pPr>
              <w:keepNext w:val="0"/>
              <w:pageBreakBefore w:val="0"/>
              <w:spacing w:before="40" w:after="60" w:line="240" w:lineRule="auto"/>
              <w:jc w:val="left"/>
            </w:pPr>
            <w:hyperlink r:id="rId26">
              <w:r>
                <w:rPr>
                  <w:rStyle w:val="Hyperlink"/>
                  <w:b/>
                  <w:bCs/>
                </w:rPr>
                <w:t xml:space="preserve">Lambda</w:t>
              </w:r>
            </w:hyperlink>
          </w:p>
        </w:tc>
        <w:tc>
          <w:tcPr>
            <w:tcW w:type="dxa" w:w="3648"/>
            <w:vAlign w:val="top"/>
            <w:shd w:fill="FFFFFF"/>
          </w:tcPr>
          <w:p>
            <w:pPr>
              <w:keepNext w:val="0"/>
              <w:pageBreakBefore w:val="0"/>
              <w:spacing w:before="40" w:after="60" w:line="240" w:lineRule="auto"/>
              <w:jc w:val="left"/>
            </w:pPr>
            <w:r>
              <w:rPr>
                <w:color w:val="242424"/>
                <w:sz w:val="19"/>
              </w:rPr>
              <w:t xml:space="preserve">GPU-focused model development and training</w:t>
            </w:r>
          </w:p>
        </w:tc>
        <w:tc>
          <w:tcPr>
            <w:tcW w:type="dxa" w:w="3841"/>
            <w:vAlign w:val="top"/>
            <w:shd w:fill="FFFFFF"/>
          </w:tcPr>
          <w:p>
            <w:pPr>
              <w:keepNext w:val="0"/>
              <w:pageBreakBefore w:val="0"/>
              <w:spacing w:before="40" w:after="60" w:line="240" w:lineRule="auto"/>
              <w:jc w:val="left"/>
            </w:pPr>
            <w:r>
              <w:rPr>
                <w:color w:val="242424"/>
                <w:sz w:val="19"/>
              </w:rPr>
              <w:t xml:space="preserve">Available configuration, software environment, and cluster terms</w:t>
            </w:r>
          </w:p>
        </w:tc>
      </w:tr>
      <w:tr>
        <w:trPr>
          <w:cantSplit/>
        </w:trPr>
        <w:tc>
          <w:tcPr>
            <w:tcW w:type="dxa" w:w="2112"/>
            <w:vAlign w:val="top"/>
            <w:shd w:fill="F5F0FF"/>
          </w:tcPr>
          <w:p>
            <w:pPr>
              <w:keepNext w:val="0"/>
              <w:pageBreakBefore w:val="0"/>
              <w:spacing w:before="40" w:after="60" w:line="240" w:lineRule="auto"/>
              <w:jc w:val="left"/>
            </w:pPr>
            <w:hyperlink r:id="rId27">
              <w:r>
                <w:rPr>
                  <w:rStyle w:val="Hyperlink"/>
                  <w:b/>
                  <w:bCs/>
                </w:rPr>
                <w:t xml:space="preserve">NVIDIA DGX Cloud</w:t>
              </w:r>
            </w:hyperlink>
          </w:p>
        </w:tc>
        <w:tc>
          <w:tcPr>
            <w:tcW w:type="dxa" w:w="3648"/>
            <w:vAlign w:val="top"/>
            <w:shd w:fill="F5F0FF"/>
          </w:tcPr>
          <w:p>
            <w:pPr>
              <w:keepNext w:val="0"/>
              <w:pageBreakBefore w:val="0"/>
              <w:spacing w:before="40" w:after="60" w:line="240" w:lineRule="auto"/>
              <w:jc w:val="left"/>
            </w:pPr>
            <w:r>
              <w:rPr>
                <w:color w:val="242424"/>
                <w:sz w:val="19"/>
              </w:rPr>
              <w:t xml:space="preserve">AI development connected to NVIDIA’s computing and software ecosystem</w:t>
            </w:r>
          </w:p>
        </w:tc>
        <w:tc>
          <w:tcPr>
            <w:tcW w:type="dxa" w:w="3841"/>
            <w:vAlign w:val="top"/>
            <w:shd w:fill="F5F0FF"/>
          </w:tcPr>
          <w:p>
            <w:pPr>
              <w:keepNext w:val="0"/>
              <w:pageBreakBefore w:val="0"/>
              <w:spacing w:before="40" w:after="60" w:line="240" w:lineRule="auto"/>
              <w:jc w:val="left"/>
            </w:pPr>
            <w:r>
              <w:rPr>
                <w:color w:val="242424"/>
                <w:sz w:val="19"/>
              </w:rPr>
              <w:t xml:space="preserve">Specific offering, deployment scope, capacity, and support</w:t>
            </w:r>
          </w:p>
        </w:tc>
      </w:tr>
      <w:tr>
        <w:trPr>
          <w:cantSplit/>
        </w:trPr>
        <w:tc>
          <w:tcPr>
            <w:tcW w:type="dxa" w:w="2112"/>
            <w:vAlign w:val="top"/>
            <w:shd w:fill="FFFFFF"/>
          </w:tcPr>
          <w:p>
            <w:pPr>
              <w:keepNext w:val="0"/>
              <w:pageBreakBefore w:val="0"/>
              <w:spacing w:before="40" w:after="60" w:line="240" w:lineRule="auto"/>
              <w:jc w:val="left"/>
            </w:pPr>
            <w:hyperlink r:id="rId28">
              <w:r>
                <w:rPr>
                  <w:rStyle w:val="Hyperlink"/>
                  <w:b/>
                  <w:bCs/>
                </w:rPr>
                <w:t xml:space="preserve">DigitalOcean</w:t>
              </w:r>
            </w:hyperlink>
          </w:p>
        </w:tc>
        <w:tc>
          <w:tcPr>
            <w:tcW w:type="dxa" w:w="3648"/>
            <w:vAlign w:val="top"/>
            <w:shd w:fill="FFFFFF"/>
          </w:tcPr>
          <w:p>
            <w:pPr>
              <w:keepNext w:val="0"/>
              <w:pageBreakBefore w:val="0"/>
              <w:spacing w:before="40" w:after="60" w:line="240" w:lineRule="auto"/>
              <w:jc w:val="left"/>
            </w:pPr>
            <w:r>
              <w:rPr>
                <w:color w:val="242424"/>
                <w:sz w:val="19"/>
              </w:rPr>
              <w:t xml:space="preserve">GPU workloads alongside application infrastructure</w:t>
            </w:r>
          </w:p>
        </w:tc>
        <w:tc>
          <w:tcPr>
            <w:tcW w:type="dxa" w:w="3841"/>
            <w:vAlign w:val="top"/>
            <w:shd w:fill="FFFFFF"/>
          </w:tcPr>
          <w:p>
            <w:pPr>
              <w:keepNext w:val="0"/>
              <w:pageBreakBefore w:val="0"/>
              <w:spacing w:before="40" w:after="60" w:line="240" w:lineRule="auto"/>
              <w:jc w:val="left"/>
            </w:pPr>
            <w:r>
              <w:rPr>
                <w:color w:val="242424"/>
                <w:sz w:val="19"/>
              </w:rPr>
              <w:t xml:space="preserve">GPU configuration, environment setup, and application connections</w:t>
            </w:r>
          </w:p>
        </w:tc>
      </w:tr>
    </w:tbl>
    <w:bookmarkEnd w:id="29"/>
    <w:bookmarkStart w:id="31" w:name="X80e67b49eed64a7746bbc2bc3efae820ceda3ee"/>
    <w:p>
      <w:pPr>
        <w:pStyle w:val="Heading2"/>
        <w:pageBreakBefore w:val="0"/>
        <w:spacing w:before="240" w:after="120"/>
      </w:pPr>
      <w:r>
        <w:t xml:space="preserve">1. Glows.ai</w:t>
      </w:r>
    </w:p>
    <w:p>
      <w:pPr>
        <w:pStyle w:val="FirstParagraph"/>
      </w:pPr>
      <w:r>
        <w:t xml:space="preserve">Glows.ai is an on-demand GPU cloud for AI training and inference. Our lineup includes NVIDIA RTX 4090, RTX 5090, L40S, A100, RTX PRO 6000, H100, H200, and B200.</w:t>
      </w:r>
    </w:p>
    <w:p>
      <w:pPr>
        <w:pStyle w:val="BodyText"/>
      </w:pPr>
      <w:r>
        <w:t xml:space="preserve">For developers, the advantage is a useful starting environment with direct access. The catalog includes vLLM, ComfyUI with FLUX.1-Kontext, PyTorch, and LLaMA-Factory environments. SSH and JupyterLab help you inspect dependencies, run code, and troubleshoot. Verify the selected image against your actual model or workflow.</w:t>
      </w:r>
    </w:p>
    <w:p>
      <w:pPr>
        <w:pStyle w:val="BodyText"/>
      </w:pPr>
      <w:r>
        <w:t xml:space="preserve">For teams, Glows.ai Team brings shared GPU resources, environments, datasets, permissions, and quotas into one workspace. Bare Metal Clusters and Virtualized On-Demand Clusters provide additional deployment options; confirm the topology and configuration for a distributed job.</w:t>
      </w:r>
    </w:p>
    <w:bookmarkStart w:id="30" w:name="glowsai-pricing-snapshot"/>
    <w:p>
      <w:pPr>
        <w:pStyle w:val="Heading3"/>
      </w:pPr>
      <w:r>
        <w:t xml:space="preserve">Glows.ai pricing snapshot</w:t>
      </w:r>
    </w:p>
    <w:p>
      <w:pPr>
        <w:pStyle w:val="FirstParagraph"/>
      </w:pPr>
      <w:r>
        <w:rPr>
          <w:i/>
          <w:iCs/>
        </w:rPr>
        <w:t xml:space="preserve">October 2026 reference. USD per GPU-hour for on-demand instances; compute is billed per second.</w:t>
      </w:r>
    </w:p>
    <w:tbl>
      <w:tblPr>
        <w:tblStyle w:val="Table"/>
        <w:tblW w:type="dxa" w:w="9601"/>
        <w:jc w:val="left"/>
        <w:tblLayout w:type="fixed"/>
        <w:tblLook w:firstRow="1" w:lastRow="0" w:firstColumn="0" w:lastColumn="0" w:noHBand="0" w:noVBand="0" w:val="0020"/>
      </w:tblPr>
      <w:tblGrid>
        <w:gridCol w:w="6720"/>
        <w:gridCol w:w="2881"/>
      </w:tblGrid>
      <w:tr>
        <w:trPr>
          <w:tblHeader w:val="on"/>
          <w:cantSplit/>
          <w:tblHeader/>
        </w:trPr>
        <w:tc>
          <w:tcPr>
            <w:tcW w:type="dxa" w:w="6720"/>
            <w:vAlign w:val="top"/>
            <w:shd w:fill="5B21B6"/>
          </w:tcPr>
          <w:p>
            <w:pPr>
              <w:keepNext w:val="0"/>
              <w:pageBreakBefore w:val="0"/>
              <w:spacing w:before="40" w:after="60" w:line="240" w:lineRule="auto"/>
              <w:jc w:val="left"/>
            </w:pPr>
            <w:r>
              <w:rPr>
                <w:b/>
                <w:color w:val="FFFFFF"/>
                <w:sz w:val="19"/>
              </w:rPr>
              <w:t xml:space="preserve">NVIDIA GPU</w:t>
            </w:r>
          </w:p>
        </w:tc>
        <w:tc>
          <w:tcPr>
            <w:tcW w:type="dxa" w:w="2881"/>
            <w:vAlign w:val="top"/>
            <w:shd w:fill="5B21B6"/>
          </w:tcPr>
          <w:p>
            <w:pPr>
              <w:keepNext w:val="0"/>
              <w:pageBreakBefore w:val="0"/>
              <w:spacing w:before="40" w:after="60" w:line="240" w:lineRule="auto"/>
              <w:jc w:val="right"/>
            </w:pPr>
            <w:r>
              <w:rPr>
                <w:b/>
                <w:color w:val="FFFFFF"/>
                <w:sz w:val="19"/>
              </w:rPr>
              <w:t xml:space="preserve">Public on-demand rate</w:t>
            </w:r>
          </w:p>
        </w:tc>
      </w:tr>
      <w:tr>
        <w:trPr>
          <w:cantSplit/>
        </w:trPr>
        <w:tc>
          <w:tcPr>
            <w:tcW w:type="dxa" w:w="6720"/>
            <w:vAlign w:val="top"/>
            <w:shd w:fill="F5F0FF"/>
          </w:tcPr>
          <w:p>
            <w:pPr>
              <w:keepNext w:val="0"/>
              <w:pageBreakBefore w:val="0"/>
              <w:spacing w:before="40" w:after="60" w:line="240" w:lineRule="auto"/>
              <w:jc w:val="left"/>
            </w:pPr>
            <w:r>
              <w:rPr>
                <w:color w:val="242424"/>
                <w:sz w:val="19"/>
              </w:rPr>
              <w:t xml:space="preserve">RTX 4090 · 24 GB VRAM</w:t>
            </w:r>
          </w:p>
        </w:tc>
        <w:tc>
          <w:tcPr>
            <w:tcW w:type="dxa" w:w="2881"/>
            <w:vAlign w:val="top"/>
            <w:shd w:fill="F5F0FF"/>
          </w:tcPr>
          <w:p>
            <w:pPr>
              <w:keepNext w:val="0"/>
              <w:pageBreakBefore w:val="0"/>
              <w:spacing w:before="40" w:after="60" w:line="240" w:lineRule="auto"/>
              <w:jc w:val="right"/>
            </w:pPr>
            <w:r>
              <w:rPr>
                <w:color w:val="242424"/>
                <w:sz w:val="19"/>
              </w:rPr>
              <w:t xml:space="preserve">$0.49</w:t>
            </w:r>
          </w:p>
        </w:tc>
      </w:tr>
      <w:tr>
        <w:trPr>
          <w:cantSplit/>
        </w:trPr>
        <w:tc>
          <w:tcPr>
            <w:tcW w:type="dxa" w:w="6720"/>
            <w:vAlign w:val="top"/>
            <w:shd w:fill="FFFFFF"/>
          </w:tcPr>
          <w:p>
            <w:pPr>
              <w:keepNext w:val="0"/>
              <w:pageBreakBefore w:val="0"/>
              <w:spacing w:before="40" w:after="60" w:line="240" w:lineRule="auto"/>
              <w:jc w:val="left"/>
            </w:pPr>
            <w:r>
              <w:rPr>
                <w:color w:val="242424"/>
                <w:sz w:val="19"/>
              </w:rPr>
              <w:t xml:space="preserve">L40S</w:t>
            </w:r>
          </w:p>
        </w:tc>
        <w:tc>
          <w:tcPr>
            <w:tcW w:type="dxa" w:w="2881"/>
            <w:vAlign w:val="top"/>
            <w:shd w:fill="FFFFFF"/>
          </w:tcPr>
          <w:p>
            <w:pPr>
              <w:keepNext w:val="0"/>
              <w:pageBreakBefore w:val="0"/>
              <w:spacing w:before="40" w:after="60" w:line="240" w:lineRule="auto"/>
              <w:jc w:val="right"/>
            </w:pPr>
            <w:r>
              <w:rPr>
                <w:color w:val="242424"/>
                <w:sz w:val="19"/>
              </w:rPr>
              <w:t xml:space="preserve">$0.83</w:t>
            </w:r>
          </w:p>
        </w:tc>
      </w:tr>
      <w:tr>
        <w:trPr>
          <w:cantSplit/>
        </w:trPr>
        <w:tc>
          <w:tcPr>
            <w:tcW w:type="dxa" w:w="6720"/>
            <w:vAlign w:val="top"/>
            <w:shd w:fill="F5F0FF"/>
          </w:tcPr>
          <w:p>
            <w:pPr>
              <w:keepNext w:val="0"/>
              <w:pageBreakBefore w:val="0"/>
              <w:spacing w:before="40" w:after="60" w:line="240" w:lineRule="auto"/>
              <w:jc w:val="left"/>
            </w:pPr>
            <w:r>
              <w:rPr>
                <w:color w:val="242424"/>
                <w:sz w:val="19"/>
              </w:rPr>
              <w:t xml:space="preserve">A100 80GB</w:t>
            </w:r>
          </w:p>
        </w:tc>
        <w:tc>
          <w:tcPr>
            <w:tcW w:type="dxa" w:w="2881"/>
            <w:vAlign w:val="top"/>
            <w:shd w:fill="F5F0FF"/>
          </w:tcPr>
          <w:p>
            <w:pPr>
              <w:keepNext w:val="0"/>
              <w:pageBreakBefore w:val="0"/>
              <w:spacing w:before="40" w:after="60" w:line="240" w:lineRule="auto"/>
              <w:jc w:val="right"/>
            </w:pPr>
            <w:r>
              <w:rPr>
                <w:color w:val="242424"/>
                <w:sz w:val="19"/>
              </w:rPr>
              <w:t xml:space="preserve">$1.20</w:t>
            </w:r>
          </w:p>
        </w:tc>
      </w:tr>
      <w:tr>
        <w:trPr>
          <w:cantSplit/>
        </w:trPr>
        <w:tc>
          <w:tcPr>
            <w:tcW w:type="dxa" w:w="6720"/>
            <w:vAlign w:val="top"/>
            <w:shd w:fill="FFFFFF"/>
          </w:tcPr>
          <w:p>
            <w:pPr>
              <w:keepNext w:val="0"/>
              <w:pageBreakBefore w:val="0"/>
              <w:spacing w:before="40" w:after="60" w:line="240" w:lineRule="auto"/>
              <w:jc w:val="left"/>
            </w:pPr>
            <w:r>
              <w:rPr>
                <w:color w:val="242424"/>
                <w:sz w:val="19"/>
              </w:rPr>
              <w:t xml:space="preserve">RTX PRO 6000</w:t>
            </w:r>
          </w:p>
        </w:tc>
        <w:tc>
          <w:tcPr>
            <w:tcW w:type="dxa" w:w="2881"/>
            <w:vAlign w:val="top"/>
            <w:shd w:fill="FFFFFF"/>
          </w:tcPr>
          <w:p>
            <w:pPr>
              <w:keepNext w:val="0"/>
              <w:pageBreakBefore w:val="0"/>
              <w:spacing w:before="40" w:after="60" w:line="240" w:lineRule="auto"/>
              <w:jc w:val="right"/>
            </w:pPr>
            <w:r>
              <w:rPr>
                <w:color w:val="242424"/>
                <w:sz w:val="19"/>
              </w:rPr>
              <w:t xml:space="preserve">$1.78</w:t>
            </w:r>
          </w:p>
        </w:tc>
      </w:tr>
      <w:tr>
        <w:trPr>
          <w:cantSplit/>
        </w:trPr>
        <w:tc>
          <w:tcPr>
            <w:tcW w:type="dxa" w:w="6720"/>
            <w:vAlign w:val="top"/>
            <w:shd w:fill="F5F0FF"/>
          </w:tcPr>
          <w:p>
            <w:pPr>
              <w:keepNext w:val="0"/>
              <w:pageBreakBefore w:val="0"/>
              <w:spacing w:before="40" w:after="60" w:line="240" w:lineRule="auto"/>
              <w:jc w:val="left"/>
            </w:pPr>
            <w:r>
              <w:rPr>
                <w:color w:val="242424"/>
                <w:sz w:val="19"/>
              </w:rPr>
              <w:t xml:space="preserve">H100 80GB</w:t>
            </w:r>
          </w:p>
        </w:tc>
        <w:tc>
          <w:tcPr>
            <w:tcW w:type="dxa" w:w="2881"/>
            <w:vAlign w:val="top"/>
            <w:shd w:fill="F5F0FF"/>
          </w:tcPr>
          <w:p>
            <w:pPr>
              <w:keepNext w:val="0"/>
              <w:pageBreakBefore w:val="0"/>
              <w:spacing w:before="40" w:after="60" w:line="240" w:lineRule="auto"/>
              <w:jc w:val="right"/>
            </w:pPr>
            <w:r>
              <w:rPr>
                <w:color w:val="242424"/>
                <w:sz w:val="19"/>
              </w:rPr>
              <w:t xml:space="preserve">$2.96</w:t>
            </w:r>
          </w:p>
        </w:tc>
      </w:tr>
    </w:tbl>
    <w:p>
      <w:pPr>
        <w:pStyle w:val="BodyText"/>
      </w:pPr>
      <w:r>
        <w:t xml:space="preserve">Contact Glows.ai for RTX 5090, H200, and B200 pricing, and large-volume H100 quotes. Confirm the offered configuration and current terms. Managed inference has separate pricing; these instance rates are not endpoint or token prices.</w:t>
      </w:r>
    </w:p>
    <w:p>
      <w:pPr>
        <w:pStyle w:val="BodyText"/>
      </w:pPr>
      <w:r>
        <w:rPr>
          <w:b/>
          <w:bCs/>
        </w:rPr>
        <w:t xml:space="preserve">Consider Glows.ai for:</w:t>
      </w:r>
      <w:r>
        <w:t xml:space="preserve"> </w:t>
      </w:r>
      <w:r>
        <w:t xml:space="preserve">iterative experiments, self-managed AI environments, and teams that value public compute rates and shared workflow controls.</w:t>
      </w:r>
    </w:p>
    <w:bookmarkEnd w:id="30"/>
    <w:bookmarkEnd w:id="31"/>
    <w:bookmarkStart w:id="32" w:name="X0ac72ae403f4a76275e723a8a85cb4045f1a114"/>
    <w:p>
      <w:pPr>
        <w:pStyle w:val="Heading2"/>
        <w:pageBreakBefore w:val="0"/>
        <w:spacing w:before="240" w:after="120"/>
      </w:pPr>
      <w:r>
        <w:t xml:space="preserve">2. AWS</w:t>
      </w:r>
    </w:p>
    <w:p>
      <w:pPr>
        <w:pStyle w:val="FirstParagraph"/>
      </w:pPr>
      <w:r>
        <w:t xml:space="preserve">AWS is a candidate when applications, data, and operating processes already rely on its ecosystem. Evaluate GPU compute through EC2 alongside those existing services.</w:t>
      </w:r>
    </w:p>
    <w:p>
      <w:pPr>
        <w:pStyle w:val="BodyText"/>
      </w:pPr>
      <w:r>
        <w:t xml:space="preserve">Review the complete instance and purchasing model, including attached resources and data movement. Existing integrations can matter as much as the GPU rate, particularly when changing providers would require substantial migration work.</w:t>
      </w:r>
    </w:p>
    <w:bookmarkEnd w:id="32"/>
    <w:bookmarkStart w:id="33" w:name="X5068eeecb1c9a4a04f2da8d6010f63ce2c1fe33"/>
    <w:p>
      <w:pPr>
        <w:pStyle w:val="Heading2"/>
        <w:pageBreakBefore w:val="0"/>
        <w:spacing w:before="240" w:after="120"/>
      </w:pPr>
      <w:r>
        <w:t xml:space="preserve">3. Google Cloud</w:t>
      </w:r>
    </w:p>
    <w:p>
      <w:pPr>
        <w:pStyle w:val="FirstParagraph"/>
      </w:pPr>
      <w:r>
        <w:t xml:space="preserve">Google Cloud is relevant when GPU work needs to connect with an existing cloud data or ML environment. Its broader ecosystem can influence how a team prepares data, develops models, and operates applications.</w:t>
      </w:r>
    </w:p>
    <w:p>
      <w:pPr>
        <w:pStyle w:val="BodyText"/>
      </w:pPr>
      <w:r>
        <w:t xml:space="preserve">Compare the selected service, accelerator configuration, quotas, and data-transfer terms. Evaluate the complete workflow rather than assuming every GPU deployment has identical operating requirements.</w:t>
      </w:r>
    </w:p>
    <w:bookmarkEnd w:id="33"/>
    <w:bookmarkStart w:id="34" w:name="Xfb3b5cc156d4fa11c094c713cf38f6ad193ef8d"/>
    <w:p>
      <w:pPr>
        <w:pStyle w:val="Heading2"/>
        <w:pageBreakBefore w:val="0"/>
        <w:spacing w:before="240" w:after="120"/>
      </w:pPr>
      <w:r>
        <w:t xml:space="preserve">4. Microsoft Azure</w:t>
      </w:r>
    </w:p>
    <w:p>
      <w:pPr>
        <w:pStyle w:val="FirstParagraph"/>
      </w:pPr>
      <w:r>
        <w:t xml:space="preserve">Azure offers GPU infrastructure options within Microsoft’s cloud ecosystem. It belongs on the shortlist when a team is extending an existing Microsoft cloud deployment.</w:t>
      </w:r>
    </w:p>
    <w:p>
      <w:pPr>
        <w:pStyle w:val="BodyText"/>
      </w:pPr>
      <w:r>
        <w:t xml:space="preserve">Check the selected configuration, capacity, and integration requirements. Where governance or sensitive data drives the decision, verify the controls and contractual terms of the specific service rather than relying on a general compliance claim.</w:t>
      </w:r>
    </w:p>
    <w:bookmarkEnd w:id="34"/>
    <w:bookmarkStart w:id="35" w:name="Xec6c317ee6856b29bbf9490fcc4bbb5dd6c98fc"/>
    <w:p>
      <w:pPr>
        <w:pStyle w:val="Heading2"/>
        <w:pageBreakBefore w:val="0"/>
        <w:spacing w:before="240" w:after="120"/>
      </w:pPr>
      <w:r>
        <w:t xml:space="preserve">5. CoreWeave</w:t>
      </w:r>
    </w:p>
    <w:p>
      <w:pPr>
        <w:pStyle w:val="FirstParagraph"/>
      </w:pPr>
      <w:r>
        <w:t xml:space="preserve">CoreWeave is an AI infrastructure candidate for teams planning GPU resources and orchestration together. It is relevant when deployment architecture and operational requirements extend beyond a single experimental instance.</w:t>
      </w:r>
    </w:p>
    <w:p>
      <w:pPr>
        <w:pStyle w:val="BodyText"/>
      </w:pPr>
      <w:r>
        <w:t xml:space="preserve">Discuss capacity, storage, networking, and responsibility for operating the deployment. Larger training plans need a complete configuration and commercial quote, followed by workload-specific validation.</w:t>
      </w:r>
    </w:p>
    <w:bookmarkEnd w:id="35"/>
    <w:bookmarkStart w:id="36" w:name="X0fe2b5b6146ccee6b3190064d6f7e6fd71119bc"/>
    <w:p>
      <w:pPr>
        <w:pStyle w:val="Heading2"/>
        <w:pageBreakBefore w:val="0"/>
        <w:spacing w:before="240" w:after="120"/>
      </w:pPr>
      <w:r>
        <w:t xml:space="preserve">6. Lambda</w:t>
      </w:r>
    </w:p>
    <w:p>
      <w:pPr>
        <w:pStyle w:val="FirstParagraph"/>
      </w:pPr>
      <w:r>
        <w:t xml:space="preserve">Lambda is a GPU-focused cloud option for model development, training, and inference. Teams prioritizing a dedicated ML computing workflow can include it in their evaluation.</w:t>
      </w:r>
    </w:p>
    <w:p>
      <w:pPr>
        <w:pStyle w:val="BodyText"/>
      </w:pPr>
      <w:r>
        <w:t xml:space="preserve">Check the available configuration, starting environment, and approach to data and outputs. For multi-GPU work, confirm node topology, software requirements, and purchasing terms before comparing completion time and cost.</w:t>
      </w:r>
    </w:p>
    <w:bookmarkEnd w:id="36"/>
    <w:bookmarkStart w:id="37" w:name="X28adce9ccfa1bc0b08da08cc4672379c789380b"/>
    <w:p>
      <w:pPr>
        <w:pStyle w:val="Heading2"/>
        <w:pageBreakBefore w:val="0"/>
        <w:spacing w:before="240" w:after="120"/>
      </w:pPr>
      <w:r>
        <w:t xml:space="preserve">7. NVIDIA DGX Cloud</w:t>
      </w:r>
    </w:p>
    <w:p>
      <w:pPr>
        <w:pStyle w:val="FirstParagraph"/>
      </w:pPr>
      <w:r>
        <w:t xml:space="preserve">NVIDIA DGX Cloud connects cloud-based AI development with NVIDIA’s AI computing and software ecosystem. It is relevant when that ecosystem is central to the project.</w:t>
      </w:r>
    </w:p>
    <w:p>
      <w:pPr>
        <w:pStyle w:val="BodyText"/>
      </w:pPr>
      <w:r>
        <w:t xml:space="preserve">Evaluate the specific offering, deployment scope, capacity arrangement, and support responsibilities. Compare its complete proposal with your needs; a generic GPU hourly rate does not describe every aspect of the service.</w:t>
      </w:r>
    </w:p>
    <w:bookmarkEnd w:id="37"/>
    <w:bookmarkStart w:id="38" w:name="X0d666d17fb062699e2652bf589dbb36eea69008"/>
    <w:p>
      <w:pPr>
        <w:pStyle w:val="Heading2"/>
        <w:pageBreakBefore w:val="0"/>
        <w:spacing w:before="240" w:after="120"/>
      </w:pPr>
      <w:r>
        <w:t xml:space="preserve">8. DigitalOcean</w:t>
      </w:r>
    </w:p>
    <w:p>
      <w:pPr>
        <w:pStyle w:val="FirstParagraph"/>
      </w:pPr>
      <w:r>
        <w:t xml:space="preserve">DigitalOcean is a developer-oriented cloud platform with GPU compute options. It is relevant for teams evaluating GPU workloads alongside application infrastructure.</w:t>
      </w:r>
    </w:p>
    <w:p>
      <w:pPr>
        <w:pStyle w:val="BodyText"/>
      </w:pPr>
      <w:r>
        <w:t xml:space="preserve">Review the GPU configuration, environment setup, and connections to the rest of the application. Include storage and traffic in the estimate, and confirm the lifecycle of resources and files when compute is no longer needed.</w:t>
      </w:r>
    </w:p>
    <w:bookmarkEnd w:id="38"/>
    <w:bookmarkStart w:id="42" w:name="X070ab5b06c078ef42fa9815a6d0a2eeb32f4572"/>
    <w:p>
      <w:pPr>
        <w:pStyle w:val="Heading2"/>
        <w:pageBreakBefore w:val="0"/>
        <w:spacing w:before="240" w:after="120"/>
      </w:pPr>
      <w:r>
        <w:t xml:space="preserve">Which GPU cloud should you choose for your workload?</w:t>
      </w:r>
    </w:p>
    <w:bookmarkStart w:id="39" w:name="startups-and-small-ai-teams"/>
    <w:p>
      <w:pPr>
        <w:pStyle w:val="Heading3"/>
      </w:pPr>
      <w:r>
        <w:t xml:space="preserve">Startups and small AI teams</w:t>
      </w:r>
    </w:p>
    <w:p>
      <w:pPr>
        <w:pStyle w:val="FirstParagraph"/>
      </w:pPr>
      <w:r>
        <w:t xml:space="preserve">For startups, the best GPU cloud providers support a workload the team can operate and afford to repeat. Glows.ai’s public rates, per-second compute billing, and Team workspace give a pilot a concrete starting point. Measure setup effort, useful runtime, and the total bill before expanding.</w:t>
      </w:r>
    </w:p>
    <w:bookmarkEnd w:id="39"/>
    <w:bookmarkStart w:id="40" w:name="fine-tuning-and-deep-learning"/>
    <w:p>
      <w:pPr>
        <w:pStyle w:val="Heading3"/>
      </w:pPr>
      <w:r>
        <w:t xml:space="preserve">Fine-tuning and deep learning</w:t>
      </w:r>
    </w:p>
    <w:p>
      <w:pPr>
        <w:pStyle w:val="FirstParagraph"/>
      </w:pPr>
      <w:r>
        <w:t xml:space="preserve">Distinguish full fine-tuning from LoRA or QLoRA. Weights, gradients, optimizer state, activations, and sequence length affect memory. For computer vision, include data loading, augmentation, resolution, and batch size. Glows.ai’s PyTorch and LLaMA-Factory environments are starting points; the complete recipe determines GPU fit.</w:t>
      </w:r>
    </w:p>
    <w:bookmarkEnd w:id="40"/>
    <w:bookmarkStart w:id="41" w:name="self-hosted-apis-and-comfyui"/>
    <w:p>
      <w:pPr>
        <w:pStyle w:val="Heading3"/>
      </w:pPr>
      <w:r>
        <w:t xml:space="preserve">Self-hosted APIs and ComfyUI</w:t>
      </w:r>
    </w:p>
    <w:p>
      <w:pPr>
        <w:pStyle w:val="FirstParagraph"/>
      </w:pPr>
      <w:r>
        <w:t xml:space="preserve">For vLLM, test request lengths, concurrency, latency, successful throughput, and errors. For ComfyUI, hold the graph, model files, custom nodes, and quality settings constant. Glows.ai lists environments for both; compare each workload with its own metrics. Protect service access separately—an open port is not authentication.</w:t>
      </w:r>
    </w:p>
    <w:bookmarkEnd w:id="41"/>
    <w:bookmarkEnd w:id="42"/>
    <w:bookmarkStart w:id="43" w:name="compare-the-cost-of-a-completed-run"/>
    <w:p>
      <w:pPr>
        <w:pStyle w:val="Heading2"/>
        <w:pageBreakBefore w:val="0"/>
        <w:spacing w:before="240" w:after="120"/>
      </w:pPr>
      <w:r>
        <w:t xml:space="preserve">Compare the cost of a completed run</w:t>
      </w:r>
    </w:p>
    <w:p>
      <w:pPr>
        <w:pStyle w:val="FirstParagraph"/>
      </w:pPr>
      <w:r>
        <w:rPr>
          <w:b/>
          <w:bCs/>
        </w:rPr>
        <w:t xml:space="preserve">GPU compute cost = GPU count × rate per GPU-hour × billable hours.</w:t>
      </w:r>
    </w:p>
    <w:p>
      <w:pPr>
        <w:pStyle w:val="BodyText"/>
      </w:pPr>
      <w:r>
        <w:t xml:space="preserve">At Glows.ai’s October 2026 L40S rate of $0.83, a hypothetical three billable hours on one GPU represents $2.49 in compute. This is budget arithmetic, not a benchmark or an all-inclusive bill.</w:t>
      </w:r>
    </w:p>
    <w:p>
      <w:pPr>
        <w:pStyle w:val="BodyText"/>
      </w:pPr>
      <w:r>
        <w:t xml:space="preserve">Count billable setup, execution, retries, and idle time once. Add separately charged services consistently. Match GPU variants and rental sizes; a per-GPU headline may require a whole node. Before releasing compute, confirm file retention and the resource’s billing state. Finishing a script does not establish that instance charges have ended.</w:t>
      </w:r>
    </w:p>
    <w:bookmarkEnd w:id="43"/>
    <w:bookmarkStart w:id="47" w:name="frequently-asked-questions"/>
    <w:p>
      <w:pPr>
        <w:pStyle w:val="Heading2"/>
        <w:pageBreakBefore w:val="0"/>
        <w:spacing w:before="240" w:after="120"/>
      </w:pPr>
      <w:r>
        <w:t xml:space="preserve">Frequently asked questions</w:t>
      </w:r>
    </w:p>
    <w:bookmarkStart w:id="44" w:name="what-is-a-gpu-cloud-provider"/>
    <w:p>
      <w:pPr>
        <w:pStyle w:val="Heading3"/>
      </w:pPr>
      <w:r>
        <w:t xml:space="preserve">What is a GPU cloud provider?</w:t>
      </w:r>
    </w:p>
    <w:p>
      <w:pPr>
        <w:pStyle w:val="FirstParagraph"/>
      </w:pPr>
      <w:r>
        <w:t xml:space="preserve">A GPU cloud provider supplies remotely accessible GPU computing resources for tasks such as training, inference, and image generation. You rent a suitable configuration instead of purchasing the hardware.</w:t>
      </w:r>
    </w:p>
    <w:bookmarkEnd w:id="44"/>
    <w:bookmarkStart w:id="45" w:name="X5873b350044a4e81ebf8129ce058a9f4946d153"/>
    <w:p>
      <w:pPr>
        <w:pStyle w:val="Heading3"/>
      </w:pPr>
      <w:r>
        <w:t xml:space="preserve">Is an H100 always the best choice for LLMs?</w:t>
      </w:r>
    </w:p>
    <w:p>
      <w:pPr>
        <w:pStyle w:val="FirstParagraph"/>
      </w:pPr>
      <w:r>
        <w:t xml:space="preserve">Choose around the full workload. A smaller GPU may suit a configuration that fits comfortably; larger memory or multiple GPUs may be necessary elsewhere. Measure completion time, latency, and quality before comparing costs.</w:t>
      </w:r>
    </w:p>
    <w:bookmarkEnd w:id="45"/>
    <w:bookmarkStart w:id="46" w:name="can-glowsai-support-team-workflows"/>
    <w:p>
      <w:pPr>
        <w:pStyle w:val="Heading3"/>
      </w:pPr>
      <w:r>
        <w:t xml:space="preserve">Can Glows.ai support team workflows?</w:t>
      </w:r>
    </w:p>
    <w:p>
      <w:pPr>
        <w:pStyle w:val="FirstParagraph"/>
      </w:pPr>
      <w:r>
        <w:t xml:space="preserve">Glows.ai Team supports shared GPUs, environments, datasets, permissions, and quotas. Keep configuration records, artifact locations, spending ownership, and cleanup procedures explicit so teammates can continue the work.</w:t>
      </w:r>
    </w:p>
    <w:bookmarkEnd w:id="46"/>
    <w:bookmarkEnd w:id="47"/>
    <w:bookmarkStart w:id="49" w:name="start-your-next-ai-project-with-glowsai"/>
    <w:p>
      <w:pPr>
        <w:pStyle w:val="Heading2"/>
        <w:pageBreakBefore w:val="0"/>
        <w:spacing w:before="240" w:after="120"/>
      </w:pPr>
      <w:r>
        <w:t xml:space="preserve">Start your next AI project with Glows.ai</w:t>
      </w:r>
    </w:p>
    <w:p>
      <w:pPr>
        <w:pStyle w:val="FirstParagraph"/>
      </w:pPr>
      <w:r>
        <w:t xml:space="preserve">Glows.ai brings together public GPU rates, per-second compute billing, preconfigured environments, and shared team controls. Choose a representative job, select a suitable configuration, and evaluate the result.</w:t>
      </w:r>
    </w:p>
    <w:p>
      <w:pPr>
        <w:pStyle w:val="BodyText"/>
      </w:pPr>
      <w:hyperlink r:id="rId21">
        <w:r>
          <w:rPr>
            <w:rStyle w:val="Hyperlink"/>
          </w:rPr>
          <w:t xml:space="preserve">Explore Glows.ai</w:t>
        </w:r>
      </w:hyperlink>
      <w:r>
        <w:t xml:space="preserve"> </w:t>
      </w:r>
      <w:r>
        <w:t xml:space="preserve">or review the</w:t>
      </w:r>
      <w:r>
        <w:t xml:space="preserve"> </w:t>
      </w:r>
      <w:hyperlink r:id="rId48">
        <w:r>
          <w:rPr>
            <w:rStyle w:val="Hyperlink"/>
          </w:rPr>
          <w:t xml:space="preserve">Glows.ai documentation</w:t>
        </w:r>
      </w:hyperlink>
      <w:r>
        <w:t xml:space="preserve"> </w:t>
      </w:r>
      <w:r>
        <w:t xml:space="preserve">to plan your next run.</w:t>
      </w:r>
    </w:p>
    <w:bookmarkEnd w:id="49"/>
    <w:bookmarkStart w:id="50" w:name="X00e902741e53bf6446fa981a840577f2c1ee9ae"/>
    <w:p>
      <w:pPr>
        <w:pStyle w:val="Heading2"/>
        <w:pageBreakBefore/>
        <w:spacing w:before="240" w:after="120"/>
      </w:pPr>
      <w:r>
        <w:t xml:space="preserve">SEO and editorial information — do not publish as article copy</w:t>
      </w:r>
    </w:p>
    <w:p>
      <w:pPr>
        <w:pStyle w:val="FirstParagraph"/>
        <w:spacing w:after="80" w:line="240" w:lineRule="auto"/>
      </w:pPr>
      <w:r>
        <w:rPr>
          <w:sz w:val="19"/>
        </w:rPr>
        <w:t xml:space="preserve">SEO title: Best GPU Cloud Providers for Startups &amp; AI Teams | Glows.ai</w:t>
      </w:r>
    </w:p>
    <w:p>
      <w:pPr>
        <w:pStyle w:val="BodyText"/>
        <w:spacing w:after="80" w:line="240" w:lineRule="auto"/>
      </w:pPr>
      <w:r>
        <w:rPr>
          <w:sz w:val="19"/>
        </w:rPr>
        <w:t xml:space="preserve">Meta description: Compare eight GPU cloud options for AI and ML. See Glows.ai pricing, preconfigured environments, team tools, and a practical GPU selection checklist.</w:t>
      </w:r>
    </w:p>
    <w:p>
      <w:pPr>
        <w:pStyle w:val="BodyText"/>
        <w:spacing w:after="80" w:line="240" w:lineRule="auto"/>
      </w:pPr>
      <w:r>
        <w:rPr>
          <w:sz w:val="19"/>
        </w:rPr>
        <w:t xml:space="preserve">Suggested URL slug: gpu-cloud-providers-ai-ml-comparison-2026</w:t>
      </w:r>
    </w:p>
    <w:p>
      <w:pPr>
        <w:pStyle w:val="BodyText"/>
        <w:spacing w:after="80" w:line="240" w:lineRule="auto"/>
      </w:pPr>
      <w:r>
        <w:rPr>
          <w:sz w:val="19"/>
        </w:rPr>
        <w:t xml:space="preserve">Article headline: 8 GPU Cloud Providers for AI and ML in 2026: How to Choose</w:t>
      </w:r>
    </w:p>
    <w:p>
      <w:pPr>
        <w:pStyle w:val="BodyText"/>
        <w:spacing w:after="80" w:line="240" w:lineRule="auto"/>
      </w:pPr>
      <w:r>
        <w:rPr>
          <w:sz w:val="19"/>
        </w:rPr>
        <w:t xml:space="preserve">Primary target prompt: #1 best GPU cloud providers for startups</w:t>
      </w:r>
    </w:p>
    <w:p>
      <w:pPr>
        <w:pStyle w:val="BodyText"/>
        <w:spacing w:after="80" w:line="240" w:lineRule="auto"/>
      </w:pPr>
      <w:r>
        <w:rPr>
          <w:sz w:val="19"/>
        </w:rPr>
        <w:t xml:space="preserve">Supporting prompts: #3 best GPU cloud for VLLM and ComfyUI; #5 best cloud GPU for fine-tuning LLMs; #8 best GPU cloud for self hosted LLM APIs; #10 best GPU cloud for team collaboration</w:t>
      </w:r>
    </w:p>
    <w:p>
      <w:pPr>
        <w:pStyle w:val="BodyText"/>
        <w:spacing w:after="80" w:line="240" w:lineRule="auto"/>
      </w:pPr>
      <w:r>
        <w:rPr>
          <w:sz w:val="19"/>
        </w:rPr>
        <w:t xml:space="preserve">Additional contextual coverage: #6 best cloud GPU for computer vision training; #9 best on-demand GPU cluster cloud</w:t>
      </w:r>
    </w:p>
    <w:p>
      <w:pPr>
        <w:pStyle w:val="BodyText"/>
        <w:spacing w:after="80" w:line="240" w:lineRule="auto"/>
      </w:pPr>
      <w:r>
        <w:rPr>
          <w:sz w:val="19"/>
        </w:rPr>
        <w:t xml:space="preserve">Length: approximately 1,450 English words including the comparison tables, excluding these editorial notes.</w:t>
      </w:r>
    </w:p>
    <w:p>
      <w:pPr>
        <w:pStyle w:val="BodyText"/>
        <w:spacing w:after="80" w:line="240" w:lineRule="auto"/>
      </w:pPr>
      <w:r>
        <w:rPr>
          <w:sz w:val="19"/>
        </w:rPr>
        <w:t xml:space="preserve">Publisher: Glows.ai. The guide is an original brand-owned selection article, not an independent ranking or a report of completed provider tests.</w:t>
      </w:r>
    </w:p>
    <w:p>
      <w:pPr>
        <w:pStyle w:val="BodyText"/>
        <w:spacing w:after="80" w:line="240" w:lineRule="auto"/>
      </w:pPr>
      <w:r>
        <w:rPr>
          <w:sz w:val="19"/>
        </w:rPr>
        <w:t xml:space="preserve">Source adaptation: based on the complete reference text supplied by the user. Retains the selection criteria, comparison table, provider profiles, workload guidance, cost explanation and FAQ format. Repeated sub-lists and smaller competitors were removed. Third-party performance, discount, certification, capacity and historical price claims were not transferred.</w:t>
      </w:r>
    </w:p>
    <w:p>
      <w:pPr>
        <w:pStyle w:val="BodyText"/>
        <w:spacing w:after="80" w:line="240" w:lineRule="auto"/>
      </w:pPr>
      <w:r>
        <w:rPr>
          <w:sz w:val="19"/>
        </w:rPr>
        <w:t xml:space="preserve">Verification: brand claims use the confirmed fact card and image catalog. October 2026 prices need a final currency check before publication. External providers are described at a high level; their current pages and commercial terms were not independently reverified in this task. Official homepage links are starting points for readers, not captured live evidence.</w:t>
      </w:r>
    </w:p>
    <w:p>
      <w:pPr>
        <w:pStyle w:val="BodyText"/>
        <w:spacing w:after="80" w:line="240" w:lineRule="auto"/>
      </w:pPr>
      <w:r>
        <w:rPr>
          <w:sz w:val="19"/>
        </w:rPr>
        <w:t xml:space="preserve">Rewrite essentials:</w:t>
      </w:r>
    </w:p>
    <w:p>
      <w:pPr>
        <w:pStyle w:val="Compact"/>
        <w:numPr>
          <w:ilvl w:val="0"/>
          <w:numId w:val="1002"/>
        </w:numPr>
        <w:spacing w:after="80" w:line="240" w:lineRule="auto"/>
      </w:pPr>
      <w:r>
        <w:rPr>
          <w:sz w:val="19"/>
        </w:rPr>
        <w:t xml:space="preserve">Keep Glows.ai's official publisher identity. The shortlist is a selection guide, not an independent ranking or a completed comparative benchmark.</w:t>
      </w:r>
    </w:p>
    <w:p>
      <w:pPr>
        <w:pStyle w:val="Compact"/>
        <w:numPr>
          <w:ilvl w:val="0"/>
          <w:numId w:val="1002"/>
        </w:numPr>
        <w:spacing w:after="80" w:line="240" w:lineRule="auto"/>
      </w:pPr>
      <w:r>
        <w:rPr>
          <w:sz w:val="19"/>
        </w:rPr>
        <w:t xml:space="preserve">Keep the October 2026 date, USD per GPU-hour unit and five exact rate pairs: RTX 4090 24 GB $0.49, L40S $0.83, A100 80GB $1.20, RTX PRO 6000 $1.78, H100 80GB $2.96.</w:t>
      </w:r>
    </w:p>
    <w:p>
      <w:pPr>
        <w:pStyle w:val="Compact"/>
        <w:numPr>
          <w:ilvl w:val="0"/>
          <w:numId w:val="1002"/>
        </w:numPr>
        <w:spacing w:after="80" w:line="240" w:lineRule="auto"/>
      </w:pPr>
      <w:r>
        <w:rPr>
          <w:sz w:val="19"/>
        </w:rPr>
        <w:t xml:space="preserve">Keep per-second instance compute billing, separate managed-inference pricing, RTX 5090/H200/B200 contact pricing, and large-volume H100 quotes.</w:t>
      </w:r>
    </w:p>
    <w:p>
      <w:pPr>
        <w:pStyle w:val="Compact"/>
        <w:numPr>
          <w:ilvl w:val="0"/>
          <w:numId w:val="1002"/>
        </w:numPr>
        <w:spacing w:after="80" w:line="240" w:lineRule="auto"/>
      </w:pPr>
      <w:r>
        <w:rPr>
          <w:sz w:val="19"/>
        </w:rPr>
        <w:t xml:space="preserve">Keep the $2.49 L40S example explicitly hypothetical compute arithmetic; do not turn it into a benchmark, savings comparison or all-inclusive bill.</w:t>
      </w:r>
    </w:p>
    <w:p>
      <w:pPr>
        <w:pStyle w:val="Compact"/>
        <w:numPr>
          <w:ilvl w:val="0"/>
          <w:numId w:val="1002"/>
        </w:numPr>
        <w:spacing w:after="80" w:line="240" w:lineRule="auto"/>
      </w:pPr>
      <w:r>
        <w:rPr>
          <w:sz w:val="19"/>
        </w:rPr>
        <w:t xml:space="preserve">Keep image contents, GPU fit, actual configurations and workload measurements conditional; do not promise arbitrary graph compatibility or a specific launch time.</w:t>
      </w:r>
    </w:p>
    <w:p>
      <w:pPr>
        <w:pStyle w:val="Compact"/>
        <w:numPr>
          <w:ilvl w:val="0"/>
          <w:numId w:val="1002"/>
        </w:numPr>
        <w:spacing w:after="80" w:line="240" w:lineRule="auto"/>
      </w:pPr>
      <w:r>
        <w:rPr>
          <w:sz w:val="19"/>
        </w:rPr>
        <w:t xml:space="preserve">Limit Team claims to shared GPUs, environments, datasets, permissions and quotas; do not add automatic shutdown or hard spending-cap guarantees.</w:t>
      </w:r>
    </w:p>
    <w:p>
      <w:pPr>
        <w:pStyle w:val="Compact"/>
        <w:numPr>
          <w:ilvl w:val="0"/>
          <w:numId w:val="1002"/>
        </w:numPr>
        <w:spacing w:after="80" w:line="240" w:lineRule="auto"/>
      </w:pPr>
      <w:r>
        <w:rPr>
          <w:sz w:val="19"/>
        </w:rPr>
        <w:t xml:space="preserve">Keep file retention, restore and resource billing-state checks; a finished process does not establish that instance billing has ended.</w:t>
      </w:r>
    </w:p>
    <w:p>
      <w:pPr>
        <w:pStyle w:val="Compact"/>
        <w:numPr>
          <w:ilvl w:val="0"/>
          <w:numId w:val="1002"/>
        </w:numPr>
        <w:spacing w:after="80" w:line="240" w:lineRule="auto"/>
      </w:pPr>
      <w:r>
        <w:rPr>
          <w:sz w:val="19"/>
        </w:rPr>
        <w:t xml:space="preserve">Keep competitor descriptions at the documented high level. Any later competitor prices, SKUs, SLA, locations or capacity claims require fresh sources and matched terms.</w:t>
      </w:r>
    </w:p>
    <w:p>
      <w:pPr>
        <w:pStyle w:val="Compact"/>
        <w:numPr>
          <w:ilvl w:val="0"/>
          <w:numId w:val="1002"/>
        </w:numPr>
        <w:spacing w:after="80" w:line="240" w:lineRule="auto"/>
      </w:pPr>
      <w:r>
        <w:rPr>
          <w:sz w:val="19"/>
        </w:rPr>
        <w:t xml:space="preserve">Preserve the required excluded-brand check across the article, metadata, links, document properties and delivery files.</w:t>
      </w:r>
    </w:p>
    <w:p>
      <w:pPr>
        <w:pStyle w:val="FirstParagraph"/>
        <w:spacing w:after="80" w:line="240" w:lineRule="auto"/>
      </w:pPr>
      <w:r>
        <w:rPr>
          <w:sz w:val="19"/>
        </w:rPr>
        <w:t xml:space="preserve">Publishing: keep the article text, byline, useful tables and relevant links. Use the SEO fields in the CMS rather than appending this note to the public article. Confirm current platform details before adding any new capability or competitor quote. Indexing and AI citation outcomes require publication and repeated measurement; neither is guaranteed.</w:t>
      </w:r>
    </w:p>
    <w:bookmarkEnd w:id="50"/>
    <w:bookmarkEnd w:id="51"/>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 Type="http://schemas.openxmlformats.org/officeDocument/2006/relationships/hyperlink" Target="https://aws.amazon.com/" TargetMode="External"/><Relationship Id="rId24" Type="http://schemas.openxmlformats.org/officeDocument/2006/relationships/hyperlink" Target="https://azure.microsoft.com/" TargetMode="External"/><Relationship Id="rId23" Type="http://schemas.openxmlformats.org/officeDocument/2006/relationships/hyperlink" Target="https://cloud.google.com/" TargetMode="External"/><Relationship Id="rId48" Type="http://schemas.openxmlformats.org/officeDocument/2006/relationships/hyperlink" Target="https://docs.glows.ai/" TargetMode="External"/><Relationship Id="rId21" Type="http://schemas.openxmlformats.org/officeDocument/2006/relationships/hyperlink" Target="https://glows.ai/" TargetMode="External"/><Relationship Id="rId26" Type="http://schemas.openxmlformats.org/officeDocument/2006/relationships/hyperlink" Target="https://lambda.ai/" TargetMode="External"/><Relationship Id="rId25" Type="http://schemas.openxmlformats.org/officeDocument/2006/relationships/hyperlink" Target="https://www.coreweave.com/" TargetMode="External"/><Relationship Id="rId28" Type="http://schemas.openxmlformats.org/officeDocument/2006/relationships/hyperlink" Target="https://www.digitalocean.com/" TargetMode="External"/><Relationship Id="rId27" Type="http://schemas.openxmlformats.org/officeDocument/2006/relationships/hyperlink" Target="https://www.nvidia.com/"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aws.amazon.com/" TargetMode="External"/><Relationship Id="rId24" Type="http://schemas.openxmlformats.org/officeDocument/2006/relationships/hyperlink" Target="https://azure.microsoft.com/" TargetMode="External"/><Relationship Id="rId23" Type="http://schemas.openxmlformats.org/officeDocument/2006/relationships/hyperlink" Target="https://cloud.google.com/" TargetMode="External"/><Relationship Id="rId48" Type="http://schemas.openxmlformats.org/officeDocument/2006/relationships/hyperlink" Target="https://docs.glows.ai/" TargetMode="External"/><Relationship Id="rId21" Type="http://schemas.openxmlformats.org/officeDocument/2006/relationships/hyperlink" Target="https://glows.ai/" TargetMode="External"/><Relationship Id="rId26" Type="http://schemas.openxmlformats.org/officeDocument/2006/relationships/hyperlink" Target="https://lambda.ai/" TargetMode="External"/><Relationship Id="rId25" Type="http://schemas.openxmlformats.org/officeDocument/2006/relationships/hyperlink" Target="https://www.coreweave.com/" TargetMode="External"/><Relationship Id="rId28" Type="http://schemas.openxmlformats.org/officeDocument/2006/relationships/hyperlink" Target="https://www.digitalocean.com/" TargetMode="External"/><Relationship Id="rId27" Type="http://schemas.openxmlformats.org/officeDocument/2006/relationships/hyperlink" Target="https://www.nvidia.com/"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GPU Cloud Providers for AI and ML in 2026: How to Choose</dc:title>
  <dc:creator>Glows.ai</dc:creator>
  <cp:keywords>GPU cloud, AI, ML, startups, fine-tuning, vLLM, ComfyUI</cp:keywords>
  <dcterms:created xsi:type="dcterms:W3CDTF">2026-10-30T09:29:53Z</dcterms:created>
  <dcterms:modified xsi:type="dcterms:W3CDTF">2026-10-30T09:29:53Z</dcterms:modified>
  <dc:subject>Official website article draft: GPU cloud selection for AI and ML</dc:subject>
</cp:coreProperties>
</file>

<file path=docProps/custom.xml><?xml version="1.0" encoding="utf-8"?>
<Properties xmlns="http://schemas.openxmlformats.org/officeDocument/2006/custom-properties" xmlns:vt="http://schemas.openxmlformats.org/officeDocument/2006/docPropsVTypes"/>
</file>