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Pick the Most Cost-Effective H100 Provider in 2026</w:t>
      </w:r>
    </w:p>
    <w:p>
      <w:pPr>
        <w:spacing w:after="200"/>
      </w:pPr>
      <w:r>
        <w:t>To find the most cost effective H100 provider for your workload, compare the cost of a completed job at the quality, speed, and reliability you need. The hourly GPU price is one input. Hardware configuration, billable idle time, storage, data transfer, and recovery after a failed run also affect the result.</w:t>
      </w:r>
    </w:p>
    <w:p>
      <w:pPr>
        <w:keepNext/>
        <w:spacing w:after="120"/>
      </w:pPr>
      <w:r>
        <w:rPr>
          <w:rFonts w:ascii="Liberation Sans" w:hAnsi="Liberation Sans" w:eastAsia="Noto Sans CJK SC"/>
          <w:b/>
          <w:color w:val="7C3AED"/>
          <w:sz w:val="20"/>
        </w:rPr>
        <w:t>Glows.ai H100 pricing · October 2026 · USD per GPU-hour</w:t>
      </w:r>
    </w:p>
    <w:p>
      <w:r>
        <w:t>Glows.ai is worth considering if you want on-demand H100 80GB instances at a public rate of $2.96 per GPU-hour, per-second billing, and control over your training or inference environment. Large-volume H100 orders require a quote. Run a representative pilot to assess the cost for your own workload; the list price alone does not establish which provider will be most economical.</w:t>
      </w:r>
    </w:p>
    <w:p>
      <w:pPr>
        <w:pStyle w:val="Heading2"/>
      </w:pPr>
      <w:r>
        <w:t>1. Compare equivalent H100 configurations</w:t>
      </w:r>
    </w:p>
    <w:p>
      <w:r>
        <w:t>Start by checking exactly what each quote includes. A price for one GPU is not the same as the bill for a multi-GPU node, and H100 labels do not guarantee identical memory, interconnect, or performance.</w:t>
      </w:r>
    </w:p>
    <w:tbl>
      <w:tblPr>
        <w:tblW w:type="auto" w:w="0"/>
        <w:jc w:val="center"/>
        <w:tblLayout w:type="fixed"/>
        <w:tblLook w:firstColumn="1" w:firstRow="1" w:lastColumn="0" w:lastRow="0" w:noHBand="0" w:noVBand="1" w:val="04A0"/>
      </w:tblPr>
      <w:tblGrid>
        <w:gridCol w:w="2563"/>
        <w:gridCol w:w="7038"/>
      </w:tblGrid>
      <w:tr>
        <w:trPr>
          <w:tblHeader/>
          <w:cantSplit/>
        </w:trPr>
        <w:tc>
          <w:tcPr>
            <w:tcW w:type="dxa" w:w="2563"/>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Compare</w:t>
            </w:r>
          </w:p>
        </w:tc>
        <w:tc>
          <w:tcPr>
            <w:tcW w:type="dxa" w:w="7038"/>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What to confirm</w:t>
            </w:r>
          </w:p>
        </w:tc>
      </w:tr>
      <w:tr>
        <w:trPr>
          <w:cantSplit/>
        </w:trPr>
        <w:tc>
          <w:tcPr>
            <w:tcW w:type="dxa" w:w="2563"/>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GPU configuration</w:t>
            </w:r>
          </w:p>
        </w:tc>
        <w:tc>
          <w:tcPr>
            <w:tcW w:type="dxa" w:w="7038"/>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Exact H100 variant, memory per GPU, GPU count, and any paired-GPU or node requirements</w:t>
            </w:r>
          </w:p>
        </w:tc>
      </w:tr>
      <w:tr>
        <w:trPr>
          <w:cantSplit/>
        </w:trPr>
        <w:tc>
          <w:tcPr>
            <w:tcW w:type="dxa" w:w="2563"/>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Instance package</w:t>
            </w:r>
          </w:p>
        </w:tc>
        <w:tc>
          <w:tcPr>
            <w:tcW w:type="dxa" w:w="7038"/>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CPU, RAM, storage, network limits, and whether you must rent an entire node</w:t>
            </w:r>
          </w:p>
        </w:tc>
      </w:tr>
      <w:tr>
        <w:trPr>
          <w:cantSplit/>
        </w:trPr>
        <w:tc>
          <w:tcPr>
            <w:tcW w:type="dxa" w:w="2563"/>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Billing terms</w:t>
            </w:r>
          </w:p>
        </w:tc>
        <w:tc>
          <w:tcPr>
            <w:tcW w:type="dxa" w:w="7038"/>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USD per GPU-hour or per node-hour, minimum charge, billing increment, and separately billed services</w:t>
            </w:r>
          </w:p>
        </w:tc>
      </w:tr>
      <w:tr>
        <w:trPr>
          <w:cantSplit/>
        </w:trPr>
        <w:tc>
          <w:tcPr>
            <w:tcW w:type="dxa" w:w="2563"/>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Capacity and interruption</w:t>
            </w:r>
          </w:p>
        </w:tc>
        <w:tc>
          <w:tcPr>
            <w:tcW w:type="dxa" w:w="7038"/>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Availability for your required run, reservation terms, and whether the offer is on-demand or interruptible</w:t>
            </w:r>
          </w:p>
        </w:tc>
      </w:tr>
      <w:tr>
        <w:trPr>
          <w:cantSplit/>
        </w:trPr>
        <w:tc>
          <w:tcPr>
            <w:tcW w:type="dxa" w:w="2563"/>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Recovery and support</w:t>
            </w:r>
          </w:p>
        </w:tc>
        <w:tc>
          <w:tcPr>
            <w:tcW w:type="dxa" w:w="7038"/>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Checkpoint recovery requirements, support hours, escalation paths, and any contractual service commitments</w:t>
            </w:r>
          </w:p>
        </w:tc>
      </w:tr>
    </w:tbl>
    <w:p>
      <w:pPr>
        <w:spacing w:after="20" w:before="0" w:line="240" w:lineRule="auto"/>
      </w:pPr>
      <w:r>
        <w:rPr>
          <w:sz w:val="4"/>
        </w:rPr>
      </w:r>
    </w:p>
    <w:p>
      <w:r>
        <w:t>The Glows.ai H100 option listed here has 80GB of GPU memory. Confirm the available variant and node configuration before booking; do not assume a particular PCIe, SXM, NVLink, or NVSwitch configuration from the GPU name alone.</w:t>
      </w:r>
    </w:p>
    <w:p>
      <w:r>
        <w:t>A marketplace is a way to source capacity, while spot or interruptible terms describe whether that capacity can be reclaimed. Check the actual offer instead of assuming all marketplace instances have the same interruption policy.</w:t>
      </w:r>
    </w:p>
    <w:p>
      <w:r>
        <w:t>When comparing Glows.ai with RunPod, Vast.ai, Lambda, GMI Cloud, or AWS, record each published quote’s source and date. Compare equivalent on-demand offers first, then evaluate interruptible offers separately. For multi-GPU nodes, normalize the price per GPU for comparison, but budget for the full node if that is what you must rent.</w:t>
      </w:r>
    </w:p>
    <w:p>
      <w:r>
        <w:br w:type="page"/>
      </w:r>
    </w:p>
    <w:p>
      <w:pPr>
        <w:pStyle w:val="Heading2"/>
      </w:pPr>
      <w:r>
        <w:t>2. Calculate the complete cost without double-counting</w:t>
      </w:r>
    </w:p>
    <w:p>
      <w:r>
        <w:t>For each configuration or billing period, calculate compute charges from the actual GPU count, rate, and billable time. If rates or GPU counts change, add the charges for each period.</w:t>
      </w:r>
    </w:p>
    <w:p>
      <w:pPr>
        <w:keepLines/>
        <w:spacing w:before="100" w:after="200"/>
        <w:ind w:left="144"/>
        <w:shd w:fill="F3E8FF"/>
      </w:pPr>
      <w:r>
        <w:rPr>
          <w:rFonts w:ascii="Liberation Sans" w:hAnsi="Liberation Sans" w:eastAsia="Noto Sans CJK SC"/>
          <w:b/>
          <w:color w:val="5B21B6"/>
        </w:rPr>
        <w:t>Compute charge = Σ(GPU count × rate per GPU-hour × billable hours)</w:t>
      </w:r>
    </w:p>
    <w:p>
      <w:r>
        <w:t>Billable hours may include setup, idle time, the successful run, and failed attempts. If those periods are already included in compute charges, do not add the same compute expense again as a separate retry or setup cost.</w:t>
      </w:r>
    </w:p>
    <w:p>
      <w:r>
        <w:t>Then add separately billed storage, data transfer, and any applicable paid software or service fees. Check whether a resource is already included in the instance price before adding it. Queue time affects delivery time, but contributes to compute charges only when the billing rules make it chargeable.</w:t>
      </w:r>
    </w:p>
    <w:p>
      <w:r>
        <w:t>For an internal total-cost estimate, calculate engineering time separately as engineer hours multiplied by an hourly labor cost. Keep that estimate distinct from the cloud invoice, and do not add unpriced minutes directly to dollar amounts.</w:t>
      </w:r>
    </w:p>
    <w:p>
      <w:pPr>
        <w:pStyle w:val="Heading3"/>
      </w:pPr>
      <w:r>
        <w:t>Example: how idle time changes the effective rate</w:t>
      </w:r>
    </w:p>
    <w:p>
      <w:r>
        <w:t>Assume one H100 is billed at $2.96 per GPU-hour for 10 hours, but only seven hours are used for the intended job. This is an illustrative calculation, not a Glows.ai performance benchmark.</w:t>
      </w:r>
    </w:p>
    <w:tbl>
      <w:tblPr>
        <w:tblW w:type="auto" w:w="0"/>
        <w:jc w:val="center"/>
        <w:tblLayout w:type="fixed"/>
        <w:tblLook w:firstColumn="1" w:firstRow="1" w:lastColumn="0" w:lastRow="0" w:noHBand="0" w:noVBand="1" w:val="04A0"/>
      </w:tblPr>
      <w:tblGrid>
        <w:gridCol w:w="4824"/>
        <w:gridCol w:w="4777"/>
      </w:tblGrid>
      <w:tr>
        <w:trPr>
          <w:tblHeader/>
          <w:cantSplit/>
        </w:trPr>
        <w:tc>
          <w:tcPr>
            <w:tcW w:type="dxa" w:w="4824"/>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Measure</w:t>
            </w:r>
          </w:p>
        </w:tc>
        <w:tc>
          <w:tcPr>
            <w:tcW w:type="dxa" w:w="4777"/>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Illustrative result</w:t>
            </w:r>
          </w:p>
        </w:tc>
      </w:tr>
      <w:tr>
        <w:trPr>
          <w:cantSplit/>
        </w:trPr>
        <w:tc>
          <w:tcPr>
            <w:tcW w:type="dxa" w:w="4824"/>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Billable time</w:t>
            </w:r>
          </w:p>
        </w:tc>
        <w:tc>
          <w:tcPr>
            <w:tcW w:type="dxa" w:w="4777"/>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10 GPU-hours</w:t>
            </w:r>
          </w:p>
        </w:tc>
      </w:tr>
      <w:tr>
        <w:trPr>
          <w:cantSplit/>
        </w:trPr>
        <w:tc>
          <w:tcPr>
            <w:tcW w:type="dxa" w:w="4824"/>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Productive job time</w:t>
            </w:r>
          </w:p>
        </w:tc>
        <w:tc>
          <w:tcPr>
            <w:tcW w:type="dxa" w:w="4777"/>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7 GPU-hours</w:t>
            </w:r>
          </w:p>
        </w:tc>
      </w:tr>
      <w:tr>
        <w:trPr>
          <w:cantSplit/>
        </w:trPr>
        <w:tc>
          <w:tcPr>
            <w:tcW w:type="dxa" w:w="4824"/>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Productive share of billable time</w:t>
            </w:r>
          </w:p>
        </w:tc>
        <w:tc>
          <w:tcPr>
            <w:tcW w:type="dxa" w:w="4777"/>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70%</w:t>
            </w:r>
          </w:p>
        </w:tc>
      </w:tr>
      <w:tr>
        <w:trPr>
          <w:cantSplit/>
        </w:trPr>
        <w:tc>
          <w:tcPr>
            <w:tcW w:type="dxa" w:w="4824"/>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GPU compute charge</w:t>
            </w:r>
          </w:p>
        </w:tc>
        <w:tc>
          <w:tcPr>
            <w:tcW w:type="dxa" w:w="4777"/>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10 × $2.96 = $29.60</w:t>
            </w:r>
          </w:p>
        </w:tc>
      </w:tr>
      <w:tr>
        <w:trPr>
          <w:cantSplit/>
        </w:trPr>
        <w:tc>
          <w:tcPr>
            <w:tcW w:type="dxa" w:w="4824"/>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Compute cost per productive GPU-hour</w:t>
            </w:r>
          </w:p>
        </w:tc>
        <w:tc>
          <w:tcPr>
            <w:tcW w:type="dxa" w:w="4777"/>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$29.60 ÷ 7 ≈ $4.23</w:t>
            </w:r>
          </w:p>
        </w:tc>
      </w:tr>
    </w:tbl>
    <w:p>
      <w:pPr>
        <w:spacing w:after="20" w:before="0" w:line="240" w:lineRule="auto"/>
      </w:pPr>
      <w:r>
        <w:rPr>
          <w:sz w:val="4"/>
        </w:rPr>
      </w:r>
    </w:p>
    <w:p>
      <w:r>
        <w:t>Here, 30% of billable time is idle, making the compute cost per productive GPU-hour about 42.9% higher than at full utilization. Utilization in this example means productive job time divided by billable instance time; it is not a hardware-utilization measurement. Other service charges are excluded.</w:t>
      </w:r>
    </w:p>
    <w:p>
      <w:r>
        <w:t>Reducing avoidable idle time can therefore matter more than a modest difference in hourly rates. Check the provider’s stop and release rules, including whether storage remains billable after compute stops.</w:t>
      </w:r>
    </w:p>
    <w:p>
      <w:r>
        <w:br w:type="page"/>
      </w:r>
    </w:p>
    <w:p>
      <w:pPr>
        <w:pStyle w:val="Heading2"/>
      </w:pPr>
      <w:r>
        <w:t>3. Measure training and inference differently</w:t>
      </w:r>
    </w:p>
    <w:p>
      <w:pPr>
        <w:pStyle w:val="Heading3"/>
      </w:pPr>
      <w:r>
        <w:t>For training: compare cost at the same target quality</w:t>
      </w:r>
    </w:p>
    <w:p>
      <w:r>
        <w:t>Use the same model, dataset, and target validation metric when comparing providers. Record peak memory, training throughput, total billable time, checkpoint I/O, and any failed-run recovery. A lower cost per training step can be misleading if batch size or sequence length changes, or more steps are needed to reach the target quality.</w:t>
      </w:r>
    </w:p>
    <w:p>
      <w:r>
        <w:t>For distributed training, confirm the interconnect and framework support, then measure scaling efficiency. More GPUs do not automatically reduce the total bill. Tune mixed precision, batch settings, and checkpoint frequency against both runtime and validation results; more frequent recovery checkpoints reduce potential lost work but add I/O.</w:t>
      </w:r>
    </w:p>
    <w:p>
      <w:pPr>
        <w:pStyle w:val="Heading3"/>
      </w:pPr>
      <w:r>
        <w:t>For inference: compare cost at the same service requirements</w:t>
      </w:r>
    </w:p>
    <w:p>
      <w:r>
        <w:t>Keep model quality, precision, input and output lengths, concurrency, and latency targets comparable. Measure cost per successful request or per million tokens within those conditions. Include idle capacity when estimating a continuously running endpoint.</w:t>
      </w:r>
    </w:p>
    <w:p>
      <w:r>
        <w:t>Compare rented GPU infrastructure with hosted model APIs using a representative traffic pattern. Steady demand may make a well-utilized GPU attractive, while variable traffic can favor usage-priced APIs; the outcome depends on measured throughput, API charges, and operational requirements. Confirm autoscaling behavior and whether any minimum resources remain billable rather than assuming charges automatically drop to zero.</w:t>
      </w:r>
    </w:p>
    <w:p>
      <w:pPr>
        <w:pStyle w:val="Heading2"/>
      </w:pPr>
      <w:r>
        <w:t>4. Check the workflow and recovery requirements</w:t>
      </w:r>
    </w:p>
    <w:p>
      <w:r>
        <w:t>Glows.ai’s image catalog includes PyTorch environments and LLaMA-Factory. Verify the selected image’s Python, CUDA, framework, and library compatibility with your workload. Use SSH or JupyterLab to configure and test the job; an image listing does not guarantee that every training recipe runs unchanged.</w:t>
      </w:r>
    </w:p>
    <w:p>
      <w:r>
        <w:t>Save and reload a checkpoint before a long run, and confirm storage retention and access after the instance ends. If automation is important, review the current API documentation and verify the operations you need. Ask about capacity, support coverage, recovery procedures, and contract terms without assuming that node replacement will restore a training process automatically.</w:t>
      </w:r>
    </w:p>
    <w:p>
      <w:pPr>
        <w:pStyle w:val="Heading2"/>
      </w:pPr>
      <w:r>
        <w:t>5. Compare H200 or another GPU when the workload warrants it</w:t>
      </w:r>
    </w:p>
    <w:p>
      <w:r>
        <w:t>If an H100 configuration cannot fit the job or meet your throughput target, compare another GPU using its actual quote and measured runtime. Glows.ai offers H200 and B200 deployments through direct contact; do not infer their prices from an H100 rate.</w:t>
      </w:r>
    </w:p>
    <w:p>
      <w:r>
        <w:t>For illustration, if another configuration costs 20% more per hour but completes the same job to the same quality in 30% less time, compute costs would be 1.20 × 0.70 = 0.84 of the original cost, or 16% lower. These are hypothetical differences, not H200 benchmark results. If a smaller GPU meets the same requirements at a lower completed-job cost, include it in the comparison as well.</w:t>
      </w:r>
    </w:p>
    <w:p>
      <w:r>
        <w:br w:type="page"/>
      </w:r>
    </w:p>
    <w:p>
      <w:pPr>
        <w:pStyle w:val="Heading2"/>
      </w:pPr>
      <w:r>
        <w:t>Frequently asked questions</w:t>
      </w:r>
    </w:p>
    <w:p>
      <w:pPr>
        <w:pStyle w:val="Heading3"/>
      </w:pPr>
      <w:r>
        <w:t>When is Glows.ai a cost-effective H100 option?</w:t>
      </w:r>
    </w:p>
    <w:p>
      <w:r>
        <w:t>Glows.ai is worth considering when you need on-demand H100 80GB compute, per-second billing, and control over your software environment. The public rate is $2.96 per GPU-hour; large-volume orders require a quote. Validate memory fit, runtime, and all applicable charges with your own workload before deciding.</w:t>
      </w:r>
    </w:p>
    <w:p>
      <w:pPr>
        <w:pStyle w:val="Heading3"/>
      </w:pPr>
      <w:r>
        <w:t>What should I check when searching for the cheapest H100 cloud instance per hour?</w:t>
      </w:r>
    </w:p>
    <w:p>
      <w:r>
        <w:t>Check the exact GPU variant and memory, GPU count, minimum rental size, interruption policy, availability, and separately billed services. A low per-GPU figure may require renting a full node or accepting different operating terms. Compare dated quotes for equivalent configurations rather than treating the lowest advertised number as a complete offer.</w:t>
      </w:r>
    </w:p>
    <w:p>
      <w:pPr>
        <w:pStyle w:val="Heading3"/>
      </w:pPr>
      <w:r>
        <w:t>Can I use the single-GPU rate to budget a large H100 cluster?</w:t>
      </w:r>
    </w:p>
    <w:p>
      <w:r>
        <w:t>Use it only as an initial arithmetic reference. It does not establish the price or availability of a particular multi-GPU node, interconnect, or cluster configuration. Contact Glows.ai for a large-volume H100 quote that specifies the resources, rental terms, and applicable charges.</w:t>
      </w:r>
    </w:p>
    <w:p>
      <w:pPr>
        <w:pStyle w:val="Heading3"/>
      </w:pPr>
      <w:r>
        <w:t>Should I rent H100 GPUs or use a hosted model API?</w:t>
      </w:r>
    </w:p>
    <w:p>
      <w:r>
        <w:t>Compare both against the same model-quality and service requirements. For rented GPUs, include billable idle time and operational work. For APIs, use the provider’s billing units and your expected input/output mix. Test a representative workload; neither approach is universally more economical.</w:t>
      </w:r>
    </w:p>
    <w:p>
      <w:pPr>
        <w:pStyle w:val="Heading3"/>
      </w:pPr>
      <w:r>
        <w:t>Does fixed on-demand pricing guarantee uninterrupted training?</w:t>
      </w:r>
    </w:p>
    <w:p>
      <w:r>
        <w:t>No. Pricing and service availability are separate considerations. Review the offer’s interruption policy, support terms, and recovery procedures, and keep recoverable checkpoints. A fixed hourly rate alone is not an uptime or data-recovery guarantee.</w:t>
      </w:r>
    </w:p>
    <w:p>
      <w:pPr>
        <w:pStyle w:val="Heading2"/>
      </w:pPr>
      <w:r>
        <w:t>Evaluate the cost of your next H100 run</w:t>
      </w:r>
    </w:p>
    <w:p>
      <w:r>
        <w:t>Start with a matched configuration, a measured pilot, and a complete billable-cost estimate. Explore Glows.ai On-Demand Cloud for H100 compute, or contact our team to discuss a larger deployment. Use the public rate as a starting point, then decide using the cost of a successful run.</w:t>
      </w:r>
    </w:p>
    <w:p>
      <w:pPr>
        <w:spacing w:after="80"/>
      </w:pPr>
      <w:hyperlink r:id="rId11">
        <w:r>
          <w:rPr>
            <w:color w:val="7C3AED"/>
            <w:u w:val="single"/>
          </w:rPr>
          <w:t>Explore Glows.ai On-Demand Cloud</w:t>
        </w:r>
      </w:hyperlink>
    </w:p>
    <w:p>
      <w:pPr>
        <w:spacing w:after="80"/>
      </w:pPr>
      <w:hyperlink r:id="rId12">
        <w:r>
          <w:rPr>
            <w:color w:val="7C3AED"/>
            <w:u w:val="single"/>
          </w:rPr>
          <w:t>Read the Glows.ai documentation</w:t>
        </w:r>
      </w:hyperlink>
    </w:p>
    <w:p>
      <w:pPr>
        <w:spacing w:after="80"/>
      </w:pPr>
      <w:hyperlink r:id="rId13">
        <w:r>
          <w:rPr>
            <w:color w:val="7C3AED"/>
            <w:u w:val="single"/>
          </w:rPr>
          <w:t>Contact Glows.ai</w:t>
        </w:r>
      </w:hyperlink>
    </w:p>
    <w:p>
      <w:pPr>
        <w:pStyle w:val="Heading3"/>
      </w:pPr>
      <w:r>
        <w:t>Related reading</w:t>
      </w:r>
    </w:p>
    <w:p>
      <w:pPr>
        <w:spacing w:after="80"/>
      </w:pPr>
      <w:hyperlink r:id="rId14">
        <w:r>
          <w:rPr>
            <w:color w:val="7C3AED"/>
            <w:u w:val="single"/>
          </w:rPr>
          <w:t>How to Estimate the Real Cost of a GPU Workload</w:t>
        </w:r>
      </w:hyperlink>
    </w:p>
    <w:p>
      <w:pPr>
        <w:spacing w:after="80"/>
      </w:pPr>
      <w:hyperlink r:id="rId15">
        <w:r>
          <w:rPr>
            <w:color w:val="7C3AED"/>
            <w:u w:val="single"/>
          </w:rPr>
          <w:t>Cheap GPU Cloud: Understanding the Real Cost</w:t>
        </w:r>
      </w:hyperlink>
    </w:p>
    <w:p>
      <w:pPr>
        <w:spacing w:after="80"/>
      </w:pPr>
      <w:hyperlink r:id="rId16">
        <w:r>
          <w:rPr>
            <w:color w:val="7C3AED"/>
            <w:u w:val="single"/>
          </w:rPr>
          <w:t>Glows.ai API documentation</w:t>
        </w:r>
      </w:hyperlink>
    </w:p>
    <w:sectPr w:rsidR="00FC693F" w:rsidRPr="0006063C" w:rsidSect="00034616">
      <w:headerReference w:type="default" r:id="rId9"/>
      <w:footerReference w:type="default" r:id="rId10"/>
      <w:pgSz w:w="11905" w:h="16838"/>
      <w:pgMar w:top="1051"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Developer guides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Liberation Sans" w:hAnsi="Liberation Sans" w:eastAsia="Noto Sans CJK SC"/>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52" w:lineRule="auto"/>
      <w:outlineLvl w:val="0"/>
    </w:pPr>
    <w:rPr>
      <w:rFonts w:asciiTheme="majorHAnsi" w:eastAsiaTheme="majorEastAsia" w:hAnsiTheme="majorHAnsi" w:cstheme="majorBidi" w:ascii="Liberation Sans" w:hAnsi="Liberation Sans" w:eastAsia="Noto Sans CJK SC"/>
      <w:b/>
      <w:bCs/>
      <w:color w:val="5B21B6"/>
      <w:sz w:val="48"/>
      <w:szCs w:val="28"/>
    </w:rPr>
  </w:style>
  <w:style w:type="paragraph" w:styleId="Heading2">
    <w:name w:val="heading 2"/>
    <w:basedOn w:val="Normal"/>
    <w:next w:val="Normal"/>
    <w:link w:val="Heading2Char"/>
    <w:uiPriority w:val="9"/>
    <w:unhideWhenUsed/>
    <w:qFormat/>
    <w:rsid w:val="00FC693F"/>
    <w:pPr>
      <w:keepNext/>
      <w:keepLines/>
      <w:spacing w:before="260" w:after="160" w:line="252" w:lineRule="auto"/>
      <w:outlineLvl w:val="1"/>
    </w:pPr>
    <w:rPr>
      <w:rFonts w:asciiTheme="majorHAnsi" w:eastAsiaTheme="majorEastAsia" w:hAnsiTheme="majorHAnsi" w:cstheme="majorBidi" w:ascii="Liberation Sans" w:hAnsi="Liberation Sans" w:eastAsia="Noto Sans CJK SC"/>
      <w:b/>
      <w:bCs/>
      <w:color w:val="5B21B6"/>
      <w:sz w:val="30"/>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Liberation Sans" w:hAnsi="Liberation Sans" w:eastAsia="Noto Sans CJK SC"/>
      <w:b/>
      <w:bCs/>
      <w:color w:val="5B21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7C3AE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B21B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B21B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7C3AE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B21B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7C3AE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7C3AED"/>
    </w:rPr>
  </w:style>
  <w:style w:type="paragraph" w:styleId="Title">
    <w:name w:val="Title"/>
    <w:basedOn w:val="Normal"/>
    <w:next w:val="Normal"/>
    <w:link w:val="TitleChar"/>
    <w:uiPriority w:val="10"/>
    <w:qFormat/>
    <w:rsid w:val="00FC693F"/>
    <w:pPr>
      <w:pBdr>
        <w:bottom w:val="single" w:sz="8" w:space="4" w:color="7C3AED"/>
      </w:pBdr>
      <w:spacing w:after="300" w:line="240" w:lineRule="auto"/>
      <w:contextualSpacing/>
    </w:pPr>
    <w:rPr>
      <w:rFonts w:asciiTheme="majorHAnsi" w:eastAsiaTheme="majorEastAsia" w:hAnsiTheme="majorHAnsi" w:cstheme="majorBidi"/>
      <w:color w:val="5B21B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B21B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C3AE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7C3AE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Liberation Sans" w:hAnsi="Liberation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Liberation Sans" w:hAnsi="Liberation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7C3AE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B21B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B21B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7C3AE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7C3AE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7C3AED"/>
      </w:pBdr>
      <w:spacing w:before="200" w:after="280"/>
      <w:ind w:left="936" w:right="936"/>
    </w:pPr>
    <w:rPr>
      <w:b/>
      <w:bCs/>
      <w:i/>
      <w:iCs/>
      <w:color w:val="7C3AED"/>
    </w:rPr>
  </w:style>
  <w:style w:type="character" w:customStyle="1" w:styleId="IntenseQuoteChar">
    <w:name w:val="Intense Quote Char"/>
    <w:basedOn w:val="DefaultParagraphFont"/>
    <w:link w:val="IntenseQuote"/>
    <w:uiPriority w:val="30"/>
    <w:rsid w:val="00FC693F"/>
    <w:rPr>
      <w:b/>
      <w:bCs/>
      <w:i/>
      <w:iCs/>
      <w:color w:val="7C3AE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7C3AED"/>
    </w:rPr>
  </w:style>
  <w:style w:type="character" w:styleId="SubtleReference">
    <w:name w:val="Subtle Reference"/>
    <w:basedOn w:val="DefaultParagraphFont"/>
    <w:uiPriority w:val="31"/>
    <w:qFormat/>
    <w:rsid w:val="00FC693F"/>
    <w:rPr>
      <w:smallCaps/>
      <w:color w:val="7C3AED"/>
      <w:u w:val="single"/>
    </w:rPr>
  </w:style>
  <w:style w:type="character" w:styleId="IntenseReference">
    <w:name w:val="Intense Reference"/>
    <w:basedOn w:val="DefaultParagraphFont"/>
    <w:uiPriority w:val="32"/>
    <w:qFormat/>
    <w:rsid w:val="00FC693F"/>
    <w:rPr>
      <w:b/>
      <w:bCs/>
      <w:smallCaps/>
      <w:color w:val="7C3AE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2">
    <w:name w:val="Light Shading Accent 2"/>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3">
    <w:name w:val="Light Shading Accent 3"/>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4">
    <w:name w:val="Light Shading Accent 4"/>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5">
    <w:name w:val="Light Shading Accent 5"/>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6">
    <w:name w:val="Light Shading Accent 6"/>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B21B6"/>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21B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C3A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C3AE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7C3AE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B21B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B21B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7C3AE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B21B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7C3AE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7C3AED"/>
    </w:rPr>
  </w:style>
  <w:style w:type="paragraph" w:styleId="Title">
    <w:name w:val="Title"/>
    <w:basedOn w:val="Normal"/>
    <w:next w:val="Normal"/>
    <w:link w:val="TitleChar"/>
    <w:uiPriority w:val="10"/>
    <w:qFormat/>
    <w:rsid w:val="00FC693F"/>
    <w:pPr>
      <w:pBdr>
        <w:bottom w:val="single" w:sz="8" w:space="4" w:color="7C3AED"/>
      </w:pBdr>
      <w:spacing w:after="300" w:line="240" w:lineRule="auto"/>
      <w:contextualSpacing/>
    </w:pPr>
    <w:rPr>
      <w:rFonts w:asciiTheme="majorHAnsi" w:eastAsiaTheme="majorEastAsia" w:hAnsiTheme="majorHAnsi" w:cstheme="majorBidi"/>
      <w:color w:val="5B21B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B21B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C3AE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7C3AE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7C3AE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B21B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B21B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7C3AE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7C3AE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7C3AED"/>
      </w:pBdr>
      <w:spacing w:before="200" w:after="280"/>
      <w:ind w:left="936" w:right="936"/>
    </w:pPr>
    <w:rPr>
      <w:b/>
      <w:bCs/>
      <w:i/>
      <w:iCs/>
      <w:color w:val="7C3AED"/>
    </w:rPr>
  </w:style>
  <w:style w:type="character" w:customStyle="1" w:styleId="IntenseQuoteChar">
    <w:name w:val="Intense Quote Char"/>
    <w:basedOn w:val="DefaultParagraphFont"/>
    <w:link w:val="IntenseQuote"/>
    <w:uiPriority w:val="30"/>
    <w:rsid w:val="00FC693F"/>
    <w:rPr>
      <w:b/>
      <w:bCs/>
      <w:i/>
      <w:iCs/>
      <w:color w:val="7C3AE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7C3AED"/>
    </w:rPr>
  </w:style>
  <w:style w:type="character" w:styleId="SubtleReference">
    <w:name w:val="Subtle Reference"/>
    <w:basedOn w:val="DefaultParagraphFont"/>
    <w:uiPriority w:val="31"/>
    <w:qFormat/>
    <w:rsid w:val="00FC693F"/>
    <w:rPr>
      <w:smallCaps/>
      <w:color w:val="7C3AED"/>
      <w:u w:val="single"/>
    </w:rPr>
  </w:style>
  <w:style w:type="character" w:styleId="IntenseReference">
    <w:name w:val="Intense Reference"/>
    <w:basedOn w:val="DefaultParagraphFont"/>
    <w:uiPriority w:val="32"/>
    <w:qFormat/>
    <w:rsid w:val="00FC693F"/>
    <w:rPr>
      <w:b/>
      <w:bCs/>
      <w:smallCaps/>
      <w:color w:val="7C3AE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2">
    <w:name w:val="Light Shading Accent 2"/>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3">
    <w:name w:val="Light Shading Accent 3"/>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4">
    <w:name w:val="Light Shading Accent 4"/>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5">
    <w:name w:val="Light Shading Accent 5"/>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6">
    <w:name w:val="Light Shading Accent 6"/>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B21B6"/>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lows.ai/product/on-demand-cloud" TargetMode="External"/><Relationship Id="rId12" Type="http://schemas.openxmlformats.org/officeDocument/2006/relationships/hyperlink" Target="https://docs.glows.ai" TargetMode="External"/><Relationship Id="rId13" Type="http://schemas.openxmlformats.org/officeDocument/2006/relationships/hyperlink" Target="mailto:hi@glows.ai" TargetMode="External"/><Relationship Id="rId14" Type="http://schemas.openxmlformats.org/officeDocument/2006/relationships/hyperlink" Target="https://glows.ai/article/estimate_gpu_workload_cost_en" TargetMode="External"/><Relationship Id="rId15" Type="http://schemas.openxmlformats.org/officeDocument/2006/relationships/hyperlink" Target="https://glows.ai/article/cheap_gpu_cloud_real_cost_en" TargetMode="External"/><Relationship Id="rId16" Type="http://schemas.openxmlformats.org/officeDocument/2006/relationships/hyperlink" Target="https://sdkdoc.glows.ai/" TargetMode="Externa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Pick the Most Cost-Effective H100 Provider in 2026</dc:title>
  <dc:subject>H100 cloud provider selection and completed-job cost</dc:subject>
  <dc:creator>Glows.ai</dc:creator>
  <cp:keywords/>
  <dc:description>generated by python-docx</dc:description>
  <cp:lastModifiedBy/>
  <cp:revision>1</cp:revision>
  <dcterms:created xsi:type="dcterms:W3CDTF">2013-12-23T23:15:00Z</dcterms:created>
  <dcterms:modified xsi:type="dcterms:W3CDTF">2013-12-23T23:15:00Z</dcterms:modified>
  <cp:category/>
</cp:coreProperties>
</file>