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glowsai-tutorial-video-scripts"/>
    <w:p>
      <w:pPr>
        <w:pStyle w:val="Heading1"/>
      </w:pPr>
      <w:r>
        <w:t xml:space="preserve">Glows.ai Tutorial Video Scripts</w:t>
      </w:r>
    </w:p>
    <w:p>
      <w:pPr>
        <w:pStyle w:val="FirstParagraph"/>
      </w:pPr>
      <w:r>
        <w:t xml:space="preserve">Production draft — 28 October 2026. Each video is planned for 3–5 minutes. Narration describing successful actions is to be used only after filming those actions on a real instance. Commands are rehearsal candidates, not executed or validated run logs. Confirm current image compatibility, model identity/license, GPU rate and resource-ending behavior before filming. Use actual footage and label time-compressed waits. Keep credentials private.</w:t>
      </w:r>
    </w:p>
    <w:bookmarkStart w:id="33" w:name="X80852c15047eac7db8d7b74b34108978b98af74"/>
    <w:p>
      <w:pPr>
        <w:pStyle w:val="Heading2"/>
        <w:pageBreakBefore w:val="0"/>
      </w:pPr>
      <w:r>
        <w:t xml:space="preserve">Video 1 — GPU Cloud with a Preconfigured ComfyUI Image: Run FLUX.1-Kontext on Glows.ai</w:t>
      </w:r>
    </w:p>
    <w:bookmarkStart w:id="20" w:name="X15bbe9a109ce013fbcb9e1c8d45fb68a4799de0"/>
    <w:p>
      <w:pPr>
        <w:pStyle w:val="Heading3"/>
      </w:pPr>
      <w:r>
        <w:t xml:space="preserve">00:00–00:25 — Show the result and state the task</w:t>
      </w:r>
    </w:p>
    <w:p>
      <w:pPr>
        <w:pStyle w:val="FirstParagraph"/>
      </w:pPr>
      <w:r>
        <w:rPr>
          <w:b/>
          <w:bCs/>
        </w:rPr>
        <w:t xml:space="preserve">Narration</w:t>
      </w:r>
    </w:p>
    <w:p>
      <w:pPr>
        <w:pStyle w:val="BodyText"/>
      </w:pPr>
      <w:r>
        <w:t xml:space="preserve">Run a reproducible FLUX.1-Kontext edit on Glows.ai using a preconfigured ComfyUI image. We will check the environment, generate an edit, and download both the image and workflow. You get a cataloged starting point and per-second GPU billing, without buying a local GPU. Here are the input and the result from the recorded run.</w:t>
      </w:r>
    </w:p>
    <w:p>
      <w:pPr>
        <w:pStyle w:val="BodyText"/>
      </w:pPr>
      <w:r>
        <w:rPr>
          <w:b/>
          <w:bCs/>
        </w:rPr>
        <w:t xml:space="preserve">On screen</w:t>
      </w:r>
    </w:p>
    <w:p>
      <w:pPr>
        <w:pStyle w:val="BodyText"/>
      </w:pPr>
      <w:r>
        <w:t xml:space="preserve">Show the actual input, final edit and recorded instance. Label this as an official Glows.ai tutorial.</w:t>
      </w:r>
    </w:p>
    <w:bookmarkEnd w:id="20"/>
    <w:bookmarkStart w:id="21" w:name="X5ad6a58d363cd89c48dac3129d34c8456fde594"/>
    <w:p>
      <w:pPr>
        <w:pStyle w:val="Heading3"/>
      </w:pPr>
      <w:r>
        <w:t xml:space="preserve">00:25–00:55 — Verify the selected image, GPU, and rate</w:t>
      </w:r>
    </w:p>
    <w:p>
      <w:pPr>
        <w:pStyle w:val="FirstParagraph"/>
      </w:pPr>
      <w:r>
        <w:rPr>
          <w:b/>
          <w:bCs/>
        </w:rPr>
        <w:t xml:space="preserve">Narration</w:t>
      </w:r>
    </w:p>
    <w:p>
      <w:pPr>
        <w:pStyle w:val="BodyText"/>
      </w:pPr>
      <w:r>
        <w:t xml:space="preserve">Choose the ComfyUI FLUX.1-Kontext image and review its configuration. The public October 2026 RTX 4090 reference rate is forty-nine cents per GPU-hour, with per-second compute billing. Check the current quote and select a GPU that fits the verified workflow. Record the actual hardware and image version shown here, so someone else can repeat the setup.</w:t>
      </w:r>
    </w:p>
    <w:p>
      <w:pPr>
        <w:pStyle w:val="BodyText"/>
      </w:pPr>
      <w:r>
        <w:rPr>
          <w:b/>
          <w:bCs/>
        </w:rPr>
        <w:t xml:space="preserve">On screen</w:t>
      </w:r>
    </w:p>
    <w:p>
      <w:pPr>
        <w:pStyle w:val="BodyText"/>
      </w:pPr>
      <w:r>
        <w:t xml:space="preserve">Show the selected catalog image, GPU and current quote. If RTX 4090 is used, show the October 2026 $0.49/GPU-hour reference and per-second billing.</w:t>
      </w:r>
    </w:p>
    <w:p>
      <w:pPr>
        <w:pStyle w:val="SourceCode"/>
      </w:pPr>
      <w:r>
        <w:rPr>
          <w:rStyle w:val="ExtensionTok"/>
        </w:rPr>
        <w:t xml:space="preserve">nvidia-smi</w:t>
      </w:r>
      <w:r>
        <w:rPr>
          <w:rStyle w:val="NormalTok"/>
        </w:rPr>
        <w:t xml:space="preserve"> </w:t>
      </w:r>
      <w:r>
        <w:rPr>
          <w:rStyle w:val="AttributeTok"/>
        </w:rPr>
        <w:t xml:space="preserve">--query-gpu</w:t>
      </w:r>
      <w:r>
        <w:rPr>
          <w:rStyle w:val="OperatorTok"/>
        </w:rPr>
        <w:t xml:space="preserve">=</w:t>
      </w:r>
      <w:r>
        <w:rPr>
          <w:rStyle w:val="NormalTok"/>
        </w:rPr>
        <w:t xml:space="preserve">name,memory.total </w:t>
      </w:r>
      <w:r>
        <w:rPr>
          <w:rStyle w:val="AttributeTok"/>
        </w:rPr>
        <w:t xml:space="preserve">--format</w:t>
      </w:r>
      <w:r>
        <w:rPr>
          <w:rStyle w:val="OperatorTok"/>
        </w:rPr>
        <w:t xml:space="preserve">=</w:t>
      </w:r>
      <w:r>
        <w:rPr>
          <w:rStyle w:val="NormalTok"/>
        </w:rPr>
        <w:t xml:space="preserve">csv</w:t>
      </w:r>
    </w:p>
    <w:bookmarkEnd w:id="21"/>
    <w:bookmarkStart w:id="22" w:name="X7d562ae69a0bbcee54a04cf78769428ade16034"/>
    <w:p>
      <w:pPr>
        <w:pStyle w:val="Heading3"/>
      </w:pPr>
      <w:r>
        <w:t xml:space="preserve">00:55–01:25 — Check what is actually preconfigured</w:t>
      </w:r>
    </w:p>
    <w:p>
      <w:pPr>
        <w:pStyle w:val="FirstParagraph"/>
      </w:pPr>
      <w:r>
        <w:rPr>
          <w:b/>
          <w:bCs/>
        </w:rPr>
        <w:t xml:space="preserve">Narration</w:t>
      </w:r>
    </w:p>
    <w:p>
      <w:pPr>
        <w:pStyle w:val="BodyText"/>
      </w:pPr>
      <w:r>
        <w:t xml:space="preserve">Before editing, check which components are already present. We need the intended Kontext model, its required encoders and supporting files, plus the nodes used by this workflow. Record their versions and filenames. A preconfigured image reduces setup work, but it does not mean every model, custom node, or GPU combination is ready without checking.</w:t>
      </w:r>
    </w:p>
    <w:p>
      <w:pPr>
        <w:pStyle w:val="BodyText"/>
      </w:pPr>
      <w:r>
        <w:rPr>
          <w:b/>
          <w:bCs/>
        </w:rPr>
        <w:t xml:space="preserve">On screen</w:t>
      </w:r>
    </w:p>
    <w:p>
      <w:pPr>
        <w:pStyle w:val="BodyText"/>
      </w:pPr>
      <w:r>
        <w:t xml:space="preserve">Show the actual model files, nodes and workflow configuration. Label any additional download honestly.</w:t>
      </w:r>
    </w:p>
    <w:bookmarkEnd w:id="22"/>
    <w:bookmarkStart w:id="23" w:name="X0fd8bbd10c7cb2a31a97fb46e23c3da1e99481b"/>
    <w:p>
      <w:pPr>
        <w:pStyle w:val="Heading3"/>
      </w:pPr>
      <w:r>
        <w:t xml:space="preserve">01:25–01:55 — Connect through a protected path</w:t>
      </w:r>
    </w:p>
    <w:p>
      <w:pPr>
        <w:pStyle w:val="FirstParagraph"/>
      </w:pPr>
      <w:r>
        <w:rPr>
          <w:b/>
          <w:bCs/>
        </w:rPr>
        <w:t xml:space="preserve">Narration</w:t>
      </w:r>
    </w:p>
    <w:p>
      <w:pPr>
        <w:pStyle w:val="BodyText"/>
      </w:pPr>
      <w:r>
        <w:t xml:space="preserve">Open the running application through an authenticated connection. In this demonstration, the browser reaches ComfyUI through a local SSH tunnel. ComfyUI commonly uses port 8188, but the actual service and mapping must be confirmed for the image. A public IP is not authentication, so do not expose an unprotected interface just to make the browser connect.</w:t>
      </w:r>
    </w:p>
    <w:p>
      <w:pPr>
        <w:pStyle w:val="BodyText"/>
      </w:pPr>
      <w:r>
        <w:rPr>
          <w:b/>
          <w:bCs/>
        </w:rPr>
        <w:t xml:space="preserve">On screen</w:t>
      </w:r>
    </w:p>
    <w:p>
      <w:pPr>
        <w:pStyle w:val="BodyText"/>
      </w:pPr>
      <w:r>
        <w:t xml:space="preserve">Show a tested protected connection to ComfyUI; keep the interface private or authenticated.</w:t>
      </w:r>
    </w:p>
    <w:p>
      <w:pPr>
        <w:pStyle w:val="SourceCode"/>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-L</w:t>
      </w:r>
      <w:r>
        <w:rPr>
          <w:rStyle w:val="NormalTok"/>
        </w:rPr>
        <w:t xml:space="preserve"> 127.0.0.1:8188:127.0.0.1:8188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$SSH_PORT</w:t>
      </w:r>
      <w:r>
        <w:rPr>
          <w:rStyle w:val="StringTok"/>
        </w:rPr>
        <w:t xml:space="preserve">"</w:t>
      </w:r>
      <w:r>
        <w:rPr>
          <w:rStyle w:val="NormalTok"/>
        </w:rPr>
        <w:t xml:space="preserve"> </w:t>
      </w:r>
      <w:r>
        <w:rPr>
          <w:rStyle w:val="StringTok"/>
        </w:rPr>
        <w:t xml:space="preserve">"</w:t>
      </w:r>
      <w:r>
        <w:rPr>
          <w:rStyle w:val="VariableTok"/>
        </w:rPr>
        <w:t xml:space="preserve">$SSH_USER</w:t>
      </w:r>
      <w:r>
        <w:rPr>
          <w:rStyle w:val="StringTok"/>
        </w:rPr>
        <w:t xml:space="preserve">@</w:t>
      </w:r>
      <w:r>
        <w:rPr>
          <w:rStyle w:val="VariableTok"/>
        </w:rPr>
        <w:t xml:space="preserve">$SSH_HOST</w:t>
      </w:r>
      <w:r>
        <w:rPr>
          <w:rStyle w:val="StringTok"/>
        </w:rPr>
        <w:t xml:space="preserve">"</w:t>
      </w:r>
    </w:p>
    <w:bookmarkEnd w:id="23"/>
    <w:bookmarkStart w:id="24" w:name="X64aeadc318a51a7844f6ad74bc21d6b9db2749c"/>
    <w:p>
      <w:pPr>
        <w:pStyle w:val="Heading3"/>
      </w:pPr>
      <w:r>
        <w:t xml:space="preserve">01:55–02:40 — Run one controlled edit</w:t>
      </w:r>
    </w:p>
    <w:p>
      <w:pPr>
        <w:pStyle w:val="FirstParagraph"/>
      </w:pPr>
      <w:r>
        <w:rPr>
          <w:b/>
          <w:bCs/>
        </w:rPr>
        <w:t xml:space="preserve">Narration</w:t>
      </w:r>
    </w:p>
    <w:p>
      <w:pPr>
        <w:pStyle w:val="BodyText"/>
      </w:pPr>
      <w:r>
        <w:t xml:space="preserve">Load the verified workflow and add the input image you are allowed to use. Our edit instruction is: change the yellow mug to purple while preserving the desk and the camera angle. Keep the model, dimensions, seed, and sampling settings visible. Submit the workflow once, then watch its progress. If a node is missing or memory is insufficient, fix that configuration before continuing.</w:t>
      </w:r>
    </w:p>
    <w:p>
      <w:pPr>
        <w:pStyle w:val="BodyText"/>
      </w:pPr>
      <w:r>
        <w:rPr>
          <w:b/>
          <w:bCs/>
        </w:rPr>
        <w:t xml:space="preserve">On screen</w:t>
      </w:r>
    </w:p>
    <w:p>
      <w:pPr>
        <w:pStyle w:val="BodyText"/>
      </w:pPr>
      <w:r>
        <w:t xml:space="preserve">Show the authorized input, edit prompt, workflow settings and actual submission. Label compressed waiting time.</w:t>
      </w:r>
    </w:p>
    <w:bookmarkEnd w:id="24"/>
    <w:bookmarkStart w:id="25" w:name="Xd0e351c7fde014a240f870c3dbabc08080eab70"/>
    <w:p>
      <w:pPr>
        <w:pStyle w:val="Heading3"/>
      </w:pPr>
      <w:r>
        <w:t xml:space="preserve">02:40–03:15 — Verify completion and interpret the evidence</w:t>
      </w:r>
    </w:p>
    <w:p>
      <w:pPr>
        <w:pStyle w:val="FirstParagraph"/>
      </w:pPr>
      <w:r>
        <w:rPr>
          <w:b/>
          <w:bCs/>
        </w:rPr>
        <w:t xml:space="preserve">Narration</w:t>
      </w:r>
    </w:p>
    <w:p>
      <w:pPr>
        <w:pStyle w:val="BodyText"/>
      </w:pPr>
      <w:r>
        <w:t xml:space="preserve">The run is complete when the workflow produces a usable image and the logs show no unresolved error. Compare the result with the input, and inspect whether the requested change was made. Check GPU memory during the run as well. This is one workflow demonstration, not a benchmark showing that a particular GPU is always faster or cheaper.</w:t>
      </w:r>
    </w:p>
    <w:p>
      <w:pPr>
        <w:pStyle w:val="BodyText"/>
      </w:pPr>
      <w:r>
        <w:rPr>
          <w:b/>
          <w:bCs/>
        </w:rPr>
        <w:t xml:space="preserve">On screen</w:t>
      </w:r>
    </w:p>
    <w:p>
      <w:pPr>
        <w:pStyle w:val="BodyText"/>
      </w:pPr>
      <w:r>
        <w:t xml:space="preserve">Show the real output, completion logs and GPU state.</w:t>
      </w:r>
    </w:p>
    <w:bookmarkEnd w:id="25"/>
    <w:bookmarkStart w:id="26" w:name="X87798e5001a87bdf47c95aef449248e3b6332e7"/>
    <w:p>
      <w:pPr>
        <w:pStyle w:val="Heading3"/>
      </w:pPr>
      <w:r>
        <w:t xml:space="preserve">03:15–03:50 — Export and reopen the work</w:t>
      </w:r>
    </w:p>
    <w:p>
      <w:pPr>
        <w:pStyle w:val="FirstParagraph"/>
      </w:pPr>
      <w:r>
        <w:rPr>
          <w:b/>
          <w:bCs/>
        </w:rPr>
        <w:t xml:space="preserve">Narration</w:t>
      </w:r>
    </w:p>
    <w:p>
      <w:pPr>
        <w:pStyle w:val="BodyText"/>
      </w:pPr>
      <w:r>
        <w:t xml:space="preserve">Download the finished image and export the workflow using the current application’s supported method. Keep the model names, node versions, and settings with it so you can repeat the test. Open the downloaded file locally to confirm it was retrieved. Before ending an instance, verify what storage remains available; saving a workflow does not guarantee that model files or outputs survive automatically.</w:t>
      </w:r>
    </w:p>
    <w:p>
      <w:pPr>
        <w:pStyle w:val="BodyText"/>
      </w:pPr>
      <w:r>
        <w:rPr>
          <w:b/>
          <w:bCs/>
        </w:rPr>
        <w:t xml:space="preserve">On screen</w:t>
      </w:r>
    </w:p>
    <w:p>
      <w:pPr>
        <w:pStyle w:val="BodyText"/>
      </w:pPr>
      <w:r>
        <w:t xml:space="preserve">Export and reopen the image and workflow JSON; record model and node versions.</w:t>
      </w:r>
    </w:p>
    <w:bookmarkEnd w:id="26"/>
    <w:bookmarkStart w:id="27" w:name="X09602321eb4929545a33473adeb01a6560634a9"/>
    <w:p>
      <w:pPr>
        <w:pStyle w:val="Heading3"/>
      </w:pPr>
      <w:r>
        <w:t xml:space="preserve">03:50–04:30 — Finish resource cleanup and recap</w:t>
      </w:r>
    </w:p>
    <w:p>
      <w:pPr>
        <w:pStyle w:val="FirstParagraph"/>
      </w:pPr>
      <w:r>
        <w:rPr>
          <w:b/>
          <w:bCs/>
        </w:rPr>
        <w:t xml:space="preserve">Narration</w:t>
      </w:r>
    </w:p>
    <w:p>
      <w:pPr>
        <w:pStyle w:val="BodyText"/>
      </w:pPr>
      <w:r>
        <w:t xml:space="preserve">When the session is finished, follow the current Glows.ai instructions to end the compute resource and confirm its final state. Closing the browser does not stop a GPU bill, and storage may have separate terms. You now have a checked configuration, a completed edit, and files you can reopen. Explore the current Glows.ai images and documentation to choose a configuration for your own ComfyUI workflow.</w:t>
      </w:r>
    </w:p>
    <w:p>
      <w:pPr>
        <w:pStyle w:val="BodyText"/>
      </w:pPr>
      <w:r>
        <w:rPr>
          <w:b/>
          <w:bCs/>
        </w:rPr>
        <w:t xml:space="preserve">On screen</w:t>
      </w:r>
    </w:p>
    <w:p>
      <w:pPr>
        <w:pStyle w:val="BodyText"/>
      </w:pPr>
      <w:r>
        <w:t xml:space="preserve">Show the current documented compute shutdown/release action and final state; verify remaining storage terms.</w:t>
      </w:r>
    </w:p>
    <w:bookmarkEnd w:id="27"/>
    <w:bookmarkStart w:id="31" w:name="description-draft"/>
    <w:p>
      <w:pPr>
        <w:pStyle w:val="Heading3"/>
      </w:pPr>
      <w:r>
        <w:t xml:space="preserve">Description draft</w:t>
      </w:r>
    </w:p>
    <w:p>
      <w:pPr>
        <w:pStyle w:val="FirstParagraph"/>
      </w:pPr>
      <w:r>
        <w:t xml:space="preserve">Official Glows.ai tutorial: run a verified FLUX.1-Kontext workflow with a preconfigured ComfyUI image on a cloud GPU. We check the image and hardware, connect through a protected path, generate an edit, and export the result and workflow.</w:t>
      </w:r>
    </w:p>
    <w:p>
      <w:pPr>
        <w:pStyle w:val="BodyText"/>
      </w:pPr>
      <w:r>
        <w:t xml:space="preserve">Image contents and compatibility vary by configuration. The demonstration records its model, workflow, and runtime details; it is not a cross-provider performance benchmark. Check current GPU prices and storage terms before starting.</w:t>
      </w:r>
    </w:p>
    <w:p>
      <w:pPr>
        <w:pStyle w:val="BodyText"/>
      </w:pPr>
      <w:r>
        <w:t xml:space="preserve">Explore Glows.ai:</w:t>
      </w:r>
      <w:r>
        <w:t xml:space="preserve"> </w:t>
      </w:r>
      <w:hyperlink r:id="rId28">
        <w:r>
          <w:rPr>
            <w:rStyle w:val="Hyperlink"/>
          </w:rPr>
          <w:t xml:space="preserve">https://glows.ai/</w:t>
        </w:r>
      </w:hyperlink>
    </w:p>
    <w:p>
      <w:pPr>
        <w:pStyle w:val="BodyText"/>
      </w:pPr>
      <w:r>
        <w:t xml:space="preserve">Documentation:</w:t>
      </w:r>
      <w:r>
        <w:t xml:space="preserve"> </w:t>
      </w:r>
      <w:hyperlink r:id="rId29">
        <w:r>
          <w:rPr>
            <w:rStyle w:val="Hyperlink"/>
          </w:rPr>
          <w:t xml:space="preserve">https://docs.glows.ai/</w:t>
        </w:r>
      </w:hyperlink>
    </w:p>
    <w:p>
      <w:pPr>
        <w:pStyle w:val="BodyText"/>
      </w:pPr>
      <w:r>
        <w:t xml:space="preserve">On-Demand Cloud:</w:t>
      </w:r>
      <w:r>
        <w:t xml:space="preserve"> </w:t>
      </w:r>
      <w:hyperlink r:id="rId30">
        <w:r>
          <w:rPr>
            <w:rStyle w:val="Hyperlink"/>
          </w:rPr>
          <w:t xml:space="preserve">https://glows.ai/product/on-demand-cloud</w:t>
        </w:r>
      </w:hyperlink>
    </w:p>
    <w:bookmarkEnd w:id="31"/>
    <w:bookmarkStart w:id="32" w:name="chapters"/>
    <w:p>
      <w:pPr>
        <w:pStyle w:val="Heading3"/>
      </w:pPr>
      <w:r>
        <w:t xml:space="preserve">Chapters</w:t>
      </w:r>
    </w:p>
    <w:p>
      <w:pPr>
        <w:pStyle w:val="FirstParagraph"/>
      </w:pPr>
      <w:r>
        <w:t xml:space="preserve">Use these planning timestamps only after aligning them with the actual edited video.</w:t>
      </w:r>
    </w:p>
    <w:p>
      <w:pPr>
        <w:pStyle w:val="SourceCode"/>
      </w:pPr>
      <w:r>
        <w:rPr>
          <w:rStyle w:val="VerbatimChar"/>
        </w:rPr>
        <w:t xml:space="preserve">00:00 Result and workflow goal</w:t>
      </w:r>
      <w:r>
        <w:br/>
      </w:r>
      <w:r>
        <w:rPr>
          <w:rStyle w:val="VerbatimChar"/>
        </w:rPr>
        <w:t xml:space="preserve">00:25 Select the image and verify the GPU</w:t>
      </w:r>
      <w:r>
        <w:br/>
      </w:r>
      <w:r>
        <w:rPr>
          <w:rStyle w:val="VerbatimChar"/>
        </w:rPr>
        <w:t xml:space="preserve">00:55 Check models and dependencies</w:t>
      </w:r>
      <w:r>
        <w:br/>
      </w:r>
      <w:r>
        <w:rPr>
          <w:rStyle w:val="VerbatimChar"/>
        </w:rPr>
        <w:t xml:space="preserve">01:25 Connect securely to ComfyUI</w:t>
      </w:r>
      <w:r>
        <w:br/>
      </w:r>
      <w:r>
        <w:rPr>
          <w:rStyle w:val="VerbatimChar"/>
        </w:rPr>
        <w:t xml:space="preserve">01:55 Run the image-editing workflow</w:t>
      </w:r>
      <w:r>
        <w:br/>
      </w:r>
      <w:r>
        <w:rPr>
          <w:rStyle w:val="VerbatimChar"/>
        </w:rPr>
        <w:t xml:space="preserve">02:40 Verify the output and GPU use</w:t>
      </w:r>
      <w:r>
        <w:br/>
      </w:r>
      <w:r>
        <w:rPr>
          <w:rStyle w:val="VerbatimChar"/>
        </w:rPr>
        <w:t xml:space="preserve">03:15 Export the image and workflow</w:t>
      </w:r>
      <w:r>
        <w:br/>
      </w:r>
      <w:r>
        <w:rPr>
          <w:rStyle w:val="VerbatimChar"/>
        </w:rPr>
        <w:t xml:space="preserve">03:50 End the resource and review costs</w:t>
      </w:r>
    </w:p>
    <w:bookmarkEnd w:id="32"/>
    <w:bookmarkEnd w:id="33"/>
    <w:bookmarkStart w:id="44" w:name="Xcb36baf9fbbac3b14e3d6c0be943f598a038ccc"/>
    <w:p>
      <w:pPr>
        <w:pStyle w:val="Heading2"/>
      </w:pPr>
      <w:r>
        <w:t xml:space="preserve">Video 2 — GPU Cloud with Preinstalled Ollama: Run DeepSeek-R1 Distill on Glows.ai</w:t>
      </w:r>
    </w:p>
    <w:bookmarkStart w:id="34" w:name="X1823e041133c9d1541a8dfa53f1ab866d8761af"/>
    <w:p>
      <w:pPr>
        <w:pStyle w:val="Heading3"/>
      </w:pPr>
      <w:r>
        <w:t xml:space="preserve">00:00–00:25 — State exactly what the tutorial installs</w:t>
      </w:r>
    </w:p>
    <w:p>
      <w:pPr>
        <w:pStyle w:val="FirstParagraph"/>
      </w:pPr>
      <w:r>
        <w:rPr>
          <w:b/>
          <w:bCs/>
        </w:rPr>
        <w:t xml:space="preserve">Narration</w:t>
      </w:r>
    </w:p>
    <w:p>
      <w:pPr>
        <w:pStyle w:val="BodyText"/>
      </w:pPr>
      <w:r>
        <w:t xml:space="preserve">Run a DeepSeek-R1 distilled model on a Glows.ai cloud GPU, starting with a preinstalled Ollama environment. We add the model separately and verify its identity. This gives you a cataloged runtime starting point, your choice of model, and GPU time you can budget from a public rate. By the end, we will inspect a real API response and end the compute resource.</w:t>
      </w:r>
    </w:p>
    <w:p>
      <w:pPr>
        <w:pStyle w:val="BodyText"/>
      </w:pPr>
      <w:r>
        <w:rPr>
          <w:b/>
          <w:bCs/>
        </w:rPr>
        <w:t xml:space="preserve">On screen</w:t>
      </w:r>
    </w:p>
    <w:p>
      <w:pPr>
        <w:pStyle w:val="BodyText"/>
      </w:pPr>
      <w:r>
        <w:t xml:space="preserve">Show the real response and a two-part label: image supplies Ollama; this demo downloads a DeepSeek distill.</w:t>
      </w:r>
    </w:p>
    <w:bookmarkEnd w:id="34"/>
    <w:bookmarkStart w:id="35" w:name="Xc233fc2c3a1283f0c4bc491a2d4a4b25a3b0489"/>
    <w:p>
      <w:pPr>
        <w:pStyle w:val="Heading3"/>
      </w:pPr>
      <w:r>
        <w:t xml:space="preserve">00:25–01:00 — Verify the runtime, GPU, and starting model list</w:t>
      </w:r>
    </w:p>
    <w:p>
      <w:pPr>
        <w:pStyle w:val="FirstParagraph"/>
      </w:pPr>
      <w:r>
        <w:rPr>
          <w:b/>
          <w:bCs/>
        </w:rPr>
        <w:t xml:space="preserve">Narration</w:t>
      </w:r>
    </w:p>
    <w:p>
      <w:pPr>
        <w:pStyle w:val="BodyText"/>
      </w:pPr>
      <w:r>
        <w:t xml:space="preserve">Choose the available Ollama image and a GPU configuration that passes a rehearsal with the selected model. Check the image details and current rate, then connect with SSH or JupyterLab. In the terminal, confirm the GPU and Ollama version, and list the models already present. This tells us which part came from the image and which part we add during the tutorial.</w:t>
      </w:r>
    </w:p>
    <w:p>
      <w:pPr>
        <w:pStyle w:val="BodyText"/>
      </w:pPr>
      <w:r>
        <w:rPr>
          <w:b/>
          <w:bCs/>
        </w:rPr>
        <w:t xml:space="preserve">On screen</w:t>
      </w:r>
    </w:p>
    <w:p>
      <w:pPr>
        <w:pStyle w:val="BodyText"/>
      </w:pPr>
      <w:r>
        <w:t xml:space="preserve">Show the actual Ollama image, GPU, version and initial model list.</w:t>
      </w:r>
    </w:p>
    <w:p>
      <w:pPr>
        <w:pStyle w:val="SourceCode"/>
      </w:pPr>
      <w:r>
        <w:rPr>
          <w:rStyle w:val="ExtensionTok"/>
        </w:rPr>
        <w:t xml:space="preserve">nvidia-smi</w:t>
      </w:r>
      <w:r>
        <w:rPr>
          <w:rStyle w:val="NormalTok"/>
        </w:rPr>
        <w:t xml:space="preserve"> </w:t>
      </w:r>
      <w:r>
        <w:rPr>
          <w:rStyle w:val="AttributeTok"/>
        </w:rPr>
        <w:t xml:space="preserve">--query-gpu</w:t>
      </w:r>
      <w:r>
        <w:rPr>
          <w:rStyle w:val="OperatorTok"/>
        </w:rPr>
        <w:t xml:space="preserve">=</w:t>
      </w:r>
      <w:r>
        <w:rPr>
          <w:rStyle w:val="NormalTok"/>
        </w:rPr>
        <w:t xml:space="preserve">name,memory.total </w:t>
      </w:r>
      <w:r>
        <w:rPr>
          <w:rStyle w:val="AttributeTok"/>
        </w:rPr>
        <w:t xml:space="preserve">--format</w:t>
      </w:r>
      <w:r>
        <w:rPr>
          <w:rStyle w:val="OperatorTok"/>
        </w:rPr>
        <w:t xml:space="preserve">=</w:t>
      </w:r>
      <w:r>
        <w:rPr>
          <w:rStyle w:val="NormalTok"/>
        </w:rPr>
        <w:t xml:space="preserve">csv</w:t>
      </w:r>
      <w:r>
        <w:br/>
      </w:r>
      <w:r>
        <w:rPr>
          <w:rStyle w:val="ExtensionTok"/>
        </w:rPr>
        <w:t xml:space="preserve">ollama</w:t>
      </w:r>
      <w:r>
        <w:rPr>
          <w:rStyle w:val="NormalTok"/>
        </w:rPr>
        <w:t xml:space="preserve"> </w:t>
      </w:r>
      <w:r>
        <w:rPr>
          <w:rStyle w:val="AttributeTok"/>
        </w:rPr>
        <w:t xml:space="preserve">--version</w:t>
      </w:r>
      <w:r>
        <w:br/>
      </w:r>
      <w:r>
        <w:rPr>
          <w:rStyle w:val="ExtensionTok"/>
        </w:rPr>
        <w:t xml:space="preserve">ollama</w:t>
      </w:r>
      <w:r>
        <w:rPr>
          <w:rStyle w:val="NormalTok"/>
        </w:rPr>
        <w:t xml:space="preserve"> list</w:t>
      </w:r>
    </w:p>
    <w:bookmarkEnd w:id="35"/>
    <w:bookmarkStart w:id="36" w:name="Xef092eb391f4a7b86c9537d60e9417304c6918e"/>
    <w:p>
      <w:pPr>
        <w:pStyle w:val="Heading3"/>
      </w:pPr>
      <w:r>
        <w:t xml:space="preserve">01:00–01:35 — Download and identify the selected distill</w:t>
      </w:r>
    </w:p>
    <w:p>
      <w:pPr>
        <w:pStyle w:val="FirstParagraph"/>
      </w:pPr>
      <w:r>
        <w:rPr>
          <w:b/>
          <w:bCs/>
        </w:rPr>
        <w:t xml:space="preserve">Narration</w:t>
      </w:r>
    </w:p>
    <w:p>
      <w:pPr>
        <w:pStyle w:val="BodyText"/>
      </w:pPr>
      <w:r>
        <w:t xml:space="preserve">For this demonstration, we use the seven-billion-parameter distilled model shown in the model card, rather than the full DeepSeek-R1 model. Pull the verified tag, wait for completion, and inspect its details. Record the tag, model identity, parameter count, and quantization for the accompanying guide. Changing the model or context can change memory requirements, so repeat the fit test when those settings change.</w:t>
      </w:r>
    </w:p>
    <w:p>
      <w:pPr>
        <w:pStyle w:val="BodyText"/>
      </w:pPr>
      <w:r>
        <w:rPr>
          <w:b/>
          <w:bCs/>
        </w:rPr>
        <w:t xml:space="preserve">On screen</w:t>
      </w:r>
    </w:p>
    <w:p>
      <w:pPr>
        <w:pStyle w:val="BodyText"/>
      </w:pPr>
      <w:r>
        <w:t xml:space="preserve">Show the verified model card, completed pull and matching model information.</w:t>
      </w:r>
    </w:p>
    <w:p>
      <w:pPr>
        <w:pStyle w:val="SourceCode"/>
      </w:pPr>
      <w:r>
        <w:rPr>
          <w:rStyle w:val="ExtensionTok"/>
        </w:rPr>
        <w:t xml:space="preserve">ollama</w:t>
      </w:r>
      <w:r>
        <w:rPr>
          <w:rStyle w:val="NormalTok"/>
        </w:rPr>
        <w:t xml:space="preserve"> pull deepseek-r1:7b</w:t>
      </w:r>
      <w:r>
        <w:br/>
      </w:r>
      <w:r>
        <w:rPr>
          <w:rStyle w:val="ExtensionTok"/>
        </w:rPr>
        <w:t xml:space="preserve">ollama</w:t>
      </w:r>
      <w:r>
        <w:rPr>
          <w:rStyle w:val="NormalTok"/>
        </w:rPr>
        <w:t xml:space="preserve"> show deepseek-r1:7b</w:t>
      </w:r>
      <w:r>
        <w:br/>
      </w:r>
      <w:r>
        <w:rPr>
          <w:rStyle w:val="ExtensionTok"/>
        </w:rPr>
        <w:t xml:space="preserve">ollama</w:t>
      </w:r>
      <w:r>
        <w:rPr>
          <w:rStyle w:val="NormalTok"/>
        </w:rPr>
        <w:t xml:space="preserve"> list</w:t>
      </w:r>
    </w:p>
    <w:bookmarkEnd w:id="36"/>
    <w:bookmarkStart w:id="37" w:name="X652e6b63a1cf267f3c431bcbc0885561a0227ef"/>
    <w:p>
      <w:pPr>
        <w:pStyle w:val="Heading3"/>
      </w:pPr>
      <w:r>
        <w:t xml:space="preserve">01:35–02:10 — Confirm the local service and GPU execution</w:t>
      </w:r>
    </w:p>
    <w:p>
      <w:pPr>
        <w:pStyle w:val="FirstParagraph"/>
      </w:pPr>
      <w:r>
        <w:rPr>
          <w:b/>
          <w:bCs/>
        </w:rPr>
        <w:t xml:space="preserve">Narration</w:t>
      </w:r>
    </w:p>
    <w:p>
      <w:pPr>
        <w:pStyle w:val="BodyText"/>
      </w:pPr>
      <w:r>
        <w:t xml:space="preserve">Check that Ollama’s service is running and available through the local loopback address. If the image does not start it automatically, use its current documented startup method. Run the selected model and inspect the active model process while it answers. A cloud machine containing a GPU is not enough evidence that the model is actually using that GPU.</w:t>
      </w:r>
    </w:p>
    <w:p>
      <w:pPr>
        <w:pStyle w:val="BodyText"/>
      </w:pPr>
      <w:r>
        <w:rPr>
          <w:b/>
          <w:bCs/>
        </w:rPr>
        <w:t xml:space="preserve">On screen</w:t>
      </w:r>
    </w:p>
    <w:p>
      <w:pPr>
        <w:pStyle w:val="BodyText"/>
      </w:pPr>
      <w:r>
        <w:t xml:space="preserve">Show the running service and actual GPU execution. Do not infer GPU use merely from instance hardware.</w:t>
      </w:r>
    </w:p>
    <w:p>
      <w:pPr>
        <w:pStyle w:val="SourceCode"/>
      </w:pPr>
      <w:r>
        <w:rPr>
          <w:rStyle w:val="ExtensionTok"/>
        </w:rPr>
        <w:t xml:space="preserve">ollama</w:t>
      </w:r>
      <w:r>
        <w:rPr>
          <w:rStyle w:val="NormalTok"/>
        </w:rPr>
        <w:t xml:space="preserve"> run deepseek-r1:7b </w:t>
      </w:r>
      <w:r>
        <w:rPr>
          <w:rStyle w:val="StringTok"/>
        </w:rPr>
        <w:t xml:space="preserve">"Name two ways to reduce idle GPU time."</w:t>
      </w:r>
      <w:r>
        <w:br/>
      </w:r>
      <w:r>
        <w:rPr>
          <w:rStyle w:val="ExtensionTok"/>
        </w:rPr>
        <w:t xml:space="preserve">ollama</w:t>
      </w:r>
      <w:r>
        <w:rPr>
          <w:rStyle w:val="NormalTok"/>
        </w:rPr>
        <w:t xml:space="preserve"> ps</w:t>
      </w:r>
    </w:p>
    <w:p>
      <w:pPr>
        <w:pStyle w:val="FirstParagraph"/>
      </w:pPr>
      <w:r>
        <w:t xml:space="preserve">If the image does not already run an Ollama service, check its documented startup method. Do not start a conflicting duplicate service.</w:t>
      </w:r>
    </w:p>
    <w:bookmarkEnd w:id="37"/>
    <w:bookmarkStart w:id="38" w:name="X79efa8ed41b013ac97e26e5b324e5d299d06440"/>
    <w:p>
      <w:pPr>
        <w:pStyle w:val="Heading3"/>
      </w:pPr>
      <w:r>
        <w:t xml:space="preserve">02:10–02:55 — Make one API request and inspect the response</w:t>
      </w:r>
    </w:p>
    <w:p>
      <w:pPr>
        <w:pStyle w:val="FirstParagraph"/>
      </w:pPr>
      <w:r>
        <w:rPr>
          <w:b/>
          <w:bCs/>
        </w:rPr>
        <w:t xml:space="preserve">Narration</w:t>
      </w:r>
    </w:p>
    <w:p>
      <w:pPr>
        <w:pStyle w:val="BodyText"/>
      </w:pPr>
      <w:r>
        <w:t xml:space="preserve">Now we send a request to Ollama’s local generate API. The model field matches the tag we just inspected, and streaming is disabled so the response is easy to examine. Show the actual returned model and answer, including any error or truncation that needs fixing. One successful request verifies this connection; it does not prove application quality, sustained throughput, or a production service guarantee.</w:t>
      </w:r>
    </w:p>
    <w:p>
      <w:pPr>
        <w:pStyle w:val="BodyText"/>
      </w:pPr>
      <w:r>
        <w:rPr>
          <w:b/>
          <w:bCs/>
        </w:rPr>
        <w:t xml:space="preserve">On screen</w:t>
      </w:r>
    </w:p>
    <w:p>
      <w:pPr>
        <w:pStyle w:val="BodyText"/>
      </w:pPr>
      <w:r>
        <w:t xml:space="preserve">Show an actual complete API response, not a prewritten answer or invented benchmark.</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http://127.0.0.1:11434/api/generate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"model": "deepseek-r1:7b",</w:t>
      </w:r>
      <w:r>
        <w:br/>
      </w:r>
      <w:r>
        <w:rPr>
          <w:rStyle w:val="StringTok"/>
        </w:rPr>
        <w:t xml:space="preserve">  "prompt": "Name two ways to reduce idle GPU time. Answer in two short bullet points.",</w:t>
      </w:r>
      <w:r>
        <w:br/>
      </w:r>
      <w:r>
        <w:rPr>
          <w:rStyle w:val="StringTok"/>
        </w:rPr>
        <w:t xml:space="preserve">  "stream": false,</w:t>
      </w:r>
      <w:r>
        <w:br/>
      </w:r>
      <w:r>
        <w:rPr>
          <w:rStyle w:val="StringTok"/>
        </w:rPr>
        <w:t xml:space="preserve">  "options": {</w:t>
      </w:r>
      <w:r>
        <w:br/>
      </w:r>
      <w:r>
        <w:rPr>
          <w:rStyle w:val="StringTok"/>
        </w:rPr>
        <w:t xml:space="preserve">    "num_predict": 256</w:t>
      </w:r>
      <w:r>
        <w:br/>
      </w:r>
      <w:r>
        <w:rPr>
          <w:rStyle w:val="StringTok"/>
        </w:rPr>
        <w:t xml:space="preserve">  }</w:t>
      </w:r>
      <w:r>
        <w:br/>
      </w:r>
      <w:r>
        <w:rPr>
          <w:rStyle w:val="StringTok"/>
        </w:rPr>
        <w:t xml:space="preserve">}'</w:t>
      </w:r>
    </w:p>
    <w:bookmarkEnd w:id="38"/>
    <w:bookmarkStart w:id="39" w:name="X9cd08fd7fb0775bd0ff0d05313cc4bb0cf14740"/>
    <w:p>
      <w:pPr>
        <w:pStyle w:val="Heading3"/>
      </w:pPr>
      <w:r>
        <w:t xml:space="preserve">02:55–03:30 — Reach the service without a public model port</w:t>
      </w:r>
    </w:p>
    <w:p>
      <w:pPr>
        <w:pStyle w:val="FirstParagraph"/>
      </w:pPr>
      <w:r>
        <w:rPr>
          <w:b/>
          <w:bCs/>
        </w:rPr>
        <w:t xml:space="preserve">Narration</w:t>
      </w:r>
    </w:p>
    <w:p>
      <w:pPr>
        <w:pStyle w:val="BodyText"/>
      </w:pPr>
      <w:r>
        <w:t xml:space="preserve">To call this service from a laptop, keep the model API private and forward a local port through the authenticated SSH connection. Then send the same request to the local forwarded address. This avoids opening the model port to the internet. If you later build a public application, design its authentication, encryption, and network controls separately instead of treating a working demo as a complete deployment.</w:t>
      </w:r>
    </w:p>
    <w:p>
      <w:pPr>
        <w:pStyle w:val="BodyText"/>
      </w:pPr>
      <w:r>
        <w:rPr>
          <w:b/>
          <w:bCs/>
        </w:rPr>
        <w:t xml:space="preserve">On screen</w:t>
      </w:r>
    </w:p>
    <w:p>
      <w:pPr>
        <w:pStyle w:val="BodyText"/>
      </w:pPr>
      <w:r>
        <w:t xml:space="preserve">Local terminal A keeps the SSH tunnel running. Use local terminal B for the request.</w:t>
      </w:r>
    </w:p>
    <w:p>
      <w:pPr>
        <w:pStyle w:val="SourceCode"/>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-L</w:t>
      </w:r>
      <w:r>
        <w:rPr>
          <w:rStyle w:val="NormalTok"/>
        </w:rPr>
        <w:t xml:space="preserve"> 127.0.0.1:11434:127.0.0.1:11434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$SSH_PORT</w:t>
      </w:r>
      <w:r>
        <w:rPr>
          <w:rStyle w:val="StringTok"/>
        </w:rPr>
        <w:t xml:space="preserve">"</w:t>
      </w:r>
      <w:r>
        <w:rPr>
          <w:rStyle w:val="NormalTok"/>
        </w:rPr>
        <w:t xml:space="preserve"> </w:t>
      </w:r>
      <w:r>
        <w:rPr>
          <w:rStyle w:val="StringTok"/>
        </w:rPr>
        <w:t xml:space="preserve">"</w:t>
      </w:r>
      <w:r>
        <w:rPr>
          <w:rStyle w:val="VariableTok"/>
        </w:rPr>
        <w:t xml:space="preserve">$SSH_USER</w:t>
      </w:r>
      <w:r>
        <w:rPr>
          <w:rStyle w:val="StringTok"/>
        </w:rPr>
        <w:t xml:space="preserve">@</w:t>
      </w:r>
      <w:r>
        <w:rPr>
          <w:rStyle w:val="VariableTok"/>
        </w:rPr>
        <w:t xml:space="preserve">$SSH_HOST</w:t>
      </w:r>
      <w:r>
        <w:rPr>
          <w:rStyle w:val="StringTok"/>
        </w:rPr>
        <w:t xml:space="preserve">"</w:t>
      </w:r>
    </w:p>
    <w:bookmarkEnd w:id="39"/>
    <w:bookmarkStart w:id="40" w:name="X0e7f554792f3948d773d14325f5a2be6d729b3f"/>
    <w:p>
      <w:pPr>
        <w:pStyle w:val="Heading3"/>
      </w:pPr>
      <w:r>
        <w:t xml:space="preserve">03:30–04:05 — Record the configuration and distinguish costs</w:t>
      </w:r>
    </w:p>
    <w:p>
      <w:pPr>
        <w:pStyle w:val="FirstParagraph"/>
      </w:pPr>
      <w:r>
        <w:rPr>
          <w:b/>
          <w:bCs/>
        </w:rPr>
        <w:t xml:space="preserve">Narration</w:t>
      </w:r>
    </w:p>
    <w:p>
      <w:pPr>
        <w:pStyle w:val="BodyText"/>
      </w:pPr>
      <w:r>
        <w:t xml:space="preserve">Save the image and Ollama versions, model identity, prompt, and settings with the result. For an RTX 4090, the October 2026 public reference rate is forty-nine cents per GPU-hour, billed per second. That is instance time, not a per-token charge. Record your actual rate and billable duration, and retrieve the files you need before ending the instance.</w:t>
      </w:r>
    </w:p>
    <w:p>
      <w:pPr>
        <w:pStyle w:val="BodyText"/>
      </w:pPr>
      <w:r>
        <w:rPr>
          <w:b/>
          <w:bCs/>
        </w:rPr>
        <w:t xml:space="preserve">On screen</w:t>
      </w:r>
    </w:p>
    <w:p>
      <w:pPr>
        <w:pStyle w:val="BodyText"/>
      </w:pPr>
      <w:r>
        <w:t xml:space="preserve">Save the configuration and show the actual GPU rate and billable-time source.</w:t>
      </w:r>
    </w:p>
    <w:bookmarkEnd w:id="40"/>
    <w:bookmarkStart w:id="41" w:name="Xe7d3b4e26aab3adb4c73e3fcb329c137db93a7e"/>
    <w:p>
      <w:pPr>
        <w:pStyle w:val="Heading3"/>
      </w:pPr>
      <w:r>
        <w:t xml:space="preserve">04:05–04:40 — Unload, end the instance, and recap</w:t>
      </w:r>
    </w:p>
    <w:p>
      <w:pPr>
        <w:pStyle w:val="FirstParagraph"/>
      </w:pPr>
      <w:r>
        <w:rPr>
          <w:b/>
          <w:bCs/>
        </w:rPr>
        <w:t xml:space="preserve">Narration</w:t>
      </w:r>
    </w:p>
    <w:p>
      <w:pPr>
        <w:pStyle w:val="BodyText"/>
      </w:pPr>
      <w:r>
        <w:t xml:space="preserve">You can unload the model when this test is done, but unloading it does not stop billing for the GPU instance. End the compute resource using the current Glows.ai instructions and confirm the final state and any remaining storage charges. We started with Ollama, downloaded a clearly identified DeepSeek distill, and verified a real response. Use the current documentation to repeat the steps with a configuration that fits your workload.</w:t>
      </w:r>
    </w:p>
    <w:p>
      <w:pPr>
        <w:pStyle w:val="BodyText"/>
      </w:pPr>
      <w:r>
        <w:rPr>
          <w:b/>
          <w:bCs/>
        </w:rPr>
        <w:t xml:space="preserve">On screen</w:t>
      </w:r>
    </w:p>
    <w:p>
      <w:pPr>
        <w:pStyle w:val="BodyText"/>
      </w:pPr>
      <w:r>
        <w:t xml:space="preserve">Show model unload separately from ending the compute resource; confirm the actual final state.</w:t>
      </w:r>
    </w:p>
    <w:bookmarkEnd w:id="41"/>
    <w:bookmarkStart w:id="42" w:name="description-draft-1"/>
    <w:p>
      <w:pPr>
        <w:pStyle w:val="Heading3"/>
      </w:pPr>
      <w:r>
        <w:t xml:space="preserve">Description draft</w:t>
      </w:r>
    </w:p>
    <w:p>
      <w:pPr>
        <w:pStyle w:val="FirstParagraph"/>
      </w:pPr>
      <w:r>
        <w:t xml:space="preserve">Official Glows.ai tutorial: start with a GPU image that provides Ollama, then separately download and run a verified DeepSeek-R1 distilled model. This demonstration does not claim that the selected image preinstalls both Ollama and DeepSeek, or that the seven-billion-parameter distill is the full DeepSeek-R1 model.</w:t>
      </w:r>
    </w:p>
    <w:p>
      <w:pPr>
        <w:pStyle w:val="BodyText"/>
      </w:pPr>
      <w:r>
        <w:t xml:space="preserve">We check the runtime, model identity and actual GPU use, send a local API request, use protected remote access, and end the compute resource. Verify the current model tag, license, image compatibility, and pricing before repeating the setup. This is a functional demonstration, not a performance or privacy guarantee.</w:t>
      </w:r>
    </w:p>
    <w:p>
      <w:pPr>
        <w:pStyle w:val="BodyText"/>
      </w:pPr>
      <w:r>
        <w:t xml:space="preserve">Glows.ai:</w:t>
      </w:r>
      <w:r>
        <w:t xml:space="preserve"> </w:t>
      </w:r>
      <w:hyperlink r:id="rId28">
        <w:r>
          <w:rPr>
            <w:rStyle w:val="Hyperlink"/>
          </w:rPr>
          <w:t xml:space="preserve">https://glows.ai/</w:t>
        </w:r>
      </w:hyperlink>
    </w:p>
    <w:p>
      <w:pPr>
        <w:pStyle w:val="BodyText"/>
      </w:pPr>
      <w:r>
        <w:t xml:space="preserve">Documentation:</w:t>
      </w:r>
      <w:r>
        <w:t xml:space="preserve"> </w:t>
      </w:r>
      <w:hyperlink r:id="rId29">
        <w:r>
          <w:rPr>
            <w:rStyle w:val="Hyperlink"/>
          </w:rPr>
          <w:t xml:space="preserve">https://docs.glows.ai/</w:t>
        </w:r>
      </w:hyperlink>
    </w:p>
    <w:p>
      <w:pPr>
        <w:pStyle w:val="BodyText"/>
      </w:pPr>
      <w:r>
        <w:t xml:space="preserve">On-Demand Cloud:</w:t>
      </w:r>
      <w:r>
        <w:t xml:space="preserve"> </w:t>
      </w:r>
      <w:hyperlink r:id="rId30">
        <w:r>
          <w:rPr>
            <w:rStyle w:val="Hyperlink"/>
          </w:rPr>
          <w:t xml:space="preserve">https://glows.ai/product/on-demand-cloud</w:t>
        </w:r>
      </w:hyperlink>
    </w:p>
    <w:bookmarkEnd w:id="42"/>
    <w:bookmarkStart w:id="43" w:name="chapters-1"/>
    <w:p>
      <w:pPr>
        <w:pStyle w:val="Heading3"/>
      </w:pPr>
      <w:r>
        <w:t xml:space="preserve">Chapters</w:t>
      </w:r>
    </w:p>
    <w:p>
      <w:pPr>
        <w:pStyle w:val="FirstParagraph"/>
      </w:pPr>
      <w:r>
        <w:t xml:space="preserve">Use these planning timestamps only after aligning them with the actual edited video.</w:t>
      </w:r>
    </w:p>
    <w:p>
      <w:pPr>
        <w:pStyle w:val="SourceCode"/>
      </w:pPr>
      <w:r>
        <w:rPr>
          <w:rStyle w:val="VerbatimChar"/>
        </w:rPr>
        <w:t xml:space="preserve">00:00 Ollama runtime versus the DeepSeek model</w:t>
      </w:r>
      <w:r>
        <w:br/>
      </w:r>
      <w:r>
        <w:rPr>
          <w:rStyle w:val="VerbatimChar"/>
        </w:rPr>
        <w:t xml:space="preserve">00:25 Verify the image, GPU, and model list</w:t>
      </w:r>
      <w:r>
        <w:br/>
      </w:r>
      <w:r>
        <w:rPr>
          <w:rStyle w:val="VerbatimChar"/>
        </w:rPr>
        <w:t xml:space="preserve">01:00 Download and identify the distill</w:t>
      </w:r>
      <w:r>
        <w:br/>
      </w:r>
      <w:r>
        <w:rPr>
          <w:rStyle w:val="VerbatimChar"/>
        </w:rPr>
        <w:t xml:space="preserve">01:35 Check the service and GPU execution</w:t>
      </w:r>
      <w:r>
        <w:br/>
      </w:r>
      <w:r>
        <w:rPr>
          <w:rStyle w:val="VerbatimChar"/>
        </w:rPr>
        <w:t xml:space="preserve">02:10 Send a real local API request</w:t>
      </w:r>
      <w:r>
        <w:br/>
      </w:r>
      <w:r>
        <w:rPr>
          <w:rStyle w:val="VerbatimChar"/>
        </w:rPr>
        <w:t xml:space="preserve">02:55 Connect through an SSH tunnel</w:t>
      </w:r>
      <w:r>
        <w:br/>
      </w:r>
      <w:r>
        <w:rPr>
          <w:rStyle w:val="VerbatimChar"/>
        </w:rPr>
        <w:t xml:space="preserve">03:30 Record the configuration and costs</w:t>
      </w:r>
      <w:r>
        <w:br/>
      </w:r>
      <w:r>
        <w:rPr>
          <w:rStyle w:val="VerbatimChar"/>
        </w:rPr>
        <w:t xml:space="preserve">04:05 Unload the model and end compute</w:t>
      </w:r>
    </w:p>
    <w:bookmarkEnd w:id="43"/>
    <w:bookmarkEnd w:id="44"/>
    <w:bookmarkStart w:id="56" w:name="Xc477a4c11a8804554cde7bc2a74ddabb531f5c3"/>
    <w:p>
      <w:pPr>
        <w:pStyle w:val="Heading2"/>
      </w:pPr>
      <w:r>
        <w:t xml:space="preserve">Video 3 — GPU Cloud for Self-Hosted LLM APIs: vLLM on Glows.ai</w:t>
      </w:r>
    </w:p>
    <w:bookmarkStart w:id="45" w:name="X3a4354595208aa6d37c51dc74ee3fb33fad8bd9"/>
    <w:p>
      <w:pPr>
        <w:pStyle w:val="Heading3"/>
      </w:pPr>
      <w:r>
        <w:t xml:space="preserve">00:00–00:25 — Show one real application-style response</w:t>
      </w:r>
    </w:p>
    <w:p>
      <w:pPr>
        <w:pStyle w:val="FirstParagraph"/>
      </w:pPr>
      <w:r>
        <w:rPr>
          <w:b/>
          <w:bCs/>
        </w:rPr>
        <w:t xml:space="preserve">Narration</w:t>
      </w:r>
    </w:p>
    <w:p>
      <w:pPr>
        <w:pStyle w:val="BodyText"/>
      </w:pPr>
      <w:r>
        <w:t xml:space="preserve">Build a self-hosted LLM API with vLLM on a Glows.ai cloud GPU. We start from a cataloged vLLM environment, choose a demonstration model, and send an OpenAI-compatible request through a private connection. You control the serving configuration and budget on-demand GPU time without purchasing hardware. Here is the response we will reproduce in this walkthrough.</w:t>
      </w:r>
    </w:p>
    <w:p>
      <w:pPr>
        <w:pStyle w:val="BodyText"/>
      </w:pPr>
      <w:r>
        <w:rPr>
          <w:b/>
          <w:bCs/>
        </w:rPr>
        <w:t xml:space="preserve">On screen</w:t>
      </w:r>
    </w:p>
    <w:p>
      <w:pPr>
        <w:pStyle w:val="BodyText"/>
      </w:pPr>
      <w:r>
        <w:t xml:space="preserve">Show the actual response that the walkthrough will reproduce; label self-managed vLLM on On-Demand Cloud.</w:t>
      </w:r>
    </w:p>
    <w:bookmarkEnd w:id="45"/>
    <w:bookmarkStart w:id="46" w:name="Xb3763d7582cc1cc2529262d46920828324587df"/>
    <w:p>
      <w:pPr>
        <w:pStyle w:val="Heading3"/>
      </w:pPr>
      <w:r>
        <w:t xml:space="preserve">00:25–01:00 — Verify hardware, runtime, and model identity</w:t>
      </w:r>
    </w:p>
    <w:p>
      <w:pPr>
        <w:pStyle w:val="FirstParagraph"/>
      </w:pPr>
      <w:r>
        <w:rPr>
          <w:b/>
          <w:bCs/>
        </w:rPr>
        <w:t xml:space="preserve">Narration</w:t>
      </w:r>
    </w:p>
    <w:p>
      <w:pPr>
        <w:pStyle w:val="BodyText"/>
      </w:pPr>
      <w:r>
        <w:t xml:space="preserve">Select a vLLM image that is available for the GPU you intend to use. Check the actual driver and memory, then record the installed vLLM version. Our demonstration model is the small instruct model shown here. Verify its license and runtime support before downloading it. A successful small-model test does not establish that a larger model or a longer context will fit.</w:t>
      </w:r>
    </w:p>
    <w:p>
      <w:pPr>
        <w:pStyle w:val="BodyText"/>
      </w:pPr>
      <w:r>
        <w:rPr>
          <w:b/>
          <w:bCs/>
        </w:rPr>
        <w:t xml:space="preserve">On screen</w:t>
      </w:r>
    </w:p>
    <w:p>
      <w:pPr>
        <w:pStyle w:val="BodyText"/>
      </w:pPr>
      <w:r>
        <w:t xml:space="preserve">Show the current catalog image, GPU, vLLM version and demo model identity.</w:t>
      </w:r>
    </w:p>
    <w:p>
      <w:pPr>
        <w:pStyle w:val="SourceCode"/>
      </w:pPr>
      <w:r>
        <w:rPr>
          <w:rStyle w:val="ExtensionTok"/>
        </w:rPr>
        <w:t xml:space="preserve">nvidia-smi</w:t>
      </w:r>
      <w:r>
        <w:rPr>
          <w:rStyle w:val="NormalTok"/>
        </w:rPr>
        <w:t xml:space="preserve"> </w:t>
      </w:r>
      <w:r>
        <w:rPr>
          <w:rStyle w:val="AttributeTok"/>
        </w:rPr>
        <w:t xml:space="preserve">--query-gpu</w:t>
      </w:r>
      <w:r>
        <w:rPr>
          <w:rStyle w:val="OperatorTok"/>
        </w:rPr>
        <w:t xml:space="preserve">=</w:t>
      </w:r>
      <w:r>
        <w:rPr>
          <w:rStyle w:val="NormalTok"/>
        </w:rPr>
        <w:t xml:space="preserve">name,memory.total </w:t>
      </w:r>
      <w:r>
        <w:rPr>
          <w:rStyle w:val="AttributeTok"/>
        </w:rPr>
        <w:t xml:space="preserve">--format</w:t>
      </w:r>
      <w:r>
        <w:rPr>
          <w:rStyle w:val="OperatorTok"/>
        </w:rPr>
        <w:t xml:space="preserve">=</w:t>
      </w:r>
      <w:r>
        <w:rPr>
          <w:rStyle w:val="NormalTok"/>
        </w:rPr>
        <w:t xml:space="preserve">csv</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vllm; print(vllm.__version__)'</w:t>
      </w:r>
      <w:r>
        <w:br/>
      </w:r>
      <w:r>
        <w:rPr>
          <w:rStyle w:val="ExtensionTok"/>
        </w:rPr>
        <w:t xml:space="preserve">vllm</w:t>
      </w:r>
      <w:r>
        <w:rPr>
          <w:rStyle w:val="NormalTok"/>
        </w:rPr>
        <w:t xml:space="preserve"> serve </w:t>
      </w:r>
      <w:r>
        <w:rPr>
          <w:rStyle w:val="AttributeTok"/>
        </w:rPr>
        <w:t xml:space="preserve">--help</w:t>
      </w:r>
    </w:p>
    <w:bookmarkEnd w:id="46"/>
    <w:bookmarkStart w:id="47" w:name="X982cb7b158dcbdfc1eba557df4c379eb500e868"/>
    <w:p>
      <w:pPr>
        <w:pStyle w:val="Heading3"/>
      </w:pPr>
      <w:r>
        <w:t xml:space="preserve">01:00–01:40 — Start a loopback-only authenticated server</w:t>
      </w:r>
    </w:p>
    <w:p>
      <w:pPr>
        <w:pStyle w:val="FirstParagraph"/>
      </w:pPr>
      <w:r>
        <w:rPr>
          <w:b/>
          <w:bCs/>
        </w:rPr>
        <w:t xml:space="preserve">Narration</w:t>
      </w:r>
    </w:p>
    <w:p>
      <w:pPr>
        <w:pStyle w:val="BodyText"/>
      </w:pPr>
      <w:r>
        <w:t xml:space="preserve">Start vLLM with the verified model and an explicit local address. In this example, the service listens only on loopback and uses a temporary demonstration access key. The served model name is a short alias that we will use in the request. Wait for the actual model-loading and readiness logs; do not confuse a running process with a server that can answer.</w:t>
      </w:r>
    </w:p>
    <w:p>
      <w:pPr>
        <w:pStyle w:val="BodyText"/>
      </w:pPr>
      <w:r>
        <w:rPr>
          <w:b/>
          <w:bCs/>
        </w:rPr>
        <w:t xml:space="preserve">On screen</w:t>
      </w:r>
    </w:p>
    <w:p>
      <w:pPr>
        <w:pStyle w:val="BodyText"/>
      </w:pPr>
      <w:r>
        <w:t xml:space="preserve">Show loopback-only service startup and actual readiness logs. Keep the temporary API key private.</w:t>
      </w:r>
    </w:p>
    <w:p>
      <w:pPr>
        <w:pStyle w:val="SourceCode"/>
      </w:pPr>
      <w:r>
        <w:rPr>
          <w:rStyle w:val="ExtensionTok"/>
        </w:rPr>
        <w:t xml:space="preserve">vllm</w:t>
      </w:r>
      <w:r>
        <w:rPr>
          <w:rStyle w:val="NormalTok"/>
        </w:rPr>
        <w:t xml:space="preserve"> serve Qwen/Qwen2.5-1.5B-Instruct </w:t>
      </w:r>
      <w:r>
        <w:rPr>
          <w:rStyle w:val="DataTypeTok"/>
        </w:rPr>
        <w:t xml:space="preserve">\</w:t>
      </w:r>
      <w:r>
        <w:br/>
      </w:r>
      <w:r>
        <w:rPr>
          <w:rStyle w:val="NormalTok"/>
        </w:rPr>
        <w:t xml:space="preserve">  </w:t>
      </w:r>
      <w:r>
        <w:rPr>
          <w:rStyle w:val="AttributeTok"/>
        </w:rPr>
        <w:t xml:space="preserve">--host</w:t>
      </w:r>
      <w:r>
        <w:rPr>
          <w:rStyle w:val="NormalTok"/>
        </w:rPr>
        <w:t xml:space="preserve"> 127.0.0.1 </w:t>
      </w:r>
      <w:r>
        <w:rPr>
          <w:rStyle w:val="AttributeTok"/>
        </w:rPr>
        <w:t xml:space="preserve">--port</w:t>
      </w:r>
      <w:r>
        <w:rPr>
          <w:rStyle w:val="NormalTok"/>
        </w:rPr>
        <w:t xml:space="preserve"> 8000 </w:t>
      </w:r>
      <w:r>
        <w:rPr>
          <w:rStyle w:val="DataTypeTok"/>
        </w:rPr>
        <w:t xml:space="preserve">\</w:t>
      </w:r>
      <w:r>
        <w:br/>
      </w:r>
      <w:r>
        <w:rPr>
          <w:rStyle w:val="NormalTok"/>
        </w:rPr>
        <w:t xml:space="preserve">  </w:t>
      </w:r>
      <w:r>
        <w:rPr>
          <w:rStyle w:val="AttributeTok"/>
        </w:rPr>
        <w:t xml:space="preserve">--served-model-name</w:t>
      </w:r>
      <w:r>
        <w:rPr>
          <w:rStyle w:val="NormalTok"/>
        </w:rPr>
        <w:t xml:space="preserve"> glows-demo </w:t>
      </w:r>
      <w:r>
        <w:rPr>
          <w:rStyle w:val="DataTypeTok"/>
        </w:rPr>
        <w:t xml:space="preserve">\</w:t>
      </w:r>
      <w:r>
        <w:br/>
      </w:r>
      <w:r>
        <w:rPr>
          <w:rStyle w:val="NormalTok"/>
        </w:rPr>
        <w:t xml:space="preserve">  </w:t>
      </w:r>
      <w:r>
        <w:rPr>
          <w:rStyle w:val="AttributeTok"/>
        </w:rPr>
        <w:t xml:space="preserve">--max-model-len</w:t>
      </w:r>
      <w:r>
        <w:rPr>
          <w:rStyle w:val="NormalTok"/>
        </w:rPr>
        <w:t xml:space="preserve"> 2048 </w:t>
      </w:r>
      <w:r>
        <w:rPr>
          <w:rStyle w:val="DataTypeTok"/>
        </w:rPr>
        <w:t xml:space="preserve">\</w:t>
      </w:r>
      <w:r>
        <w:br/>
      </w:r>
      <w:r>
        <w:rPr>
          <w:rStyle w:val="NormalTok"/>
        </w:rPr>
        <w:t xml:space="preserve">  </w:t>
      </w:r>
      <w:r>
        <w:rPr>
          <w:rStyle w:val="AttributeTok"/>
        </w:rPr>
        <w:t xml:space="preserve">--api-key</w:t>
      </w:r>
      <w:r>
        <w:rPr>
          <w:rStyle w:val="NormalTok"/>
        </w:rPr>
        <w:t xml:space="preserve"> </w:t>
      </w:r>
      <w:r>
        <w:rPr>
          <w:rStyle w:val="StringTok"/>
        </w:rPr>
        <w:t xml:space="preserve">"</w:t>
      </w:r>
      <w:r>
        <w:rPr>
          <w:rStyle w:val="VariableTok"/>
        </w:rPr>
        <w:t xml:space="preserve">$VLLM_DEMO_API_KEY</w:t>
      </w:r>
      <w:r>
        <w:rPr>
          <w:rStyle w:val="StringTok"/>
        </w:rPr>
        <w:t xml:space="preserve">"</w:t>
      </w:r>
    </w:p>
    <w:bookmarkEnd w:id="47"/>
    <w:bookmarkStart w:id="48" w:name="X27671d3d4b9d1c2cf58ef7d816f2e1124da1f28"/>
    <w:p>
      <w:pPr>
        <w:pStyle w:val="Heading3"/>
      </w:pPr>
      <w:r>
        <w:t xml:space="preserve">01:40–02:15 — Establish private client access</w:t>
      </w:r>
    </w:p>
    <w:p>
      <w:pPr>
        <w:pStyle w:val="FirstParagraph"/>
      </w:pPr>
      <w:r>
        <w:rPr>
          <w:b/>
          <w:bCs/>
        </w:rPr>
        <w:t xml:space="preserve">Narration</w:t>
      </w:r>
    </w:p>
    <w:p>
      <w:pPr>
        <w:pStyle w:val="BodyText"/>
      </w:pPr>
      <w:r>
        <w:t xml:space="preserve">In local terminal A, keep the authenticated SSH tunnel running. It forwards a local port to the server’s loopback port while the model port remains private. In a separate local terminal B, use the same temporary access key to request the model list. This confirms that the expected alias is actually served before we send a chat request.</w:t>
      </w:r>
    </w:p>
    <w:p>
      <w:pPr>
        <w:pStyle w:val="BodyText"/>
      </w:pPr>
      <w:r>
        <w:rPr>
          <w:b/>
          <w:bCs/>
        </w:rPr>
        <w:t xml:space="preserve">On screen</w:t>
      </w:r>
    </w:p>
    <w:p>
      <w:pPr>
        <w:pStyle w:val="BodyText"/>
      </w:pPr>
      <w:r>
        <w:t xml:space="preserve">Local terminal A keeps the SSH tunnel running; local terminal B uses the same temporary key to request the served model list.</w:t>
      </w:r>
    </w:p>
    <w:p>
      <w:pPr>
        <w:pStyle w:val="BodyText"/>
      </w:pPr>
      <w:r>
        <w:rPr>
          <w:b/>
          <w:bCs/>
        </w:rPr>
        <w:t xml:space="preserve">Local terminal A — keep running</w:t>
      </w:r>
    </w:p>
    <w:p>
      <w:pPr>
        <w:pStyle w:val="SourceCode"/>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-L</w:t>
      </w:r>
      <w:r>
        <w:rPr>
          <w:rStyle w:val="NormalTok"/>
        </w:rPr>
        <w:t xml:space="preserve"> 127.0.0.1:18000:127.0.0.1:8000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$SSH_PORT</w:t>
      </w:r>
      <w:r>
        <w:rPr>
          <w:rStyle w:val="StringTok"/>
        </w:rPr>
        <w:t xml:space="preserve">"</w:t>
      </w:r>
      <w:r>
        <w:rPr>
          <w:rStyle w:val="NormalTok"/>
        </w:rPr>
        <w:t xml:space="preserve"> </w:t>
      </w:r>
      <w:r>
        <w:rPr>
          <w:rStyle w:val="StringTok"/>
        </w:rPr>
        <w:t xml:space="preserve">"</w:t>
      </w:r>
      <w:r>
        <w:rPr>
          <w:rStyle w:val="VariableTok"/>
        </w:rPr>
        <w:t xml:space="preserve">$SSH_USER</w:t>
      </w:r>
      <w:r>
        <w:rPr>
          <w:rStyle w:val="StringTok"/>
        </w:rPr>
        <w:t xml:space="preserve">@</w:t>
      </w:r>
      <w:r>
        <w:rPr>
          <w:rStyle w:val="VariableTok"/>
        </w:rPr>
        <w:t xml:space="preserve">$SSH_HOST</w:t>
      </w:r>
      <w:r>
        <w:rPr>
          <w:rStyle w:val="StringTok"/>
        </w:rPr>
        <w:t xml:space="preserve">"</w:t>
      </w:r>
    </w:p>
    <w:p>
      <w:pPr>
        <w:pStyle w:val="FirstParagraph"/>
      </w:pPr>
      <w:r>
        <w:rPr>
          <w:b/>
          <w:bCs/>
        </w:rPr>
        <w:t xml:space="preserve">Local terminal B — same temporary key</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http://127.0.0.1:18000/v1/models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$VLLM_DEMO_API_KEY</w:t>
      </w:r>
      <w:r>
        <w:rPr>
          <w:rStyle w:val="StringTok"/>
        </w:rPr>
        <w:t xml:space="preserve">"</w:t>
      </w:r>
    </w:p>
    <w:bookmarkEnd w:id="48"/>
    <w:bookmarkStart w:id="49" w:name="X19e9be0585ce3d185cab0f5d5b777bcdf78a3d9"/>
    <w:p>
      <w:pPr>
        <w:pStyle w:val="Heading3"/>
      </w:pPr>
      <w:r>
        <w:t xml:space="preserve">02:15–03:00 — Send a standard chat-completions request</w:t>
      </w:r>
    </w:p>
    <w:p>
      <w:pPr>
        <w:pStyle w:val="FirstParagraph"/>
      </w:pPr>
      <w:r>
        <w:rPr>
          <w:b/>
          <w:bCs/>
        </w:rPr>
        <w:t xml:space="preserve">Narration</w:t>
      </w:r>
    </w:p>
    <w:p>
      <w:pPr>
        <w:pStyle w:val="BodyText"/>
      </w:pPr>
      <w:r>
        <w:t xml:space="preserve">Now send a chat-completions request to the local forwarded address. The request uses our served model alias, a short user message, and an output limit. These paths belong to the vLLM serving runtime; they are not guessed Glows.ai platform API endpoints. Inspect the actual response object and answer, and resolve any model-name or authentication error before continuing.</w:t>
      </w:r>
    </w:p>
    <w:p>
      <w:pPr>
        <w:pStyle w:val="BodyText"/>
      </w:pPr>
      <w:r>
        <w:rPr>
          <w:b/>
          <w:bCs/>
        </w:rPr>
        <w:t xml:space="preserve">On screen</w:t>
      </w:r>
    </w:p>
    <w:p>
      <w:pPr>
        <w:pStyle w:val="BodyText"/>
      </w:pPr>
      <w:r>
        <w:t xml:space="preserve">Show the actual chat-completions response. These are vLLM runtime paths, not Glows.ai platform endpoints.</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http://127.0.0.1:18000/v1/chat/completions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$VLLM_DEMO_API_KEY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"model": "glows-demo",</w:t>
      </w:r>
      <w:r>
        <w:br/>
      </w:r>
      <w:r>
        <w:rPr>
          <w:rStyle w:val="StringTok"/>
        </w:rPr>
        <w:t xml:space="preserve">  "messages": [</w:t>
      </w:r>
      <w:r>
        <w:br/>
      </w:r>
      <w:r>
        <w:rPr>
          <w:rStyle w:val="StringTok"/>
        </w:rPr>
        <w:t xml:space="preserve">    {</w:t>
      </w:r>
      <w:r>
        <w:br/>
      </w:r>
      <w:r>
        <w:rPr>
          <w:rStyle w:val="StringTok"/>
        </w:rPr>
        <w:t xml:space="preserve">      "role": "user",</w:t>
      </w:r>
      <w:r>
        <w:br/>
      </w:r>
      <w:r>
        <w:rPr>
          <w:rStyle w:val="StringTok"/>
        </w:rPr>
        <w:t xml:space="preserve">      "content": "Explain billable GPU time in one short sentence."</w:t>
      </w:r>
      <w:r>
        <w:br/>
      </w:r>
      <w:r>
        <w:rPr>
          <w:rStyle w:val="StringTok"/>
        </w:rPr>
        <w:t xml:space="preserve">    }</w:t>
      </w:r>
      <w:r>
        <w:br/>
      </w:r>
      <w:r>
        <w:rPr>
          <w:rStyle w:val="StringTok"/>
        </w:rPr>
        <w:t xml:space="preserve">  ],</w:t>
      </w:r>
      <w:r>
        <w:br/>
      </w:r>
      <w:r>
        <w:rPr>
          <w:rStyle w:val="StringTok"/>
        </w:rPr>
        <w:t xml:space="preserve">  "max_tokens": 64,</w:t>
      </w:r>
      <w:r>
        <w:br/>
      </w:r>
      <w:r>
        <w:rPr>
          <w:rStyle w:val="StringTok"/>
        </w:rPr>
        <w:t xml:space="preserve">  "temperature": 0</w:t>
      </w:r>
      <w:r>
        <w:br/>
      </w:r>
      <w:r>
        <w:rPr>
          <w:rStyle w:val="StringTok"/>
        </w:rPr>
        <w:t xml:space="preserve">}'</w:t>
      </w:r>
    </w:p>
    <w:bookmarkEnd w:id="49"/>
    <w:bookmarkStart w:id="50" w:name="X7c9fe1cbf3f0eb7ad875ead78da39db38197da9"/>
    <w:p>
      <w:pPr>
        <w:pStyle w:val="Heading3"/>
      </w:pPr>
      <w:r>
        <w:t xml:space="preserve">03:00–03:35 — Explain what the test proves</w:t>
      </w:r>
    </w:p>
    <w:p>
      <w:pPr>
        <w:pStyle w:val="FirstParagraph"/>
      </w:pPr>
      <w:r>
        <w:rPr>
          <w:b/>
          <w:bCs/>
        </w:rPr>
        <w:t xml:space="preserve">Narration</w:t>
      </w:r>
    </w:p>
    <w:p>
      <w:pPr>
        <w:pStyle w:val="BodyText"/>
      </w:pPr>
      <w:r>
        <w:t xml:space="preserve">This response confirms a working path from the client through SSH to our selected model. It does not prove production capacity or full feature parity with every OpenAI API. For a real application, test your input lengths, output limits, concurrency, quality, and latency requirements. Observe GPU memory and errors while you increase load rather than assuming that more simultaneous requests always improve the experience.</w:t>
      </w:r>
    </w:p>
    <w:p>
      <w:pPr>
        <w:pStyle w:val="BodyText"/>
      </w:pPr>
      <w:r>
        <w:rPr>
          <w:b/>
          <w:bCs/>
        </w:rPr>
        <w:t xml:space="preserve">On screen</w:t>
      </w:r>
    </w:p>
    <w:p>
      <w:pPr>
        <w:pStyle w:val="BodyText"/>
      </w:pPr>
      <w:r>
        <w:t xml:space="preserve">Show real GPU/log observations; do not add invented throughput results.</w:t>
      </w:r>
    </w:p>
    <w:bookmarkEnd w:id="50"/>
    <w:bookmarkStart w:id="51" w:name="X0cee3d4aebd851462f806d62de8e6c67a7ce676"/>
    <w:p>
      <w:pPr>
        <w:pStyle w:val="Heading3"/>
      </w:pPr>
      <w:r>
        <w:t xml:space="preserve">03:35–04:05 — State the billing and deployment boundary</w:t>
      </w:r>
    </w:p>
    <w:p>
      <w:pPr>
        <w:pStyle w:val="FirstParagraph"/>
      </w:pPr>
      <w:r>
        <w:rPr>
          <w:b/>
          <w:bCs/>
        </w:rPr>
        <w:t xml:space="preserve">Narration</w:t>
      </w:r>
    </w:p>
    <w:p>
      <w:pPr>
        <w:pStyle w:val="BodyText"/>
      </w:pPr>
      <w:r>
        <w:t xml:space="preserve">This demonstration uses on-demand GPU instance time, with per-second compute billing. The public October 2026 RTX 4090 reference rate is forty-nine cents per GPU-hour; use your selected configuration’s current quote. Include billable loading and idle time, plus any separate service charges. If you prefer a managed endpoint, evaluate Inference on Cloud separately on its compatibility and actual quote.</w:t>
      </w:r>
    </w:p>
    <w:p>
      <w:pPr>
        <w:pStyle w:val="BodyText"/>
      </w:pPr>
      <w:r>
        <w:rPr>
          <w:b/>
          <w:bCs/>
        </w:rPr>
        <w:t xml:space="preserve">On screen</w:t>
      </w:r>
    </w:p>
    <w:p>
      <w:pPr>
        <w:pStyle w:val="BodyText"/>
      </w:pPr>
      <w:r>
        <w:t xml:space="preserve">Show the selected configuration and rate. Instance GPU-hour rates are not managed endpoint or per-token rates.</w:t>
      </w:r>
    </w:p>
    <w:bookmarkEnd w:id="51"/>
    <w:bookmarkStart w:id="52" w:name="X869dc4dbfdf2977890440179efd0524a87b6bff"/>
    <w:p>
      <w:pPr>
        <w:pStyle w:val="Heading3"/>
      </w:pPr>
      <w:r>
        <w:t xml:space="preserve">04:05–04:40 — Save the recipe and end the resource</w:t>
      </w:r>
    </w:p>
    <w:p>
      <w:pPr>
        <w:pStyle w:val="FirstParagraph"/>
      </w:pPr>
      <w:r>
        <w:rPr>
          <w:b/>
          <w:bCs/>
        </w:rPr>
        <w:t xml:space="preserve">Narration</w:t>
      </w:r>
    </w:p>
    <w:p>
      <w:pPr>
        <w:pStyle w:val="BodyText"/>
      </w:pPr>
      <w:r>
        <w:t xml:space="preserve">Save the image version, model identity, serving command, and request settings so another test can use the same configuration. Stop the demonstration server, close the tunnel, and separately end the compute resource using the current Glows.ai instructions. Confirm the final resource state and storage terms. You now have a verified starting point for testing a self-hosted LLM API, with its limits made explicit.</w:t>
      </w:r>
    </w:p>
    <w:p>
      <w:pPr>
        <w:pStyle w:val="BodyText"/>
      </w:pPr>
      <w:r>
        <w:rPr>
          <w:b/>
          <w:bCs/>
        </w:rPr>
        <w:t xml:space="preserve">On screen</w:t>
      </w:r>
    </w:p>
    <w:p>
      <w:pPr>
        <w:pStyle w:val="BodyText"/>
      </w:pPr>
      <w:r>
        <w:t xml:space="preserve">Save the reproducible recipe, stop the server and tunnel, and separately end the compute resource.</w:t>
      </w:r>
    </w:p>
    <w:bookmarkEnd w:id="52"/>
    <w:bookmarkStart w:id="54" w:name="description-draft-2"/>
    <w:p>
      <w:pPr>
        <w:pStyle w:val="Heading3"/>
      </w:pPr>
      <w:r>
        <w:t xml:space="preserve">Description draft</w:t>
      </w:r>
    </w:p>
    <w:p>
      <w:pPr>
        <w:pStyle w:val="FirstParagraph"/>
      </w:pPr>
      <w:r>
        <w:t xml:space="preserve">Official Glows.ai tutorial: run a self-hosted LLM API with vLLM on an on-demand cloud GPU and make an OpenAI-compatible chat-completions request. We verify the image and model, use a loopback-only authenticated server and SSH access, and inspect a real response.</w:t>
      </w:r>
    </w:p>
    <w:p>
      <w:pPr>
        <w:pStyle w:val="BodyText"/>
      </w:pPr>
      <w:r>
        <w:t xml:space="preserve">This is a functional demonstration of the selected vLLM runtime, not a managed Glows.ai model API, a production benchmark, or a guarantee of compatibility with every API feature. Check the current image, model license, hardware fit, instance rate, and operating requirements before repeating it.</w:t>
      </w:r>
    </w:p>
    <w:p>
      <w:pPr>
        <w:pStyle w:val="BodyText"/>
      </w:pPr>
      <w:r>
        <w:t xml:space="preserve">Glows.ai On-Demand Cloud:</w:t>
      </w:r>
      <w:r>
        <w:t xml:space="preserve"> </w:t>
      </w:r>
      <w:hyperlink r:id="rId30">
        <w:r>
          <w:rPr>
            <w:rStyle w:val="Hyperlink"/>
          </w:rPr>
          <w:t xml:space="preserve">https://glows.ai/product/on-demand-cloud</w:t>
        </w:r>
      </w:hyperlink>
    </w:p>
    <w:p>
      <w:pPr>
        <w:pStyle w:val="BodyText"/>
      </w:pPr>
      <w:r>
        <w:t xml:space="preserve">Documentation:</w:t>
      </w:r>
      <w:r>
        <w:t xml:space="preserve"> </w:t>
      </w:r>
      <w:hyperlink r:id="rId29">
        <w:r>
          <w:rPr>
            <w:rStyle w:val="Hyperlink"/>
          </w:rPr>
          <w:t xml:space="preserve">https://docs.glows.ai/</w:t>
        </w:r>
      </w:hyperlink>
    </w:p>
    <w:p>
      <w:pPr>
        <w:pStyle w:val="BodyText"/>
      </w:pPr>
      <w:r>
        <w:t xml:space="preserve">Managed inference information:</w:t>
      </w:r>
      <w:r>
        <w:t xml:space="preserve"> </w:t>
      </w:r>
      <w:hyperlink r:id="rId53">
        <w:r>
          <w:rPr>
            <w:rStyle w:val="Hyperlink"/>
          </w:rPr>
          <w:t xml:space="preserve">https://glows.ai/product/inference-on-cloud</w:t>
        </w:r>
      </w:hyperlink>
    </w:p>
    <w:bookmarkEnd w:id="54"/>
    <w:bookmarkStart w:id="55" w:name="chapters-2"/>
    <w:p>
      <w:pPr>
        <w:pStyle w:val="Heading3"/>
      </w:pPr>
      <w:r>
        <w:t xml:space="preserve">Chapters</w:t>
      </w:r>
    </w:p>
    <w:p>
      <w:pPr>
        <w:pStyle w:val="FirstParagraph"/>
      </w:pPr>
      <w:r>
        <w:t xml:space="preserve">Use these planning timestamps only after aligning them with the actual edited video.</w:t>
      </w:r>
    </w:p>
    <w:p>
      <w:pPr>
        <w:pStyle w:val="SourceCode"/>
      </w:pPr>
      <w:r>
        <w:rPr>
          <w:rStyle w:val="VerbatimChar"/>
        </w:rPr>
        <w:t xml:space="preserve">00:00 Self-hosted API result and scope</w:t>
      </w:r>
      <w:r>
        <w:br/>
      </w:r>
      <w:r>
        <w:rPr>
          <w:rStyle w:val="VerbatimChar"/>
        </w:rPr>
        <w:t xml:space="preserve">00:25 Verify the GPU, vLLM image, and model</w:t>
      </w:r>
      <w:r>
        <w:br/>
      </w:r>
      <w:r>
        <w:rPr>
          <w:rStyle w:val="VerbatimChar"/>
        </w:rPr>
        <w:t xml:space="preserve">01:00 Start a private authenticated server</w:t>
      </w:r>
      <w:r>
        <w:br/>
      </w:r>
      <w:r>
        <w:rPr>
          <w:rStyle w:val="VerbatimChar"/>
        </w:rPr>
        <w:t xml:space="preserve">01:40 Connect through SSH and list models</w:t>
      </w:r>
      <w:r>
        <w:br/>
      </w:r>
      <w:r>
        <w:rPr>
          <w:rStyle w:val="VerbatimChar"/>
        </w:rPr>
        <w:t xml:space="preserve">02:15 Send a chat-completions request</w:t>
      </w:r>
      <w:r>
        <w:br/>
      </w:r>
      <w:r>
        <w:rPr>
          <w:rStyle w:val="VerbatimChar"/>
        </w:rPr>
        <w:t xml:space="preserve">03:00 Inspect the result and test boundaries</w:t>
      </w:r>
      <w:r>
        <w:br/>
      </w:r>
      <w:r>
        <w:rPr>
          <w:rStyle w:val="VerbatimChar"/>
        </w:rPr>
        <w:t xml:space="preserve">03:35 Understand instance costs</w:t>
      </w:r>
      <w:r>
        <w:br/>
      </w:r>
      <w:r>
        <w:rPr>
          <w:rStyle w:val="VerbatimChar"/>
        </w:rPr>
        <w:t xml:space="preserve">04:05 Save the recipe and end compute</w:t>
      </w:r>
    </w:p>
    <w:bookmarkEnd w:id="55"/>
    <w:bookmarkEnd w:id="56"/>
    <w:bookmarkEnd w:id="57"/>
    <w:sectPr w:rsidR="00FC693F" w:rsidRPr="0006063C" w:rsidSect="00034616">
      <w:headerReference r:id="rId9" w:type="default"/>
      <w:footerReference r:id="rId10" w:type="default"/>
      <w:pgSz w:h="16838" w:w="11905"/>
      <w:pgMar w:bottom="979" w:footer="432" w:gutter="0" w:header="432" w:left="1152" w:right="1152" w:top="10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Content production drafts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4" w:lineRule="auto"/>
    </w:pPr>
    <w:rPr>
      <w:rFonts w:ascii="Liberation Sans" w:eastAsia="Noto Sans CJK SC" w:hAnsi="Liberation Sans"/>
      <w:color w:val="242424"/>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80" w:before="0" w:line="252" w:lineRule="auto"/>
      <w:outlineLvl w:val="0"/>
    </w:pPr>
    <w:rPr>
      <w:rFonts w:ascii="Liberation Sans" w:asciiTheme="majorHAnsi" w:cstheme="majorBidi" w:eastAsia="Noto Sans CJK SC" w:eastAsiaTheme="majorEastAsia" w:hAnsi="Liberation Sans" w:hAnsiTheme="majorHAnsi"/>
      <w:b/>
      <w:bCs/>
      <w:color w:val="5B21B6"/>
      <w:sz w:val="40"/>
      <w:szCs w:val="28"/>
    </w:rPr>
  </w:style>
  <w:style w:styleId="Heading2" w:type="paragraph">
    <w:name w:val="heading 2"/>
    <w:basedOn w:val="Normal"/>
    <w:next w:val="Normal"/>
    <w:link w:val="Heading2Char"/>
    <w:uiPriority w:val="9"/>
    <w:unhideWhenUsed/>
    <w:qFormat/>
    <w:rsid w:val="00FC693F"/>
    <w:pPr>
      <w:keepNext/>
      <w:keepLines/>
      <w:pageBreakBefore/>
      <w:spacing w:after="160" w:before="260" w:line="252" w:lineRule="auto"/>
      <w:outlineLvl w:val="1"/>
    </w:pPr>
    <w:rPr>
      <w:rFonts w:ascii="Liberation Sans" w:asciiTheme="majorHAnsi" w:cstheme="majorBidi" w:eastAsia="Noto Sans CJK SC" w:eastAsiaTheme="majorEastAsia" w:hAnsi="Liberation Sans" w:hAnsiTheme="majorHAnsi"/>
      <w:b/>
      <w:bCs/>
      <w:color w:val="5B21B6"/>
      <w:sz w:val="30"/>
      <w:szCs w:val="26"/>
    </w:rPr>
  </w:style>
  <w:style w:styleId="Heading3" w:type="paragraph">
    <w:name w:val="heading 3"/>
    <w:basedOn w:val="Normal"/>
    <w:next w:val="Normal"/>
    <w:link w:val="Heading3Char"/>
    <w:uiPriority w:val="9"/>
    <w:unhideWhenUsed/>
    <w:qFormat/>
    <w:rsid w:val="00FC693F"/>
    <w:pPr>
      <w:keepNext/>
      <w:keepLines/>
      <w:spacing w:after="100" w:before="200" w:line="252" w:lineRule="auto"/>
      <w:outlineLvl w:val="2"/>
    </w:pPr>
    <w:rPr>
      <w:rFonts w:ascii="Liberation Sans" w:asciiTheme="majorHAnsi" w:cstheme="majorBidi" w:eastAsia="Noto Sans CJK SC" w:eastAsiaTheme="majorEastAsia" w:hAnsi="Liberation Sans" w:hAnsiTheme="majorHAnsi"/>
      <w:b/>
      <w:bCs/>
      <w:color w:val="5B21B6"/>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7C3AE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5B21B6"/>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5B21B6"/>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7C3AE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5B21B6"/>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7C3AE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7C3AED"/>
    </w:rPr>
  </w:style>
  <w:style w:styleId="Title" w:type="paragraph">
    <w:name w:val="Title"/>
    <w:basedOn w:val="Normal"/>
    <w:next w:val="Normal"/>
    <w:link w:val="TitleChar"/>
    <w:uiPriority w:val="10"/>
    <w:qFormat/>
    <w:rsid w:val="00FC693F"/>
    <w:pPr>
      <w:pBdr>
        <w:bottom w:color="7C3AED" w:space="4" w:sz="8" w:val="single"/>
      </w:pBdr>
      <w:spacing w:after="300" w:line="240" w:lineRule="auto"/>
      <w:contextualSpacing/>
    </w:pPr>
    <w:rPr>
      <w:rFonts w:ascii="Liberation Sans" w:asciiTheme="majorHAnsi" w:cstheme="majorBidi" w:eastAsia="Noto Sans CJK SC" w:eastAsiaTheme="majorEastAsia" w:hAnsi="Liberation Sans" w:hAnsiTheme="majorHAnsi"/>
      <w:color w:val="5B21B6"/>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5B21B6"/>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7C3AE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7C3AE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line="264" w:lineRule="auto"/>
      <w:contextualSpacing/>
    </w:pPr>
    <w:rPr>
      <w:rFonts w:ascii="Liberation Sans" w:hAnsi="Liberation Sans"/>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20" w:line="264" w:lineRule="auto"/>
      <w:contextualSpacing/>
    </w:pPr>
    <w:rPr>
      <w:rFonts w:ascii="Liberation Sans" w:hAnsi="Liberation Sans"/>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7C3AE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5B21B6"/>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5B21B6"/>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7C3AE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404040"/>
      <w:sz w:val="20"/>
      <w:szCs w:val="20"/>
    </w:rPr>
  </w:style>
  <w:style w:styleId="Caption" w:type="paragraph">
    <w:name w:val="caption"/>
    <w:basedOn w:val="Normal"/>
    <w:next w:val="Normal"/>
    <w:uiPriority w:val="35"/>
    <w:semiHidden/>
    <w:unhideWhenUsed/>
    <w:qFormat/>
    <w:rsid w:val="00FC693F"/>
    <w:pPr>
      <w:spacing w:line="240" w:lineRule="auto"/>
    </w:pPr>
    <w:rPr>
      <w:b/>
      <w:bCs/>
      <w:color w:val="7C3AE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7C3AED" w:space="4" w:sz="4" w:val="single"/>
      </w:pBdr>
      <w:spacing w:after="280" w:before="200"/>
      <w:ind w:left="936" w:right="936"/>
    </w:pPr>
    <w:rPr>
      <w:b/>
      <w:bCs/>
      <w:i/>
      <w:iCs/>
      <w:color w:val="7C3AED"/>
    </w:rPr>
  </w:style>
  <w:style w:customStyle="1" w:styleId="IntenseQuoteChar" w:type="character">
    <w:name w:val="Intense Quote Char"/>
    <w:basedOn w:val="DefaultParagraphFont"/>
    <w:link w:val="IntenseQuote"/>
    <w:uiPriority w:val="30"/>
    <w:rsid w:val="00FC693F"/>
    <w:rPr>
      <w:b/>
      <w:bCs/>
      <w:i/>
      <w:iCs/>
      <w:color w:val="7C3AED"/>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7C3AED"/>
    </w:rPr>
  </w:style>
  <w:style w:styleId="SubtleReference" w:type="character">
    <w:name w:val="Subtle Reference"/>
    <w:basedOn w:val="DefaultParagraphFont"/>
    <w:uiPriority w:val="31"/>
    <w:qFormat/>
    <w:rsid w:val="00FC693F"/>
    <w:rPr>
      <w:smallCaps/>
      <w:color w:val="7C3AED"/>
      <w:u w:val="single"/>
    </w:rPr>
  </w:style>
  <w:style w:styleId="IntenseReference" w:type="character">
    <w:name w:val="Intense Reference"/>
    <w:basedOn w:val="DefaultParagraphFont"/>
    <w:uiPriority w:val="32"/>
    <w:qFormat/>
    <w:rsid w:val="00FC693F"/>
    <w:rPr>
      <w:b/>
      <w:bCs/>
      <w:smallCaps/>
      <w:color w:val="7C3AE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val="clear"/>
      </w:tcPr>
    </w:tblStylePr>
    <w:tblStylePr w:type="band1Horz">
      <w:tblPr/>
      <w:tcPr>
        <w:tcBorders>
          <w:left w:val="nil"/>
          <w:right w:val="nil"/>
          <w:insideH w:val="nil"/>
          <w:insideV w:val="nil"/>
        </w:tcBorders>
        <w:shd w:color="AUTO" w:fill="C0C0C0" w:val="clear"/>
      </w:tcPr>
    </w:tblStylePr>
  </w:style>
  <w:style w:styleId="LightShading-Accent1" w:type="table">
    <w:name w:val="Light Shading Accent 1"/>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2" w:type="table">
    <w:name w:val="Light Shading Accent 2"/>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3" w:type="table">
    <w:name w:val="Light Shading Accent 3"/>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4" w:type="table">
    <w:name w:val="Light Shading Accent 4"/>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5" w:type="table">
    <w:name w:val="Light Shading Accent 5"/>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6" w:type="table">
    <w:name w:val="Light Shading Accent 6"/>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val="clear"/>
      </w:tcPr>
    </w:tblStylePr>
    <w:tblStylePr w:type="band1Horz">
      <w:tblPr/>
      <w:tcPr>
        <w:tcBorders>
          <w:insideH w:val="nil"/>
          <w:insideV w:val="nil"/>
        </w:tcBorders>
        <w:shd w:color="AUTO" w:fill="C0C0C0"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000000" w:val="clear"/>
      </w:tcPr>
    </w:tblStylePr>
    <w:tblStylePr w:type="lastCol">
      <w:rPr>
        <w:b/>
        <w:bCs/>
        <w:color w:val="FFFFFF"/>
      </w:rPr>
      <w:tblPr/>
      <w:tcPr>
        <w:tcBorders>
          <w:left w:val="nil"/>
          <w:right w:val="nil"/>
          <w:insideH w:val="nil"/>
          <w:insideV w:val="nil"/>
        </w:tcBorders>
        <w:shd w:color="AUTO" w:fill="000000"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val="single"/>
        </w:tcBorders>
      </w:tcPr>
    </w:tblStylePr>
    <w:tblStylePr w:type="lastRow">
      <w:rPr>
        <w:b/>
        <w:bCs/>
        <w:color w:val="5B21B6"/>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val="clear"/>
      </w:tcPr>
    </w:tblStylePr>
    <w:tblStylePr w:type="lastRow">
      <w:tblPr/>
      <w:tcPr>
        <w:tcBorders>
          <w:top w:color="000000" w:space="0" w:sz="8" w:val="single"/>
          <w:left w:val="nil"/>
          <w:bottom w:val="nil"/>
          <w:right w:val="nil"/>
          <w:insideH w:val="nil"/>
          <w:insideV w:val="nil"/>
        </w:tcBorders>
        <w:shd w:color="AUTO" w:fill="FFFFFF" w:val="clear"/>
      </w:tcPr>
    </w:tblStylePr>
    <w:tblStylePr w:type="firstCol">
      <w:tblPr/>
      <w:tcPr>
        <w:tcBorders>
          <w:top w:val="nil"/>
          <w:left w:val="nil"/>
          <w:bottom w:val="nil"/>
          <w:right w:color="000000" w:space="0" w:sz="8" w:val="single"/>
          <w:insideH w:val="nil"/>
          <w:insideV w:val="nil"/>
        </w:tcBorders>
        <w:shd w:color="AUTO" w:fill="FFFFFF" w:val="clear"/>
      </w:tcPr>
    </w:tblStylePr>
    <w:tblStylePr w:type="lastCol">
      <w:tblPr/>
      <w:tcPr>
        <w:tcBorders>
          <w:top w:val="nil"/>
          <w:left w:color="000000"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C0C0C0" w:val="clear"/>
      </w:tcPr>
    </w:tblStylePr>
    <w:tblStylePr w:type="band1Horz">
      <w:tblPr/>
      <w:tcPr>
        <w:tcBorders>
          <w:top w:val="nil"/>
          <w:bottom w:val="nil"/>
          <w:insideH w:val="nil"/>
          <w:insideV w:val="nil"/>
        </w:tcBorders>
        <w:shd w:color="AUTO" w:fill="C0C0C0" w:val="clear"/>
      </w:tcPr>
    </w:tblStylePr>
    <w:tblStylePr w:type="nwCell">
      <w:tblPr/>
      <w:tcPr>
        <w:shd w:color="AUTO" w:fill="FFFFFF"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val="clear"/>
      </w:tcPr>
    </w:tblStylePr>
    <w:tblStylePr w:type="band1Horz">
      <w:tblPr/>
      <w:tcPr>
        <w:shd w:color="AUTO" w:fill="808080"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val="clear"/>
    </w:tcPr>
    <w:tblStylePr w:type="firstRow">
      <w:rPr>
        <w:b/>
        <w:bCs/>
        <w:color w:val="000000"/>
      </w:rPr>
      <w:tblPr/>
      <w:tcPr>
        <w:shd w:color="AUTO" w:fill="E6E6E6"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CCCCCC" w:val="clear"/>
      </w:tcPr>
    </w:tblStylePr>
    <w:tblStylePr w:type="band1Vert">
      <w:tblPr/>
      <w:tcPr>
        <w:shd w:color="AUTO" w:fill="808080" w:val="clear"/>
      </w:tcPr>
    </w:tblStylePr>
    <w:tblStylePr w:type="band1Horz">
      <w:tblPr/>
      <w:tcPr>
        <w:tcBorders>
          <w:insideH w:color="000000" w:space="0" w:sz="6" w:val="single"/>
          <w:insideV w:color="000000" w:space="0" w:sz="6" w:val="single"/>
        </w:tcBorders>
        <w:shd w:color="AUTO" w:fill="808080" w:val="clear"/>
      </w:tcPr>
    </w:tblStylePr>
    <w:tblStylePr w:type="nwCell">
      <w:tblPr/>
      <w:tcPr>
        <w:shd w:color="AUTO" w:fill="FFFFFF"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000000" w:val="clear"/>
      </w:tcPr>
    </w:tblStylePr>
    <w:tblStylePr w:type="firstCol">
      <w:tblPr/>
      <w:tcPr>
        <w:tcBorders>
          <w:top w:val="nil"/>
          <w:left w:val="nil"/>
          <w:bottom w:val="nil"/>
          <w:right w:color="FFFFFF" w:space="0" w:sz="18" w:val="single"/>
          <w:insideH w:val="nil"/>
          <w:insideV w:val="nil"/>
        </w:tcBorders>
        <w:shd w:color="AUTO" w:fill="000000" w:val="clear"/>
      </w:tcPr>
    </w:tblStylePr>
    <w:tblStylePr w:type="lastCol">
      <w:tblPr/>
      <w:tcPr>
        <w:tcBorders>
          <w:top w:val="nil"/>
          <w:left w:color="FFFFFF" w:space="0" w:sz="18" w:val="single"/>
          <w:bottom w:val="nil"/>
          <w:right w:val="nil"/>
          <w:insideH w:val="nil"/>
          <w:insideV w:val="nil"/>
        </w:tcBorders>
        <w:shd w:color="AUTO" w:fill="000000" w:val="clear"/>
      </w:tcPr>
    </w:tblStylePr>
    <w:tblStylePr w:type="band1Vert">
      <w:tblPr/>
      <w:tcPr>
        <w:tcBorders>
          <w:top w:val="nil"/>
          <w:left w:val="nil"/>
          <w:bottom w:val="nil"/>
          <w:right w:val="nil"/>
          <w:insideH w:val="nil"/>
          <w:insideV w:val="nil"/>
        </w:tcBorders>
        <w:shd w:color="AUTO" w:fill="000000" w:val="clear"/>
      </w:tcPr>
    </w:tblStylePr>
    <w:tblStylePr w:type="band1Horz">
      <w:tblPr/>
      <w:tcPr>
        <w:tcBorders>
          <w:top w:val="nil"/>
          <w:left w:val="nil"/>
          <w:bottom w:val="nil"/>
          <w:right w:val="nil"/>
          <w:insideH w:val="nil"/>
          <w:insideV w:val="nil"/>
        </w:tcBorders>
        <w:shd w:color="AUTO" w:fill="000000"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000000" w:val="clear"/>
      </w:tcPr>
    </w:tblStylePr>
    <w:tblStylePr w:type="firstCol">
      <w:rPr>
        <w:color w:val="FFFFFF"/>
      </w:rPr>
      <w:tblPr/>
      <w:tcPr>
        <w:tcBorders>
          <w:top w:val="nil"/>
          <w:left w:val="nil"/>
          <w:bottom w:val="nil"/>
          <w:right w:val="nil"/>
          <w:insideH w:color="000000" w:space="0" w:sz="4" w:val="single"/>
          <w:insideV w:val="nil"/>
        </w:tcBorders>
        <w:shd w:color="AUTO" w:fill="000000" w:val="clear"/>
      </w:tcPr>
    </w:tblStylePr>
    <w:tblStylePr w:type="lastCol">
      <w:rPr>
        <w:color w:val="FFFFFF"/>
      </w:rPr>
      <w:tblPr/>
      <w:tcPr>
        <w:tcBorders>
          <w:top w:val="nil"/>
          <w:left w:val="nil"/>
          <w:bottom w:val="nil"/>
          <w:right w:val="nil"/>
          <w:insideH w:val="nil"/>
          <w:insideV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val="clear"/>
      </w:tcPr>
    </w:tblStylePr>
    <w:tblStylePr w:type="band1Horz">
      <w:tblPr/>
      <w:tcPr>
        <w:shd w:color="AUTO" w:fill="CCCCCC"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val="clear"/>
    </w:tcPr>
    <w:tblStylePr w:type="firstRow">
      <w:rPr>
        <w:b/>
        <w:bCs/>
      </w:rPr>
      <w:tblPr/>
      <w:tcPr>
        <w:shd w:color="AUTO" w:fill="999999" w:val="clear"/>
      </w:tcPr>
    </w:tblStylePr>
    <w:tblStylePr w:type="lastRow">
      <w:rPr>
        <w:b/>
        <w:bCs/>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type="paragraph" w:customStyle="1" w:styleId="SourceCode">
    <w:name w:val="Source Code"/>
    <w:basedOn w:val="Normal"/>
    <w:link w:val="VerbatimChar"/>
    <w:pPr>
      <w:wordWrap w:val="off"/>
    </w:pPr>
    <w:rPr>
      <w:rFonts w:ascii="Liberation Mono" w:hAnsi="Liberation Mono"/>
      <w:sz w:val="18"/>
    </w:rPr>
  </w:style>
  <w:style w:type="character" w:customStyle="1" w:styleId="KeywordTok">
    <w:name w:val="KeywordTok"/>
    <w:basedOn w:val="VerbatimChar"/>
    <w:rPr>
      <w:b/>
      <w:color w:val="5B21B6"/>
    </w:rPr>
  </w:style>
  <w:style w:type="character" w:customStyle="1" w:styleId="DataTypeTok">
    <w:name w:val="DataTypeTok"/>
    <w:basedOn w:val="VerbatimChar"/>
    <w:rPr>
      <w:color w:val="5B21B6"/>
    </w:rPr>
  </w:style>
  <w:style w:type="character" w:customStyle="1" w:styleId="DecValTok">
    <w:name w:val="DecValTok"/>
    <w:basedOn w:val="VerbatimChar"/>
    <w:rPr>
      <w:color w:val="7C3AED"/>
    </w:rPr>
  </w:style>
  <w:style w:type="character" w:customStyle="1" w:styleId="BaseNTok">
    <w:name w:val="BaseNTok"/>
    <w:basedOn w:val="VerbatimChar"/>
    <w:rPr>
      <w:color w:val="7C3AED"/>
    </w:rPr>
  </w:style>
  <w:style w:type="character" w:customStyle="1" w:styleId="FloatTok">
    <w:name w:val="FloatTok"/>
    <w:basedOn w:val="VerbatimChar"/>
    <w:rPr>
      <w:color w:val="7C3AED"/>
    </w:rPr>
  </w:style>
  <w:style w:type="character" w:customStyle="1" w:styleId="ConstantTok">
    <w:name w:val="ConstantTok"/>
    <w:basedOn w:val="VerbatimChar"/>
    <w:rPr>
      <w:color w:val="5B21B6"/>
    </w:rPr>
  </w:style>
  <w:style w:type="character" w:customStyle="1" w:styleId="CharTok">
    <w:name w:val="CharTok"/>
    <w:basedOn w:val="VerbatimChar"/>
    <w:rPr>
      <w:color w:val="7C3AED"/>
    </w:rPr>
  </w:style>
  <w:style w:type="character" w:customStyle="1" w:styleId="SpecialCharTok">
    <w:name w:val="SpecialCharTok"/>
    <w:basedOn w:val="VerbatimChar"/>
    <w:rPr>
      <w:color w:val="7C3AED"/>
    </w:rPr>
  </w:style>
  <w:style w:type="character" w:customStyle="1" w:styleId="StringTok">
    <w:name w:val="StringTok"/>
    <w:basedOn w:val="VerbatimChar"/>
    <w:rPr>
      <w:color w:val="7C3AED"/>
    </w:rPr>
  </w:style>
  <w:style w:type="character" w:customStyle="1" w:styleId="VerbatimStringTok">
    <w:name w:val="VerbatimStringTok"/>
    <w:basedOn w:val="VerbatimChar"/>
    <w:rPr>
      <w:color w:val="7C3AED"/>
    </w:rPr>
  </w:style>
  <w:style w:type="character" w:customStyle="1" w:styleId="SpecialStringTok">
    <w:name w:val="SpecialStringTok"/>
    <w:basedOn w:val="VerbatimChar"/>
    <w:rPr>
      <w:color w:val="7C3AED"/>
    </w:rPr>
  </w:style>
  <w:style w:type="character" w:customStyle="1" w:styleId="ImportTok">
    <w:name w:val="ImportTok"/>
    <w:basedOn w:val="VerbatimChar"/>
    <w:rPr>
      <w:b/>
      <w:color w:val="5B21B6"/>
    </w:rPr>
  </w:style>
  <w:style w:type="character" w:customStyle="1" w:styleId="CommentTok">
    <w:name w:val="CommentTok"/>
    <w:basedOn w:val="VerbatimChar"/>
    <w:rPr>
      <w:i/>
      <w:color w:val="7C3AED"/>
    </w:rPr>
  </w:style>
  <w:style w:type="character" w:customStyle="1" w:styleId="DocumentationTok">
    <w:name w:val="DocumentationTok"/>
    <w:basedOn w:val="VerbatimChar"/>
    <w:rPr>
      <w:i/>
      <w:color w:val="5B21B6"/>
    </w:rPr>
  </w:style>
  <w:style w:type="character" w:customStyle="1" w:styleId="AnnotationTok">
    <w:name w:val="AnnotationTok"/>
    <w:basedOn w:val="VerbatimChar"/>
    <w:rPr>
      <w:b/>
      <w:i/>
      <w:color w:val="7C3AED"/>
    </w:rPr>
  </w:style>
  <w:style w:type="character" w:customStyle="1" w:styleId="CommentVarTok">
    <w:name w:val="CommentVarTok"/>
    <w:basedOn w:val="VerbatimChar"/>
    <w:rPr>
      <w:b/>
      <w:i/>
      <w:color w:val="7C3AED"/>
    </w:rPr>
  </w:style>
  <w:style w:type="character" w:customStyle="1" w:styleId="OtherTok">
    <w:name w:val="OtherTok"/>
    <w:basedOn w:val="VerbatimChar"/>
    <w:rPr>
      <w:color w:val="5B21B6"/>
    </w:rPr>
  </w:style>
  <w:style w:type="character" w:customStyle="1" w:styleId="FunctionTok">
    <w:name w:val="FunctionTok"/>
    <w:basedOn w:val="VerbatimChar"/>
    <w:rPr>
      <w:color w:val="5B21B6"/>
    </w:rPr>
  </w:style>
  <w:style w:type="character" w:customStyle="1" w:styleId="VariableTok">
    <w:name w:val="VariableTok"/>
    <w:basedOn w:val="VerbatimChar"/>
    <w:rPr>
      <w:color w:val="5B21B6"/>
    </w:rPr>
  </w:style>
  <w:style w:type="character" w:customStyle="1" w:styleId="ControlFlowTok">
    <w:name w:val="ControlFlowTok"/>
    <w:basedOn w:val="VerbatimChar"/>
    <w:rPr>
      <w:b/>
      <w:color w:val="5B21B6"/>
    </w:rPr>
  </w:style>
  <w:style w:type="character" w:customStyle="1" w:styleId="OperatorTok">
    <w:name w:val="OperatorTok"/>
    <w:basedOn w:val="VerbatimChar"/>
    <w:rPr>
      <w:color w:val="666666"/>
    </w:rPr>
  </w:style>
  <w:style w:type="character" w:customStyle="1" w:styleId="BuiltInTok">
    <w:name w:val="BuiltInTok"/>
    <w:basedOn w:val="VerbatimChar"/>
    <w:rPr>
      <w:color w:val="5B21B6"/>
    </w:rPr>
  </w:style>
  <w:style w:type="character" w:customStyle="1" w:styleId="ExtensionTok">
    <w:name w:val="ExtensionTok"/>
    <w:basedOn w:val="VerbatimChar"/>
    <w:rPr/>
  </w:style>
  <w:style w:type="character" w:customStyle="1" w:styleId="PreprocessorTok">
    <w:name w:val="PreprocessorTok"/>
    <w:basedOn w:val="VerbatimChar"/>
    <w:rPr>
      <w:color w:val="7C3AED"/>
    </w:rPr>
  </w:style>
  <w:style w:type="character" w:customStyle="1" w:styleId="AttributeTok">
    <w:name w:val="AttributeTok"/>
    <w:basedOn w:val="VerbatimChar"/>
    <w:rPr>
      <w:color w:val="7C3AED"/>
    </w:rPr>
  </w:style>
  <w:style w:type="character" w:customStyle="1" w:styleId="RegionMarkerTok">
    <w:name w:val="RegionMarkerTok"/>
    <w:basedOn w:val="VerbatimChar"/>
    <w:rPr/>
  </w:style>
  <w:style w:type="character" w:customStyle="1" w:styleId="InformationTok">
    <w:name w:val="InformationTok"/>
    <w:basedOn w:val="VerbatimChar"/>
    <w:rPr>
      <w:b/>
      <w:i/>
      <w:color w:val="7C3AED"/>
    </w:rPr>
  </w:style>
  <w:style w:type="character" w:customStyle="1" w:styleId="WarningTok">
    <w:name w:val="WarningTok"/>
    <w:basedOn w:val="VerbatimChar"/>
    <w:rPr>
      <w:b/>
      <w:i/>
      <w:color w:val="7C3AED"/>
    </w:rPr>
  </w:style>
  <w:style w:type="character" w:customStyle="1" w:styleId="AlertTok">
    <w:name w:val="AlertTok"/>
    <w:basedOn w:val="VerbatimChar"/>
    <w:rPr>
      <w:b/>
      <w:color w:val="5B21B6"/>
    </w:rPr>
  </w:style>
  <w:style w:type="character" w:customStyle="1" w:styleId="ErrorTok">
    <w:name w:val="ErrorTok"/>
    <w:basedOn w:val="VerbatimChar"/>
    <w:rPr>
      <w:b/>
      <w:color w:val="5B21B6"/>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9" Type="http://schemas.openxmlformats.org/officeDocument/2006/relationships/hyperlink" Target="https://docs.glows.ai/" TargetMode="External"/><Relationship Id="rId28" Type="http://schemas.openxmlformats.org/officeDocument/2006/relationships/hyperlink" Target="https://glows.ai/" TargetMode="External"/><Relationship Id="rId53" Type="http://schemas.openxmlformats.org/officeDocument/2006/relationships/hyperlink" Target="https://glows.ai/product/inference-on-cloud" TargetMode="External"/><Relationship Id="rId30" Type="http://schemas.openxmlformats.org/officeDocument/2006/relationships/hyperlink" Target="https://glows.ai/product/on-demand-cloud" TargetMode="External"/></Relationships>
</file>

<file path=word/_rels/footnotes.xml.rels><?xml version='1.0' encoding='UTF-8' standalone='yes'?>
<Relationships xmlns="http://schemas.openxmlformats.org/package/2006/relationships"><Relationship Id="rId29" Type="http://schemas.openxmlformats.org/officeDocument/2006/relationships/hyperlink" Target="https://docs.glows.ai/" TargetMode="External"/><Relationship Id="rId28" Type="http://schemas.openxmlformats.org/officeDocument/2006/relationships/hyperlink" Target="https://glows.ai/" TargetMode="External"/><Relationship Id="rId53" Type="http://schemas.openxmlformats.org/officeDocument/2006/relationships/hyperlink" Target="https://glows.ai/product/inference-on-cloud" TargetMode="External"/><Relationship Id="rId30" Type="http://schemas.openxmlformats.org/officeDocument/2006/relationships/hyperlink" Target="https://glows.ai/product/on-demand-cloud" TargetMode="Externa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2026-10-28T12:55:48Z</dcterms:created>
  <dcterms:modified xsi:type="dcterms:W3CDTF">2026-10-28T12:55:48Z</dcterms:modified>
</cp:coreProperties>
</file>

<file path=docProps/custom.xml><?xml version="1.0" encoding="utf-8"?>
<Properties xmlns="http://schemas.openxmlformats.org/officeDocument/2006/custom-properties" xmlns:vt="http://schemas.openxmlformats.org/officeDocument/2006/docPropsVTypes"/>
</file>