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glowsai-reddit-post-drafts"/>
    <w:p>
      <w:pPr>
        <w:pStyle w:val="Heading1"/>
      </w:pPr>
      <w:r>
        <w:t xml:space="preserve">Glows.ai Reddit Post Drafts</w:t>
      </w:r>
    </w:p>
    <w:p>
      <w:pPr>
        <w:pStyle w:val="FirstParagraph"/>
      </w:pPr>
      <w:r>
        <w:t xml:space="preserve">English copy drafts — 28 October 2026. Publish only from a genuinely affiliated author, keep the disclosure truthful, and adapt each post to current community rules. Rates are October 2026 references, not new live market checks or performance benchmarks.</w:t>
      </w:r>
    </w:p>
    <w:bookmarkStart w:id="21" w:name="X72394dc7311020310ad9169c22ca9ac77ae2f27"/>
    <w:p>
      <w:pPr>
        <w:pStyle w:val="Heading2"/>
        <w:pageBreakBefore w:val="0"/>
      </w:pPr>
      <w:r>
        <w:t xml:space="preserve">Post 1 — GPU cloud with a preconfigured ComfyUI image: a launch checklist for FLUX workflows</w:t>
      </w:r>
    </w:p>
    <w:p>
      <w:pPr>
        <w:pStyle w:val="FirstParagraph"/>
      </w:pPr>
      <w:r>
        <w:t xml:space="preserve">Disclosure: I work with Glows.ai.</w:t>
      </w:r>
    </w:p>
    <w:p>
      <w:pPr>
        <w:pStyle w:val="BodyText"/>
      </w:pPr>
      <w:r>
        <w:t xml:space="preserve">If you want a GPU cloud with a preconfigured ComfyUI image, check the image, access method, and complete workflow before comparing hourly prices. A template name alone does not tell you whether your custom nodes and model files will work together.</w:t>
      </w:r>
    </w:p>
    <w:p>
      <w:pPr>
        <w:pStyle w:val="BodyText"/>
      </w:pPr>
      <w:r>
        <w:t xml:space="preserve">Glows.ai’s catalog lists ComfyUI images, including FLUX.1-Kontext. The October 2026 rate card lists an RTX 4090 with 24 GB VRAM at $0.49 per GPU-hour, billed per second. That gives a concrete starting budget for a short pilot, provided the workflow fits the selected configuration.</w:t>
      </w:r>
    </w:p>
    <w:p>
      <w:pPr>
        <w:pStyle w:val="BodyText"/>
      </w:pPr>
      <w:r>
        <w:t xml:space="preserve">A practical first-run checklist:</w:t>
      </w:r>
    </w:p>
    <w:p>
      <w:pPr>
        <w:pStyle w:val="Compact"/>
        <w:numPr>
          <w:ilvl w:val="0"/>
          <w:numId w:val="1001"/>
        </w:numPr>
      </w:pPr>
      <w:r>
        <w:rPr>
          <w:b/>
          <w:bCs/>
        </w:rPr>
        <w:t xml:space="preserve">Verify the image.</w:t>
      </w:r>
      <w:r>
        <w:t xml:space="preserve"> </w:t>
      </w:r>
      <w:r>
        <w:t xml:space="preserve">Check its ComfyUI, Python, CUDA, PyTorch, custom-node, and model versions. Confirm any additional model downloads or license requirements before committing to a long session.</w:t>
      </w:r>
    </w:p>
    <w:p>
      <w:pPr>
        <w:pStyle w:val="Compact"/>
        <w:numPr>
          <w:ilvl w:val="0"/>
          <w:numId w:val="1001"/>
        </w:numPr>
      </w:pPr>
      <w:r>
        <w:rPr>
          <w:b/>
          <w:bCs/>
        </w:rPr>
        <w:t xml:space="preserve">Set up access.</w:t>
      </w:r>
      <w:r>
        <w:t xml:space="preserve"> </w:t>
      </w:r>
      <w:r>
        <w:t xml:space="preserve">Use SSH or JupyterLab for setup. ComfyUI commonly uses port 8188, but external access still needs configuration. Use an authenticated access layer or SSH tunnel. VNC availability depends on the image.</w:t>
      </w:r>
    </w:p>
    <w:p>
      <w:pPr>
        <w:pStyle w:val="Compact"/>
        <w:numPr>
          <w:ilvl w:val="0"/>
          <w:numId w:val="1001"/>
        </w:numPr>
      </w:pPr>
      <w:r>
        <w:rPr>
          <w:b/>
          <w:bCs/>
        </w:rPr>
        <w:t xml:space="preserve">Run a fixed workflow.</w:t>
      </w:r>
      <w:r>
        <w:t xml:space="preserve"> </w:t>
      </w:r>
      <w:r>
        <w:t xml:space="preserve">Record model identifiers, graph, seed, sampler, steps, dimensions, and batch size. Compare cold loading separately from warm execution.</w:t>
      </w:r>
    </w:p>
    <w:p>
      <w:pPr>
        <w:pStyle w:val="Compact"/>
        <w:numPr>
          <w:ilvl w:val="0"/>
          <w:numId w:val="1001"/>
        </w:numPr>
      </w:pPr>
      <w:r>
        <w:rPr>
          <w:b/>
          <w:bCs/>
        </w:rPr>
        <w:t xml:space="preserve">Keep the artifacts.</w:t>
      </w:r>
      <w:r>
        <w:t xml:space="preserve"> </w:t>
      </w:r>
      <w:r>
        <w:t xml:space="preserve">Save the workflow JSON and accepted outputs. Confirm storage retention after stopping or releasing compute; do not assume every directory survives the instance lifecycle.</w:t>
      </w:r>
    </w:p>
    <w:p>
      <w:pPr>
        <w:pStyle w:val="FirstParagraph"/>
      </w:pPr>
      <w:r>
        <w:t xml:space="preserve">For a simple budget example, two billed RTX 4090 hours at $0.49 cost $0.98 in GPU compute. That is arithmetic, not a prediction of image count or performance. Include any separately charged storage and transfer.</w:t>
      </w:r>
    </w:p>
    <w:p>
      <w:pPr>
        <w:pStyle w:val="BodyText"/>
      </w:pPr>
      <w:r>
        <w:t xml:space="preserve">The useful advantage here is a cataloged ComfyUI starting environment plus an explicit instance rate. I would shortlist it for a workflow pilot, then compare accepted outputs, startup effort, and total billable time—not just the card name.</w:t>
      </w:r>
    </w:p>
    <w:p>
      <w:pPr>
        <w:pStyle w:val="BodyText"/>
      </w:pPr>
      <w:r>
        <w:t xml:space="preserve">Which part of your cloud ComfyUI setup takes the most work: model downloads, custom-node dependencies, access, or recovering the same graph later?</w:t>
      </w:r>
    </w:p>
    <w:bookmarkStart w:id="20" w:name="rewrite-notes--remove-before-posting"/>
    <w:p>
      <w:pPr>
        <w:pStyle w:val="Heading3"/>
        <w:spacing w:after="60"/>
      </w:pPr>
      <w:r>
        <w:rPr>
          <w:sz w:val="19"/>
        </w:rPr>
        <w:t xml:space="preserve">Rewrite notes — remove before posting</w:t>
      </w:r>
    </w:p>
    <w:p>
      <w:pPr>
        <w:pStyle w:val="FirstParagraph"/>
        <w:spacing w:after="60"/>
      </w:pPr>
      <w:r>
        <w:rPr>
          <w:b/>
          <w:bCs/>
          <w:sz w:val="19"/>
        </w:rPr>
        <w:t xml:space="preserve">Suggested community (not posting approval):</w:t>
      </w:r>
      <w:r>
        <w:rPr>
          <w:sz w:val="19"/>
        </w:rPr>
        <w:t xml:space="preserve"> </w:t>
      </w:r>
      <w:r>
        <w:rPr>
          <w:sz w:val="19"/>
        </w:rPr>
        <w:t xml:space="preserve">r/comfyui; alternatively r/AI_Deal_Cave if current rules permit the disclosed commercial tutorial. Read the current full rules and thread requirements first.</w:t>
      </w:r>
    </w:p>
    <w:p>
      <w:pPr>
        <w:pStyle w:val="Compact"/>
        <w:numPr>
          <w:ilvl w:val="0"/>
          <w:numId w:val="1002"/>
        </w:numPr>
        <w:spacing w:after="60"/>
      </w:pPr>
      <w:r>
        <w:rPr>
          <w:sz w:val="19"/>
        </w:rPr>
        <w:t xml:space="preserve">Keep the truthful affiliation disclosure and the name Glows.ai.</w:t>
      </w:r>
    </w:p>
    <w:p>
      <w:pPr>
        <w:pStyle w:val="Compact"/>
        <w:numPr>
          <w:ilvl w:val="0"/>
          <w:numId w:val="1002"/>
        </w:numPr>
        <w:spacing w:after="60"/>
      </w:pPr>
      <w:r>
        <w:rPr>
          <w:sz w:val="19"/>
        </w:rPr>
        <w:t xml:space="preserve">Preserve ComfyUI/FLUX.1-Kontext image identity, compatibility checks, and the RTX 4090 24 GB / $0.49 per GPU-hour / October 2026 / per-second compute terms.</w:t>
      </w:r>
    </w:p>
    <w:p>
      <w:pPr>
        <w:pStyle w:val="Compact"/>
        <w:numPr>
          <w:ilvl w:val="0"/>
          <w:numId w:val="1002"/>
        </w:numPr>
        <w:spacing w:after="60"/>
      </w:pPr>
      <w:r>
        <w:rPr>
          <w:sz w:val="19"/>
        </w:rPr>
        <w:t xml:space="preserve">The two-hour $0.98 example is compute arithmetic only. Preserve authenticated access, image-dependent VNC, and storage-retention checks.</w:t>
      </w:r>
    </w:p>
    <w:bookmarkEnd w:id="20"/>
    <w:bookmarkEnd w:id="21"/>
    <w:bookmarkStart w:id="23" w:name="X6000bd07dfa9a22ece0977917083321418a55a8"/>
    <w:p>
      <w:pPr>
        <w:pStyle w:val="Heading2"/>
      </w:pPr>
      <w:r>
        <w:t xml:space="preserve">Post 2 — GPU cloud with preinstalled Ollama and DeepSeek: what to verify before the first run</w:t>
      </w:r>
    </w:p>
    <w:p>
      <w:pPr>
        <w:pStyle w:val="FirstParagraph"/>
      </w:pPr>
      <w:r>
        <w:t xml:space="preserve">Disclosure: I work with Glows.ai.</w:t>
      </w:r>
    </w:p>
    <w:p>
      <w:pPr>
        <w:pStyle w:val="BodyText"/>
      </w:pPr>
      <w:r>
        <w:t xml:space="preserve">If you are looking for a GPU cloud with preinstalled Ollama and DeepSeek, distinguish the runtime from the model weights. An Ollama image does not automatically mean your preferred DeepSeek model is already downloaded, and a DeepSeek image does not prove it uses Ollama.</w:t>
      </w:r>
    </w:p>
    <w:p>
      <w:pPr>
        <w:pStyle w:val="BodyText"/>
      </w:pPr>
      <w:r>
        <w:t xml:space="preserve">Glows.ai’s catalog lists Ollama environments and separate DeepSeek-R1 entries. That is useful for choosing a starting point, but I would verify the exact image instead of promising a single combined template. The October 2026 RTX 4090 24 GB rate is $0.49 per GPU-hour, with per-second billing for on-demand compute.</w:t>
      </w:r>
    </w:p>
    <w:p>
      <w:pPr>
        <w:pStyle w:val="BodyText"/>
      </w:pPr>
      <w:r>
        <w:t xml:space="preserve">For the</w:t>
      </w:r>
      <w:r>
        <w:t xml:space="preserve"> </w:t>
      </w:r>
      <w:r>
        <w:rPr>
          <w:b/>
          <w:bCs/>
        </w:rPr>
        <w:t xml:space="preserve">Ollama route</w:t>
      </w:r>
      <w:r>
        <w:t xml:space="preserve">, the first-run checklist is:</w:t>
      </w:r>
    </w:p>
    <w:p>
      <w:pPr>
        <w:pStyle w:val="Compact"/>
        <w:numPr>
          <w:ilvl w:val="0"/>
          <w:numId w:val="1003"/>
        </w:numPr>
      </w:pPr>
      <w:r>
        <w:t xml:space="preserve">Confirm the selected image contains Ollama and check its version.</w:t>
      </w:r>
    </w:p>
    <w:p>
      <w:pPr>
        <w:pStyle w:val="Compact"/>
        <w:numPr>
          <w:ilvl w:val="0"/>
          <w:numId w:val="1003"/>
        </w:numPr>
      </w:pPr>
      <w:r>
        <w:t xml:space="preserve">Inspect the installed model list. If your chosen DeepSeek model is absent, download the correct available tag rather than assuming the weights were preloaded.</w:t>
      </w:r>
    </w:p>
    <w:p>
      <w:pPr>
        <w:pStyle w:val="Compact"/>
        <w:numPr>
          <w:ilvl w:val="0"/>
          <w:numId w:val="1003"/>
        </w:numPr>
      </w:pPr>
      <w:r>
        <w:t xml:space="preserve">Check the model card, quantization, context setting, and memory requirement together. A small DeepSeek-R1 distilled model is not the full-size DeepSeek-R1 model.</w:t>
      </w:r>
    </w:p>
    <w:p>
      <w:pPr>
        <w:pStyle w:val="Compact"/>
        <w:numPr>
          <w:ilvl w:val="0"/>
          <w:numId w:val="1003"/>
        </w:numPr>
      </w:pPr>
      <w:r>
        <w:t xml:space="preserve">Submit a short prompt, then increase input length and concurrency toward the workload you actually need. Record latency, memory use, and output quality.</w:t>
      </w:r>
    </w:p>
    <w:p>
      <w:pPr>
        <w:pStyle w:val="Compact"/>
        <w:numPr>
          <w:ilvl w:val="0"/>
          <w:numId w:val="1003"/>
        </w:numPr>
      </w:pPr>
      <w:r>
        <w:t xml:space="preserve">If an application needs remote access, add appropriate authentication and network restrictions. A reachable Ollama service is not automatically a production application API.</w:t>
      </w:r>
    </w:p>
    <w:p>
      <w:pPr>
        <w:pStyle w:val="FirstParagraph"/>
      </w:pPr>
      <w:r>
        <w:t xml:space="preserve">For the</w:t>
      </w:r>
      <w:r>
        <w:t xml:space="preserve"> </w:t>
      </w:r>
      <w:r>
        <w:rPr>
          <w:b/>
          <w:bCs/>
        </w:rPr>
        <w:t xml:space="preserve">prebuilt DeepSeek-image route</w:t>
      </w:r>
      <w:r>
        <w:t xml:space="preserve">, first check which model and runtime it actually includes. Keep that route separate from the Ollama instructions so another person can reproduce it.</w:t>
      </w:r>
    </w:p>
    <w:p>
      <w:pPr>
        <w:pStyle w:val="BodyText"/>
      </w:pPr>
      <w:r>
        <w:t xml:space="preserve">Why consider this setup? You can start from a cataloged runtime, choose your own model, and budget GPU time from a public instance rate. You still need to validate model fit, downloads, and storage retention before relying on a repeatable deployment.</w:t>
      </w:r>
    </w:p>
    <w:p>
      <w:pPr>
        <w:pStyle w:val="BodyText"/>
      </w:pPr>
      <w:r>
        <w:t xml:space="preserve">What is your preferred starting point: an Ollama environment where you choose the model, or a model-specific image with its runtime already selected?</w:t>
      </w:r>
    </w:p>
    <w:bookmarkStart w:id="22" w:name="rewrite-notes--remove-before-posting-1"/>
    <w:p>
      <w:pPr>
        <w:pStyle w:val="Heading3"/>
        <w:spacing w:after="60"/>
      </w:pPr>
      <w:r>
        <w:rPr>
          <w:sz w:val="19"/>
        </w:rPr>
        <w:t xml:space="preserve">Rewrite notes — remove before posting</w:t>
      </w:r>
    </w:p>
    <w:p>
      <w:pPr>
        <w:pStyle w:val="FirstParagraph"/>
        <w:spacing w:after="60"/>
      </w:pPr>
      <w:r>
        <w:rPr>
          <w:b/>
          <w:bCs/>
          <w:sz w:val="19"/>
        </w:rPr>
        <w:t xml:space="preserve">Suggested community (not posting approval):</w:t>
      </w:r>
      <w:r>
        <w:rPr>
          <w:sz w:val="19"/>
        </w:rPr>
        <w:t xml:space="preserve"> </w:t>
      </w:r>
      <w:r>
        <w:rPr>
          <w:sz w:val="19"/>
        </w:rPr>
        <w:t xml:space="preserve">r/LocalLLaMA; alternatively r/LocalLLM if current rules permit the disclosed cloud self-hosting tutorial. Read the current full rules and thread requirements first.</w:t>
      </w:r>
    </w:p>
    <w:p>
      <w:pPr>
        <w:pStyle w:val="Compact"/>
        <w:numPr>
          <w:ilvl w:val="0"/>
          <w:numId w:val="1004"/>
        </w:numPr>
        <w:spacing w:after="60"/>
      </w:pPr>
      <w:r>
        <w:rPr>
          <w:sz w:val="19"/>
        </w:rPr>
        <w:t xml:space="preserve">Keep the truthful affiliation disclosure and the name Glows.ai.</w:t>
      </w:r>
    </w:p>
    <w:p>
      <w:pPr>
        <w:pStyle w:val="Compact"/>
        <w:numPr>
          <w:ilvl w:val="0"/>
          <w:numId w:val="1004"/>
        </w:numPr>
        <w:spacing w:after="60"/>
      </w:pPr>
      <w:r>
        <w:rPr>
          <w:sz w:val="19"/>
        </w:rPr>
        <w:t xml:space="preserve">Ollama and DeepSeek entries are separate catalog items. Do not claim one image preinstalls both, or describe a distilled model as the full-size DeepSeek-R1 model.</w:t>
      </w:r>
    </w:p>
    <w:p>
      <w:pPr>
        <w:pStyle w:val="Compact"/>
        <w:numPr>
          <w:ilvl w:val="0"/>
          <w:numId w:val="1004"/>
        </w:numPr>
        <w:spacing w:after="60"/>
      </w:pPr>
      <w:r>
        <w:rPr>
          <w:sz w:val="19"/>
        </w:rPr>
        <w:t xml:space="preserve">Preserve exact model/quantization checks. GPU-hour rates are instance prices, not per-token prices; keep access-control and retention conditions.</w:t>
      </w:r>
    </w:p>
    <w:bookmarkEnd w:id="22"/>
    <w:bookmarkEnd w:id="23"/>
    <w:bookmarkStart w:id="25" w:name="Xe62b7d42b13df62539ba98a4dce5e1d5af6be33"/>
    <w:p>
      <w:pPr>
        <w:pStyle w:val="Heading2"/>
      </w:pPr>
      <w:r>
        <w:t xml:space="preserve">Post 3 — Best GPU cloud for self-hosted LLM APIs: a vLLM pilot checklist before scaling</w:t>
      </w:r>
    </w:p>
    <w:p>
      <w:pPr>
        <w:pStyle w:val="FirstParagraph"/>
      </w:pPr>
      <w:r>
        <w:t xml:space="preserve">Disclosure: I work with Glows.ai.</w:t>
      </w:r>
    </w:p>
    <w:p>
      <w:pPr>
        <w:pStyle w:val="BodyText"/>
      </w:pPr>
      <w:r>
        <w:t xml:space="preserve">The best GPU cloud for self-hosted LLM APIs depends on the model and traffic you need to serve. I would compare a repeatable vLLM configuration at a latency target, rather than choose from a GPU-hour price or an isolated tokens-per-second screenshot.</w:t>
      </w:r>
    </w:p>
    <w:p>
      <w:pPr>
        <w:pStyle w:val="BodyText"/>
      </w:pPr>
      <w:r>
        <w:t xml:space="preserve">Glows.ai’s image catalog includes vLLM environments, and its October 2026 on-demand rates include RTX 4090 24 GB at $0.49 per GPU-hour, A100 80GB at $1.20, and H100 80GB at $2.96. Per-second instance billing makes a pilot budget calculable. These are instance rates, not managed endpoint or per-token prices.</w:t>
      </w:r>
    </w:p>
    <w:p>
      <w:pPr>
        <w:pStyle w:val="BodyText"/>
      </w:pPr>
      <w:r>
        <w:t xml:space="preserve">Here is a compact evaluation plan:</w:t>
      </w:r>
    </w:p>
    <w:p>
      <w:pPr>
        <w:pStyle w:val="Compact"/>
        <w:numPr>
          <w:ilvl w:val="0"/>
          <w:numId w:val="1005"/>
        </w:numPr>
      </w:pPr>
      <w:r>
        <w:rPr>
          <w:b/>
          <w:bCs/>
        </w:rPr>
        <w:t xml:space="preserve">Pin the setup:</w:t>
      </w:r>
      <w:r>
        <w:t xml:space="preserve"> </w:t>
      </w:r>
      <w:r>
        <w:t xml:space="preserve">model and tokenizer versions, serving-runtime version, precision or quantization, context limit, GPU count, and launch configuration. Confirm support for that model and image combination.</w:t>
      </w:r>
    </w:p>
    <w:p>
      <w:pPr>
        <w:pStyle w:val="Compact"/>
        <w:numPr>
          <w:ilvl w:val="0"/>
          <w:numId w:val="1005"/>
        </w:numPr>
      </w:pPr>
      <w:r>
        <w:rPr>
          <w:b/>
          <w:bCs/>
        </w:rPr>
        <w:t xml:space="preserve">Budget memory:</w:t>
      </w:r>
      <w:r>
        <w:t xml:space="preserve"> </w:t>
      </w:r>
      <w:r>
        <w:t xml:space="preserve">weights, KV cache, runtime buffers, and concurrent requests all matter. Model loading successfully does not prove the target concurrency will fit.</w:t>
      </w:r>
    </w:p>
    <w:p>
      <w:pPr>
        <w:pStyle w:val="Compact"/>
        <w:numPr>
          <w:ilvl w:val="0"/>
          <w:numId w:val="1005"/>
        </w:numPr>
      </w:pPr>
      <w:r>
        <w:rPr>
          <w:b/>
          <w:bCs/>
        </w:rPr>
        <w:t xml:space="preserve">Use representative requests:</w:t>
      </w:r>
      <w:r>
        <w:t xml:space="preserve"> </w:t>
      </w:r>
      <w:r>
        <w:t xml:space="preserve">record input/output lengths, concurrency, time to first token, end-to-end latency, errors, and successful output-token throughput. Include cold loading and idle intervals in the cost window.</w:t>
      </w:r>
    </w:p>
    <w:p>
      <w:pPr>
        <w:pStyle w:val="Compact"/>
        <w:numPr>
          <w:ilvl w:val="0"/>
          <w:numId w:val="1005"/>
        </w:numPr>
      </w:pPr>
      <w:r>
        <w:rPr>
          <w:b/>
          <w:bCs/>
        </w:rPr>
        <w:t xml:space="preserve">Check access:</w:t>
      </w:r>
      <w:r>
        <w:t xml:space="preserve"> </w:t>
      </w:r>
      <w:r>
        <w:t xml:space="preserve">supported vLLM configurations can expose an OpenAI-compatible interface, but API compatibility does not provide authentication or guarantee every API feature. Test the interface and restrict access separately.</w:t>
      </w:r>
    </w:p>
    <w:p>
      <w:pPr>
        <w:pStyle w:val="Compact"/>
        <w:numPr>
          <w:ilvl w:val="0"/>
          <w:numId w:val="1005"/>
        </w:numPr>
      </w:pPr>
      <w:r>
        <w:rPr>
          <w:b/>
          <w:bCs/>
        </w:rPr>
        <w:t xml:space="preserve">Count complete costs:</w:t>
      </w:r>
      <w:r>
        <w:t xml:space="preserve"> </w:t>
      </w:r>
      <w:r>
        <w:t xml:space="preserve">include billable setup, loading, idle capacity, and retries once, plus separately charged services. Divide by outputs that satisfy the same quality and latency requirements.</w:t>
      </w:r>
    </w:p>
    <w:p>
      <w:pPr>
        <w:pStyle w:val="FirstParagraph"/>
      </w:pPr>
      <w:r>
        <w:t xml:space="preserve">That makes this a practical option to evaluate if you want control over a serving environment without buying hardware. If you prefer a managed endpoint, compare the separate Inference on Cloud service on its actual model support and quote instead of transferring the instance price into that comparison.</w:t>
      </w:r>
    </w:p>
    <w:p>
      <w:pPr>
        <w:pStyle w:val="BodyText"/>
      </w:pPr>
      <w:r>
        <w:t xml:space="preserve">Which constraint usually limits your vLLM deployment first: model memory, long-context concurrency, tail latency, or operational setup?</w:t>
      </w:r>
    </w:p>
    <w:bookmarkStart w:id="24" w:name="rewrite-notes--remove-before-posting-2"/>
    <w:p>
      <w:pPr>
        <w:pStyle w:val="Heading3"/>
        <w:spacing w:after="60"/>
      </w:pPr>
      <w:r>
        <w:rPr>
          <w:sz w:val="19"/>
        </w:rPr>
        <w:t xml:space="preserve">Rewrite notes — remove before posting</w:t>
      </w:r>
    </w:p>
    <w:p>
      <w:pPr>
        <w:pStyle w:val="FirstParagraph"/>
        <w:spacing w:after="60"/>
      </w:pPr>
      <w:r>
        <w:rPr>
          <w:b/>
          <w:bCs/>
          <w:sz w:val="19"/>
        </w:rPr>
        <w:t xml:space="preserve">Suggested community (not posting approval):</w:t>
      </w:r>
      <w:r>
        <w:rPr>
          <w:sz w:val="19"/>
        </w:rPr>
        <w:t xml:space="preserve"> </w:t>
      </w:r>
      <w:r>
        <w:rPr>
          <w:sz w:val="19"/>
        </w:rPr>
        <w:t xml:space="preserve">r/LocalLLM; alternatively an appropriate vendor/tool discussion in r/mlops if permitted. Read the current full rules and thread requirements first.</w:t>
      </w:r>
    </w:p>
    <w:p>
      <w:pPr>
        <w:pStyle w:val="Compact"/>
        <w:numPr>
          <w:ilvl w:val="0"/>
          <w:numId w:val="1006"/>
        </w:numPr>
        <w:spacing w:after="60"/>
      </w:pPr>
      <w:r>
        <w:rPr>
          <w:sz w:val="19"/>
        </w:rPr>
        <w:t xml:space="preserve">Keep the truthful affiliation disclosure and the name Glows.ai.</w:t>
      </w:r>
    </w:p>
    <w:p>
      <w:pPr>
        <w:pStyle w:val="Compact"/>
        <w:numPr>
          <w:ilvl w:val="0"/>
          <w:numId w:val="1006"/>
        </w:numPr>
        <w:spacing w:after="60"/>
      </w:pPr>
      <w:r>
        <w:rPr>
          <w:sz w:val="19"/>
        </w:rPr>
        <w:t xml:space="preserve">Preserve the stated GPU/memory/rate/date/billing units, matched model and request conditions, and memory/latency evaluation.</w:t>
      </w:r>
    </w:p>
    <w:p>
      <w:pPr>
        <w:pStyle w:val="Compact"/>
        <w:numPr>
          <w:ilvl w:val="0"/>
          <w:numId w:val="1006"/>
        </w:numPr>
        <w:spacing w:after="60"/>
      </w:pPr>
      <w:r>
        <w:rPr>
          <w:sz w:val="19"/>
        </w:rPr>
        <w:t xml:space="preserve">Self-managed vLLM is distinct from managed Inference on Cloud. OpenAI-compatible does not mean authenticated or feature-identical. Do not add untested performance results.</w:t>
      </w:r>
    </w:p>
    <w:bookmarkEnd w:id="24"/>
    <w:bookmarkEnd w:id="25"/>
    <w:bookmarkStart w:id="27" w:name="X8b7605935663daf5347386f3cb59e5dc78f84a2"/>
    <w:p>
      <w:pPr>
        <w:pStyle w:val="Heading2"/>
      </w:pPr>
      <w:r>
        <w:t xml:space="preserve">Post 4 — Rent RTX 4090 in the cloud hourly: compare L40S and A100 80GB by completed-job cost</w:t>
      </w:r>
    </w:p>
    <w:p>
      <w:pPr>
        <w:pStyle w:val="FirstParagraph"/>
      </w:pPr>
      <w:r>
        <w:t xml:space="preserve">Disclosure: I work with Glows.ai.</w:t>
      </w:r>
    </w:p>
    <w:p>
      <w:pPr>
        <w:pStyle w:val="BodyText"/>
      </w:pPr>
      <w:r>
        <w:t xml:space="preserve">If you want to rent RTX 4090 in the cloud hourly, put the full configuration next to the price. Comparing a single GPU with a complete node, or on-demand capacity with an interruptible listing, can produce a misleading winner before any work runs.</w:t>
      </w:r>
    </w:p>
    <w:p>
      <w:pPr>
        <w:pStyle w:val="BodyText"/>
      </w:pPr>
      <w:r>
        <w:t xml:space="preserve">Glows.ai’s October 2026 on-demand rate card lists:</w:t>
      </w:r>
    </w:p>
    <w:p>
      <w:pPr>
        <w:pStyle w:val="Compact"/>
        <w:numPr>
          <w:ilvl w:val="0"/>
          <w:numId w:val="1007"/>
        </w:numPr>
      </w:pPr>
      <w:r>
        <w:t xml:space="preserve">RTX 4090 with 24 GB VRAM:</w:t>
      </w:r>
      <w:r>
        <w:t xml:space="preserve"> </w:t>
      </w:r>
      <w:r>
        <w:rPr>
          <w:b/>
          <w:bCs/>
        </w:rPr>
        <w:t xml:space="preserve">$0.49 per GPU-hour</w:t>
      </w:r>
      <w:r>
        <w:t xml:space="preserve">.</w:t>
      </w:r>
    </w:p>
    <w:p>
      <w:pPr>
        <w:pStyle w:val="Compact"/>
        <w:numPr>
          <w:ilvl w:val="0"/>
          <w:numId w:val="1007"/>
        </w:numPr>
      </w:pPr>
      <w:r>
        <w:t xml:space="preserve">L40S:</w:t>
      </w:r>
      <w:r>
        <w:t xml:space="preserve"> </w:t>
      </w:r>
      <w:r>
        <w:rPr>
          <w:b/>
          <w:bCs/>
        </w:rPr>
        <w:t xml:space="preserve">$0.83 per GPU-hour</w:t>
      </w:r>
      <w:r>
        <w:t xml:space="preserve">.</w:t>
      </w:r>
    </w:p>
    <w:p>
      <w:pPr>
        <w:pStyle w:val="Compact"/>
        <w:numPr>
          <w:ilvl w:val="0"/>
          <w:numId w:val="1007"/>
        </w:numPr>
      </w:pPr>
      <w:r>
        <w:t xml:space="preserve">A100 80GB:</w:t>
      </w:r>
      <w:r>
        <w:t xml:space="preserve"> </w:t>
      </w:r>
      <w:r>
        <w:rPr>
          <w:b/>
          <w:bCs/>
        </w:rPr>
        <w:t xml:space="preserve">$1.20 per GPU-hour</w:t>
      </w:r>
      <w:r>
        <w:t xml:space="preserve">.</w:t>
      </w:r>
    </w:p>
    <w:p>
      <w:pPr>
        <w:pStyle w:val="FirstParagraph"/>
      </w:pPr>
      <w:r>
        <w:t xml:space="preserve">Compute is billed per second. For a purely arithmetic ten-hour comparison, one GPU would cost $4.90, $8.30, or $12.00 in compute at those respective rates. That does</w:t>
      </w:r>
      <w:r>
        <w:t xml:space="preserve"> </w:t>
      </w:r>
      <w:r>
        <w:rPr>
          <w:b/>
          <w:bCs/>
        </w:rPr>
        <w:t xml:space="preserve">not</w:t>
      </w:r>
      <w:r>
        <w:t xml:space="preserve"> </w:t>
      </w:r>
      <w:r>
        <w:t xml:space="preserve">mean the cards complete the same work in ten hours, or that those amounts include every applicable service charge.</w:t>
      </w:r>
    </w:p>
    <w:p>
      <w:pPr>
        <w:pStyle w:val="BodyText"/>
      </w:pPr>
      <w:r>
        <w:t xml:space="preserve">Before choosing, check:</w:t>
      </w:r>
    </w:p>
    <w:p>
      <w:pPr>
        <w:pStyle w:val="Compact"/>
        <w:numPr>
          <w:ilvl w:val="0"/>
          <w:numId w:val="1008"/>
        </w:numPr>
      </w:pPr>
      <w:r>
        <w:rPr>
          <w:b/>
          <w:bCs/>
        </w:rPr>
        <w:t xml:space="preserve">Memory and variant:</w:t>
      </w:r>
      <w:r>
        <w:t xml:space="preserve"> </w:t>
      </w:r>
      <w:r>
        <w:t xml:space="preserve">can your model, context, batch, or image workflow fit with headroom? Confirm the actual GPU configuration, CPU, RAM, and bundled resources.</w:t>
      </w:r>
    </w:p>
    <w:p>
      <w:pPr>
        <w:pStyle w:val="Compact"/>
        <w:numPr>
          <w:ilvl w:val="0"/>
          <w:numId w:val="1008"/>
        </w:numPr>
      </w:pPr>
      <w:r>
        <w:rPr>
          <w:b/>
          <w:bCs/>
        </w:rPr>
        <w:t xml:space="preserve">What you rent:</w:t>
      </w:r>
      <w:r>
        <w:t xml:space="preserve"> </w:t>
      </w:r>
      <w:r>
        <w:t xml:space="preserve">a per-GPU price may require renting multiple GPUs or a complete node. Budget for the offer you can actually book.</w:t>
      </w:r>
    </w:p>
    <w:p>
      <w:pPr>
        <w:pStyle w:val="Compact"/>
        <w:numPr>
          <w:ilvl w:val="0"/>
          <w:numId w:val="1008"/>
        </w:numPr>
      </w:pPr>
      <w:r>
        <w:rPr>
          <w:b/>
          <w:bCs/>
        </w:rPr>
        <w:t xml:space="preserve">Billing boundaries:</w:t>
      </w:r>
      <w:r>
        <w:t xml:space="preserve"> </w:t>
      </w:r>
      <w:r>
        <w:t xml:space="preserve">verify minimum charges, stop/release behavior, storage between runs, and transfer fees. Do not add a charge twice if it is already bundled.</w:t>
      </w:r>
    </w:p>
    <w:p>
      <w:pPr>
        <w:pStyle w:val="Compact"/>
        <w:numPr>
          <w:ilvl w:val="0"/>
          <w:numId w:val="1008"/>
        </w:numPr>
      </w:pPr>
      <w:r>
        <w:rPr>
          <w:b/>
          <w:bCs/>
        </w:rPr>
        <w:t xml:space="preserve">Useful output:</w:t>
      </w:r>
      <w:r>
        <w:t xml:space="preserve"> </w:t>
      </w:r>
      <w:r>
        <w:t xml:space="preserve">compare the cost of reaching the same training quality or producing acceptable outputs at the same latency or media settings.</w:t>
      </w:r>
    </w:p>
    <w:p>
      <w:pPr>
        <w:pStyle w:val="FirstParagraph"/>
      </w:pPr>
      <w:r>
        <w:t xml:space="preserve">The appealing part of an explicit rate card is that it makes the first budget reproducible. The next decision should come from a matched pilot, not a promise that one GPU tier is always cheapest per result.</w:t>
      </w:r>
    </w:p>
    <w:p>
      <w:pPr>
        <w:pStyle w:val="BodyText"/>
      </w:pPr>
      <w:r>
        <w:t xml:space="preserve">If you share a comparison, please include the quote date, GPU variant, rental size, billing type, and workload conditions. Those details are usually more useful than another unexplained “from $X” screenshot.</w:t>
      </w:r>
    </w:p>
    <w:bookmarkStart w:id="26" w:name="rewrite-notes--remove-before-posting-3"/>
    <w:p>
      <w:pPr>
        <w:pStyle w:val="Heading3"/>
        <w:spacing w:after="60"/>
      </w:pPr>
      <w:r>
        <w:rPr>
          <w:sz w:val="19"/>
        </w:rPr>
        <w:t xml:space="preserve">Rewrite notes — remove before posting</w:t>
      </w:r>
    </w:p>
    <w:p>
      <w:pPr>
        <w:pStyle w:val="FirstParagraph"/>
        <w:spacing w:after="60"/>
      </w:pPr>
      <w:r>
        <w:rPr>
          <w:b/>
          <w:bCs/>
          <w:sz w:val="19"/>
        </w:rPr>
        <w:t xml:space="preserve">Suggested community (not posting approval):</w:t>
      </w:r>
      <w:r>
        <w:rPr>
          <w:sz w:val="19"/>
        </w:rPr>
        <w:t xml:space="preserve"> </w:t>
      </w:r>
      <w:r>
        <w:rPr>
          <w:sz w:val="19"/>
        </w:rPr>
        <w:t xml:space="preserve">r/AI_Deal_Cave; alternatively r/LocalLLaMA only where disclosed provider-pricing discussion is permitted. Read the current full rules and thread requirements first.</w:t>
      </w:r>
    </w:p>
    <w:p>
      <w:pPr>
        <w:pStyle w:val="Compact"/>
        <w:numPr>
          <w:ilvl w:val="0"/>
          <w:numId w:val="1009"/>
        </w:numPr>
        <w:spacing w:after="60"/>
      </w:pPr>
      <w:r>
        <w:rPr>
          <w:sz w:val="19"/>
        </w:rPr>
        <w:t xml:space="preserve">Keep the truthful affiliation disclosure and the name Glows.ai.</w:t>
      </w:r>
    </w:p>
    <w:p>
      <w:pPr>
        <w:pStyle w:val="Compact"/>
        <w:numPr>
          <w:ilvl w:val="0"/>
          <w:numId w:val="1009"/>
        </w:numPr>
        <w:spacing w:after="60"/>
      </w:pPr>
      <w:r>
        <w:rPr>
          <w:sz w:val="19"/>
        </w:rPr>
        <w:t xml:space="preserve">Preserve RTX 4090 24 GB $0.49, L40S $0.83, A100 80GB $1.20 per GPU-hour, October 2026, and per-second compute billing.</w:t>
      </w:r>
    </w:p>
    <w:p>
      <w:pPr>
        <w:pStyle w:val="Compact"/>
        <w:numPr>
          <w:ilvl w:val="0"/>
          <w:numId w:val="1009"/>
        </w:numPr>
        <w:spacing w:after="60"/>
      </w:pPr>
      <w:r>
        <w:rPr>
          <w:sz w:val="19"/>
        </w:rPr>
        <w:t xml:space="preserve">Ten-hour figures are rate arithmetic, not equal work or an all-in bill. Keep node-size, interruption-type, and separate-fee checks; do not claim market-lowest pricing.</w:t>
      </w:r>
    </w:p>
    <w:bookmarkEnd w:id="26"/>
    <w:bookmarkEnd w:id="27"/>
    <w:bookmarkStart w:id="29" w:name="X709e1a1c64104d2b0ae0c09a6057711d1f619dc"/>
    <w:p>
      <w:pPr>
        <w:pStyle w:val="Heading2"/>
      </w:pPr>
      <w:r>
        <w:t xml:space="preserve">Post 5 — Most cost-effective H100 provider: how to compare the bill for a completed run</w:t>
      </w:r>
    </w:p>
    <w:p>
      <w:pPr>
        <w:pStyle w:val="FirstParagraph"/>
      </w:pPr>
      <w:r>
        <w:t xml:space="preserve">Disclosure: I work with Glows.ai.</w:t>
      </w:r>
    </w:p>
    <w:p>
      <w:pPr>
        <w:pStyle w:val="BodyText"/>
      </w:pPr>
      <w:r>
        <w:t xml:space="preserve">When looking for the most cost effective H100 provider, I would compare a completed job at the required quality, rather than rank hourly stickers. Startup time, idle capacity, retries, and the configuration you must rent all change the bill.</w:t>
      </w:r>
    </w:p>
    <w:p>
      <w:pPr>
        <w:pStyle w:val="BodyText"/>
      </w:pPr>
      <w:r>
        <w:t xml:space="preserve">Glows.ai’s October 2026 public rate for H100 80GB is</w:t>
      </w:r>
      <w:r>
        <w:t xml:space="preserve"> </w:t>
      </w:r>
      <w:r>
        <w:rPr>
          <w:b/>
          <w:bCs/>
        </w:rPr>
        <w:t xml:space="preserve">$2.96 per GPU-hour</w:t>
      </w:r>
      <w:r>
        <w:t xml:space="preserve">, with per-second compute billing. Large-volume H100 deployments require a quote. The public single-GPU rate does not establish the price, interconnect, or availability of a particular multi-GPU node.</w:t>
      </w:r>
    </w:p>
    <w:p>
      <w:pPr>
        <w:pStyle w:val="BodyText"/>
      </w:pPr>
      <w:r>
        <w:t xml:space="preserve">The basic calculation is:</w:t>
      </w:r>
    </w:p>
    <w:p>
      <w:pPr>
        <w:pStyle w:val="BodyText"/>
      </w:pPr>
      <w:r>
        <w:rPr>
          <w:b/>
          <w:bCs/>
        </w:rPr>
        <w:t xml:space="preserve">Compute charge = GPU count × rate per GPU-hour × billable hours.</w:t>
      </w:r>
    </w:p>
    <w:p>
      <w:pPr>
        <w:pStyle w:val="BodyText"/>
      </w:pPr>
      <w:r>
        <w:t xml:space="preserve">Add charges across configurations or billing periods, then add separately billed storage, transfer, or other services. If preparation, idle time, and failed attempts are already counted in billable hours, do not add the same compute expense again as “setup” or “retry” costs. Keep estimated engineering labor separate from the cloud invoice.</w:t>
      </w:r>
    </w:p>
    <w:p>
      <w:pPr>
        <w:pStyle w:val="BodyText"/>
      </w:pPr>
      <w:r>
        <w:t xml:space="preserve">An illustrative utilization example: ten billed H100 hours at $2.96 cost</w:t>
      </w:r>
      <w:r>
        <w:t xml:space="preserve"> </w:t>
      </w:r>
      <m:oMath>
        <m:r>
          <m:t>29.60</m:t>
        </m:r>
        <m:r>
          <m:rPr>
            <m:sty m:val="p"/>
          </m:rPr>
          <m:t>.</m:t>
        </m:r>
        <m:r>
          <m:t>I</m:t>
        </m:r>
        <m:r>
          <m:t>f</m:t>
        </m:r>
        <m:r>
          <m:t>o</m:t>
        </m:r>
        <m:r>
          <m:t>n</m:t>
        </m:r>
        <m:r>
          <m:t>l</m:t>
        </m:r>
        <m:r>
          <m:t>y</m:t>
        </m:r>
        <m:r>
          <m:t>s</m:t>
        </m:r>
        <m:r>
          <m:t>e</m:t>
        </m:r>
        <m:r>
          <m:t>v</m:t>
        </m:r>
        <m:r>
          <m:t>e</m:t>
        </m:r>
        <m:r>
          <m:t>n</m:t>
        </m:r>
        <m:r>
          <m:t>o</m:t>
        </m:r>
        <m:r>
          <m:t>f</m:t>
        </m:r>
        <m:r>
          <m:t>t</m:t>
        </m:r>
        <m:r>
          <m:t>h</m:t>
        </m:r>
        <m:r>
          <m:t>o</m:t>
        </m:r>
        <m:r>
          <m:t>s</m:t>
        </m:r>
        <m:r>
          <m:t>e</m:t>
        </m:r>
        <m:r>
          <m:t>h</m:t>
        </m:r>
        <m:r>
          <m:t>o</m:t>
        </m:r>
        <m:r>
          <m:t>u</m:t>
        </m:r>
        <m:r>
          <m:t>r</m:t>
        </m:r>
        <m:r>
          <m:t>s</m:t>
        </m:r>
        <m:r>
          <m:t>a</m:t>
        </m:r>
        <m:r>
          <m:t>r</m:t>
        </m:r>
        <m:r>
          <m:t>e</m:t>
        </m:r>
        <m:r>
          <m:t>p</m:t>
        </m:r>
        <m:r>
          <m:t>r</m:t>
        </m:r>
        <m:r>
          <m:t>o</m:t>
        </m:r>
        <m:r>
          <m:t>d</m:t>
        </m:r>
        <m:r>
          <m:t>u</m:t>
        </m:r>
        <m:r>
          <m:t>c</m:t>
        </m:r>
        <m:r>
          <m:t>t</m:t>
        </m:r>
        <m:r>
          <m:t>i</m:t>
        </m:r>
        <m:r>
          <m:t>v</m:t>
        </m:r>
        <m:r>
          <m:t>e</m:t>
        </m:r>
        <m:r>
          <m:t>j</m:t>
        </m:r>
        <m:r>
          <m:t>o</m:t>
        </m:r>
        <m:r>
          <m:t>b</m:t>
        </m:r>
        <m:r>
          <m:t>t</m:t>
        </m:r>
        <m:r>
          <m:t>i</m:t>
        </m:r>
        <m:r>
          <m:t>m</m:t>
        </m:r>
        <m:r>
          <m:t>e</m:t>
        </m:r>
        <m:r>
          <m:rPr>
            <m:sty m:val="p"/>
          </m:rPr>
          <m:t>,</m:t>
        </m:r>
        <m:r>
          <m:t>c</m:t>
        </m:r>
        <m:r>
          <m:t>o</m:t>
        </m:r>
        <m:r>
          <m:t>m</m:t>
        </m:r>
        <m:r>
          <m:t>p</m:t>
        </m:r>
        <m:r>
          <m:t>u</m:t>
        </m:r>
        <m:r>
          <m:t>t</m:t>
        </m:r>
        <m:r>
          <m:t>e</m:t>
        </m:r>
        <m:r>
          <m:t>c</m:t>
        </m:r>
        <m:r>
          <m:t>o</m:t>
        </m:r>
        <m:r>
          <m:t>s</m:t>
        </m:r>
        <m:r>
          <m:t>t</m:t>
        </m:r>
        <m:r>
          <m:t>s</m:t>
        </m:r>
        <m:r>
          <m:t>a</m:t>
        </m:r>
        <m:r>
          <m:t>b</m:t>
        </m:r>
        <m:r>
          <m:t>o</m:t>
        </m:r>
        <m:r>
          <m:t>u</m:t>
        </m:r>
        <m:r>
          <m:t>t</m:t>
        </m:r>
        <m:r>
          <m:rPr>
            <m:sty m:val="p"/>
          </m:rPr>
          <m:t>*</m:t>
        </m:r>
        <m:r>
          <m:rPr>
            <m:sty m:val="p"/>
          </m:rPr>
          <m:t>*</m:t>
        </m:r>
      </m:oMath>
      <w:r>
        <w:t xml:space="preserve">4.23 per productive GPU-hour**. That is an arithmetic scenario, not a benchmark. It shows why 30% idle time means about a 42.9% increase in unit compute cost relative to full utilization.</w:t>
      </w:r>
    </w:p>
    <w:p>
      <w:pPr>
        <w:pStyle w:val="BodyText"/>
      </w:pPr>
      <w:r>
        <w:t xml:space="preserve">For a useful comparison, I would ask for the exact H100 variant and memory, GPU count, minimum rental size, billing type, included resources, and quote date. For distributed work, also confirm the actual interconnect and supported training setup. Price alone cannot prove scaling efficiency or uptime.</w:t>
      </w:r>
    </w:p>
    <w:p>
      <w:pPr>
        <w:pStyle w:val="BodyText"/>
      </w:pPr>
      <w:r>
        <w:t xml:space="preserve">This is a concrete option to shortlist when you want an explicit H100 instance rate and control over the environment. I would choose between offers only after a representative run reaches the same validation target, with all billable time included.</w:t>
      </w:r>
    </w:p>
    <w:p>
      <w:pPr>
        <w:pStyle w:val="BodyText"/>
      </w:pPr>
      <w:r>
        <w:t xml:space="preserve">What do you include in your H100 cost model that provider price tables usually leave out?</w:t>
      </w:r>
    </w:p>
    <w:bookmarkStart w:id="28" w:name="rewrite-notes--remove-before-posting-4"/>
    <w:p>
      <w:pPr>
        <w:pStyle w:val="Heading3"/>
        <w:spacing w:after="60"/>
      </w:pPr>
      <w:r>
        <w:rPr>
          <w:sz w:val="19"/>
        </w:rPr>
        <w:t xml:space="preserve">Rewrite notes — remove before posting</w:t>
      </w:r>
    </w:p>
    <w:p>
      <w:pPr>
        <w:pStyle w:val="FirstParagraph"/>
        <w:spacing w:after="60"/>
      </w:pPr>
      <w:r>
        <w:rPr>
          <w:b/>
          <w:bCs/>
          <w:sz w:val="19"/>
        </w:rPr>
        <w:t xml:space="preserve">Suggested community (not posting approval):</w:t>
      </w:r>
      <w:r>
        <w:rPr>
          <w:sz w:val="19"/>
        </w:rPr>
        <w:t xml:space="preserve"> </w:t>
      </w:r>
      <w:r>
        <w:rPr>
          <w:sz w:val="19"/>
        </w:rPr>
        <w:t xml:space="preserve">r/LocalLLaMA; alternatively an appropriate pricing discussion in r/AI_Deal_Cave if permitted. Read the current full rules and thread requirements first.</w:t>
      </w:r>
    </w:p>
    <w:p>
      <w:pPr>
        <w:pStyle w:val="Compact"/>
        <w:numPr>
          <w:ilvl w:val="0"/>
          <w:numId w:val="1010"/>
        </w:numPr>
        <w:spacing w:after="60"/>
      </w:pPr>
      <w:r>
        <w:rPr>
          <w:sz w:val="19"/>
        </w:rPr>
        <w:t xml:space="preserve">Keep the truthful affiliation disclosure and the name Glows.ai.</w:t>
      </w:r>
    </w:p>
    <w:p>
      <w:pPr>
        <w:pStyle w:val="Compact"/>
        <w:numPr>
          <w:ilvl w:val="0"/>
          <w:numId w:val="1010"/>
        </w:numPr>
        <w:spacing w:after="60"/>
      </w:pPr>
      <w:r>
        <w:rPr>
          <w:sz w:val="19"/>
        </w:rPr>
        <w:t xml:space="preserve">Preserve H100 80GB $2.96 per GPU-hour, October 2026, per-second compute billing, and the large-volume quote requirement.</w:t>
      </w:r>
    </w:p>
    <w:p>
      <w:pPr>
        <w:pStyle w:val="Compact"/>
        <w:numPr>
          <w:ilvl w:val="0"/>
          <w:numId w:val="1010"/>
        </w:numPr>
        <w:spacing w:after="60"/>
      </w:pPr>
      <w:r>
        <w:rPr>
          <w:sz w:val="19"/>
        </w:rPr>
        <w:t xml:space="preserve">Keep the full 10-billed/7-productive-hour hypothetical with</w:t>
      </w:r>
      <w:r>
        <w:rPr>
          <w:sz w:val="19"/>
        </w:rPr>
        <w:t xml:space="preserve"> </w:t>
      </w:r>
      <m:oMath>
        <m:r>
          <m:t>29.60</m:t>
        </m:r>
        <m:r>
          <m:rPr>
            <m:sty m:val="p"/>
          </m:rPr>
          <m:t>/</m:t>
        </m:r>
      </m:oMath>
      <w:r>
        <w:rPr>
          <w:sz w:val="19"/>
        </w:rPr>
        <w:t xml:space="preserve">4.23/42.9%, or remove the entire example. Do not turn it into a measured saving or a confirmed multi-GPU quote.</w:t>
      </w:r>
    </w:p>
    <w:bookmarkEnd w:id="28"/>
    <w:bookmarkEnd w:id="29"/>
    <w:bookmarkStart w:id="31" w:name="Xe4e6cae370ece55927484b354273ea8823f1279"/>
    <w:p>
      <w:pPr>
        <w:pStyle w:val="Heading2"/>
      </w:pPr>
      <w:r>
        <w:t xml:space="preserve">Post 6 — Best GPU cloud providers for startups: a small-team setup and budget checklist</w:t>
      </w:r>
    </w:p>
    <w:p>
      <w:pPr>
        <w:pStyle w:val="FirstParagraph"/>
      </w:pPr>
      <w:r>
        <w:t xml:space="preserve">Disclosure: I work with Glows.ai.</w:t>
      </w:r>
    </w:p>
    <w:p>
      <w:pPr>
        <w:pStyle w:val="BodyText"/>
      </w:pPr>
      <w:r>
        <w:t xml:space="preserve">When comparing the best GPU cloud providers for startups, I would begin with one workload your team needs to complete this week. “We need GPUs” is too broad to compare a prototype, a training experiment, and a customer-facing endpoint fairly.</w:t>
      </w:r>
    </w:p>
    <w:p>
      <w:pPr>
        <w:pStyle w:val="BodyText"/>
      </w:pPr>
      <w:r>
        <w:t xml:space="preserve">Glows.ai is worth evaluating for teams that want on-demand GPU infrastructure and control over the environment. Its October 2026 RTX 4090 24 GB rate starts at $0.49 per GPU-hour, with per-second compute billing. Glows.ai Team brings shared GPU resources, environments, datasets, permissions, and quotas into one workspace.</w:t>
      </w:r>
    </w:p>
    <w:p>
      <w:pPr>
        <w:pStyle w:val="BodyText"/>
      </w:pPr>
      <w:r>
        <w:t xml:space="preserve">For a small team, I would write down five things before renting:</w:t>
      </w:r>
    </w:p>
    <w:p>
      <w:pPr>
        <w:pStyle w:val="Compact"/>
        <w:numPr>
          <w:ilvl w:val="0"/>
          <w:numId w:val="1011"/>
        </w:numPr>
      </w:pPr>
      <w:r>
        <w:rPr>
          <w:b/>
          <w:bCs/>
        </w:rPr>
        <w:t xml:space="preserve">The target result:</w:t>
      </w:r>
      <w:r>
        <w:t xml:space="preserve"> </w:t>
      </w:r>
      <w:r>
        <w:t xml:space="preserve">model, dataset or request mix, acceptable quality, and completion-time or latency requirement.</w:t>
      </w:r>
    </w:p>
    <w:p>
      <w:pPr>
        <w:pStyle w:val="Compact"/>
        <w:numPr>
          <w:ilvl w:val="0"/>
          <w:numId w:val="1011"/>
        </w:numPr>
      </w:pPr>
      <w:r>
        <w:rPr>
          <w:b/>
          <w:bCs/>
        </w:rPr>
        <w:t xml:space="preserve">The reproducible setup:</w:t>
      </w:r>
      <w:r>
        <w:t xml:space="preserve"> </w:t>
      </w:r>
      <w:r>
        <w:t xml:space="preserve">repository commit, model and tokenizer versions, image identifier, dependencies, and launch configuration. A shared workspace does not replace those records.</w:t>
      </w:r>
    </w:p>
    <w:p>
      <w:pPr>
        <w:pStyle w:val="Compact"/>
        <w:numPr>
          <w:ilvl w:val="0"/>
          <w:numId w:val="1011"/>
        </w:numPr>
      </w:pPr>
      <w:r>
        <w:rPr>
          <w:b/>
          <w:bCs/>
        </w:rPr>
        <w:t xml:space="preserve">The complete budget:</w:t>
      </w:r>
      <w:r>
        <w:t xml:space="preserve"> </w:t>
      </w:r>
      <w:r>
        <w:t xml:space="preserve">GPU count × hourly rate × all billable time, plus separately charged resources. Assign an owner and a spending estimate to each experiment.</w:t>
      </w:r>
    </w:p>
    <w:p>
      <w:pPr>
        <w:pStyle w:val="Compact"/>
        <w:numPr>
          <w:ilvl w:val="0"/>
          <w:numId w:val="1011"/>
        </w:numPr>
      </w:pPr>
      <w:r>
        <w:rPr>
          <w:b/>
          <w:bCs/>
        </w:rPr>
        <w:t xml:space="preserve">The handoff:</w:t>
      </w:r>
      <w:r>
        <w:t xml:space="preserve"> </w:t>
      </w:r>
      <w:r>
        <w:t xml:space="preserve">where artifacts live, who can access them, how long they remain available, and whether a second teammate can restore the work.</w:t>
      </w:r>
    </w:p>
    <w:p>
      <w:pPr>
        <w:pStyle w:val="Compact"/>
        <w:numPr>
          <w:ilvl w:val="0"/>
          <w:numId w:val="1011"/>
        </w:numPr>
      </w:pPr>
      <w:r>
        <w:rPr>
          <w:b/>
          <w:bCs/>
        </w:rPr>
        <w:t xml:space="preserve">The next decision:</w:t>
      </w:r>
      <w:r>
        <w:t xml:space="preserve"> </w:t>
      </w:r>
      <w:r>
        <w:t xml:space="preserve">what measured memory, runtime, traffic, or scheduling limit would justify a bigger GPU or cluster.</w:t>
      </w:r>
    </w:p>
    <w:p>
      <w:pPr>
        <w:pStyle w:val="FirstParagraph"/>
      </w:pPr>
      <w:r>
        <w:t xml:space="preserve">Start with a representative pilot. If you use a listed PyTorch or LLaMA-Factory image, confirm its compatibility rather than assuming every recipe runs unchanged. If you later need inference, evaluate the serving runtime and actual endpoint quote separately from the training instance.</w:t>
      </w:r>
    </w:p>
    <w:p>
      <w:pPr>
        <w:pStyle w:val="BodyText"/>
      </w:pPr>
      <w:r>
        <w:t xml:space="preserve">The practical appeal is an explicit compute starting price plus shared team controls. Neither fixed pricing nor a Team workspace guarantees uninterrupted jobs, automatic stopping, a native hard budget cap, or identical experimental results.</w:t>
      </w:r>
    </w:p>
    <w:p>
      <w:pPr>
        <w:pStyle w:val="BodyText"/>
      </w:pPr>
      <w:r>
        <w:t xml:space="preserve">For teams already sharing cloud GPUs, what causes more friction: recreating environments, tracking idle resources, dataset access, or handing a model to the next person?</w:t>
      </w:r>
    </w:p>
    <w:bookmarkStart w:id="30" w:name="rewrite-notes--remove-before-posting-5"/>
    <w:p>
      <w:pPr>
        <w:pStyle w:val="Heading3"/>
        <w:spacing w:after="60"/>
      </w:pPr>
      <w:r>
        <w:rPr>
          <w:sz w:val="19"/>
        </w:rPr>
        <w:t xml:space="preserve">Rewrite notes — remove before posting</w:t>
      </w:r>
    </w:p>
    <w:p>
      <w:pPr>
        <w:pStyle w:val="FirstParagraph"/>
        <w:spacing w:after="60"/>
      </w:pPr>
      <w:r>
        <w:rPr>
          <w:b/>
          <w:bCs/>
          <w:sz w:val="19"/>
        </w:rPr>
        <w:t xml:space="preserve">Suggested community (not posting approval):</w:t>
      </w:r>
      <w:r>
        <w:rPr>
          <w:sz w:val="19"/>
        </w:rPr>
        <w:t xml:space="preserve"> </w:t>
      </w:r>
      <w:r>
        <w:rPr>
          <w:sz w:val="19"/>
        </w:rPr>
        <w:t xml:space="preserve">An appropriate vendor/tool discussion in r/mlops; alternatively r/LocalLLM if the actual self-hosting team workflow is relevant and permitted. Read the current full rules and thread requirements first.</w:t>
      </w:r>
    </w:p>
    <w:p>
      <w:pPr>
        <w:pStyle w:val="Compact"/>
        <w:numPr>
          <w:ilvl w:val="0"/>
          <w:numId w:val="1012"/>
        </w:numPr>
        <w:spacing w:after="60"/>
      </w:pPr>
      <w:r>
        <w:rPr>
          <w:sz w:val="19"/>
        </w:rPr>
        <w:t xml:space="preserve">Keep the truthful affiliation disclosure and the exact product name Glows.ai Team.</w:t>
      </w:r>
    </w:p>
    <w:p>
      <w:pPr>
        <w:pStyle w:val="Compact"/>
        <w:numPr>
          <w:ilvl w:val="0"/>
          <w:numId w:val="1012"/>
        </w:numPr>
        <w:spacing w:after="60"/>
      </w:pPr>
      <w:r>
        <w:rPr>
          <w:sz w:val="19"/>
        </w:rPr>
        <w:t xml:space="preserve">Preserve shared GPU resources, environments, datasets, permissions and quotas; do not add hard spending caps, automatic stopping, SSO or audit guarantees.</w:t>
      </w:r>
    </w:p>
    <w:p>
      <w:pPr>
        <w:pStyle w:val="Compact"/>
        <w:numPr>
          <w:ilvl w:val="0"/>
          <w:numId w:val="1012"/>
        </w:numPr>
        <w:spacing w:after="60"/>
      </w:pPr>
      <w:r>
        <w:rPr>
          <w:sz w:val="19"/>
        </w:rPr>
        <w:t xml:space="preserve">Keep the GPU/memory/rate/date/billing units and version/recovery responsibilities. Do not invent a customer, migration story, startup stage or savings result.</w:t>
      </w:r>
    </w:p>
    <w:bookmarkEnd w:id="30"/>
    <w:bookmarkEnd w:id="31"/>
    <w:bookmarkEnd w:id="32"/>
    <w:sectPr w:rsidR="00FC693F" w:rsidRPr="0006063C" w:rsidSect="00034616">
      <w:headerReference r:id="rId9" w:type="default"/>
      <w:footerReference r:id="rId10" w:type="default"/>
      <w:pgSz w:h="16838" w:w="11905"/>
      <w:pgMar w:bottom="979" w:footer="432" w:gutter="0" w:header="432" w:left="1152" w:right="1152" w:top="105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Noto Sans CJK SC"/>
        <w:color w:val="666666"/>
        <w:sz w:val="16"/>
      </w:rPr>
      <w:t xml:space="preserve">Glows.ai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5" w:color="E9D5FF" w:space="6"/>
      </w:pBdr>
    </w:pPr>
    <w:r>
      <w:rPr>
        <w:rFonts w:ascii="Liberation Sans" w:hAnsi="Liberation Sans" w:eastAsia="Noto Sans CJK SC"/>
        <w:b/>
        <w:color w:val="7C3AED"/>
        <w:sz w:val="20"/>
      </w:rPr>
      <w:t>Glows.ai</w:t>
    </w:r>
    <w:r>
      <w:rPr>
        <w:rFonts w:ascii="Liberation Sans" w:hAnsi="Liberation Sans" w:eastAsia="Noto Sans CJK SC"/>
        <w:color w:val="666666"/>
        <w:sz w:val="18"/>
      </w:rPr>
      <w:t xml:space="preserve">  /  Content production drafts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20" w:line="264" w:lineRule="auto"/>
    </w:pPr>
    <w:rPr>
      <w:rFonts w:ascii="Liberation Sans" w:eastAsia="Noto Sans CJK SC" w:hAnsi="Liberation Sans"/>
      <w:color w:val="242424"/>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80" w:before="0" w:line="252" w:lineRule="auto"/>
      <w:outlineLvl w:val="0"/>
    </w:pPr>
    <w:rPr>
      <w:rFonts w:ascii="Liberation Sans" w:asciiTheme="majorHAnsi" w:cstheme="majorBidi" w:eastAsia="Noto Sans CJK SC" w:eastAsiaTheme="majorEastAsia" w:hAnsi="Liberation Sans" w:hAnsiTheme="majorHAnsi"/>
      <w:b/>
      <w:bCs/>
      <w:color w:val="5B21B6"/>
      <w:sz w:val="40"/>
      <w:szCs w:val="28"/>
    </w:rPr>
  </w:style>
  <w:style w:styleId="Heading2" w:type="paragraph">
    <w:name w:val="heading 2"/>
    <w:basedOn w:val="Normal"/>
    <w:next w:val="Normal"/>
    <w:link w:val="Heading2Char"/>
    <w:uiPriority w:val="9"/>
    <w:unhideWhenUsed/>
    <w:qFormat/>
    <w:rsid w:val="00FC693F"/>
    <w:pPr>
      <w:keepNext/>
      <w:keepLines/>
      <w:pageBreakBefore/>
      <w:spacing w:after="160" w:before="260" w:line="252" w:lineRule="auto"/>
      <w:outlineLvl w:val="1"/>
    </w:pPr>
    <w:rPr>
      <w:rFonts w:ascii="Liberation Sans" w:asciiTheme="majorHAnsi" w:cstheme="majorBidi" w:eastAsia="Noto Sans CJK SC" w:eastAsiaTheme="majorEastAsia" w:hAnsi="Liberation Sans" w:hAnsiTheme="majorHAnsi"/>
      <w:b/>
      <w:bCs/>
      <w:color w:val="5B21B6"/>
      <w:sz w:val="30"/>
      <w:szCs w:val="26"/>
    </w:rPr>
  </w:style>
  <w:style w:styleId="Heading3" w:type="paragraph">
    <w:name w:val="heading 3"/>
    <w:basedOn w:val="Normal"/>
    <w:next w:val="Normal"/>
    <w:link w:val="Heading3Char"/>
    <w:uiPriority w:val="9"/>
    <w:unhideWhenUsed/>
    <w:qFormat/>
    <w:rsid w:val="00FC693F"/>
    <w:pPr>
      <w:keepNext/>
      <w:keepLines/>
      <w:spacing w:after="100" w:before="200" w:line="252" w:lineRule="auto"/>
      <w:outlineLvl w:val="2"/>
    </w:pPr>
    <w:rPr>
      <w:rFonts w:ascii="Liberation Sans" w:asciiTheme="majorHAnsi" w:cstheme="majorBidi" w:eastAsia="Noto Sans CJK SC" w:eastAsiaTheme="majorEastAsia" w:hAnsi="Liberation Sans" w:hAnsiTheme="majorHAnsi"/>
      <w:b/>
      <w:bCs/>
      <w:color w:val="5B21B6"/>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val="7C3AE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val="5B21B6"/>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val="5B21B6"/>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val="7C3AE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val="5B21B6"/>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val="7C3AE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val="7C3AED"/>
    </w:rPr>
  </w:style>
  <w:style w:styleId="Title" w:type="paragraph">
    <w:name w:val="Title"/>
    <w:basedOn w:val="Normal"/>
    <w:next w:val="Normal"/>
    <w:link w:val="TitleChar"/>
    <w:uiPriority w:val="10"/>
    <w:qFormat/>
    <w:rsid w:val="00FC693F"/>
    <w:pPr>
      <w:pBdr>
        <w:bottom w:color="7C3AED" w:space="4" w:sz="8" w:val="single"/>
      </w:pBdr>
      <w:spacing w:after="300" w:line="240" w:lineRule="auto"/>
      <w:contextualSpacing/>
    </w:pPr>
    <w:rPr>
      <w:rFonts w:ascii="Liberation Sans" w:asciiTheme="majorHAnsi" w:cstheme="majorBidi" w:eastAsia="Noto Sans CJK SC" w:eastAsiaTheme="majorEastAsia" w:hAnsi="Liberation Sans" w:hAnsiTheme="majorHAnsi"/>
      <w:color w:val="5B21B6"/>
      <w:spacing w:val="5"/>
      <w:kern w:val="28"/>
      <w:sz w:val="4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val="5B21B6"/>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val="7C3AE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val="7C3AE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120" w:line="264" w:lineRule="auto"/>
      <w:contextualSpacing/>
    </w:pPr>
    <w:rPr>
      <w:rFonts w:ascii="Liberation Sans" w:hAnsi="Liberation Sans"/>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120" w:line="264" w:lineRule="auto"/>
      <w:contextualSpacing/>
    </w:pPr>
    <w:rPr>
      <w:rFonts w:ascii="Liberation Sans" w:hAnsi="Liberation Sans"/>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val="000000"/>
    </w:rPr>
  </w:style>
  <w:style w:customStyle="1" w:styleId="QuoteChar" w:type="character">
    <w:name w:val="Quote Char"/>
    <w:basedOn w:val="DefaultParagraphFont"/>
    <w:link w:val="Quote"/>
    <w:uiPriority w:val="29"/>
    <w:rsid w:val="00FC693F"/>
    <w:rPr>
      <w:i/>
      <w:iCs/>
      <w:color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val="7C3AE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val="5B21B6"/>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val="5B21B6"/>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val="7C3AE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val="404040"/>
      <w:sz w:val="20"/>
      <w:szCs w:val="20"/>
    </w:rPr>
  </w:style>
  <w:style w:styleId="Caption" w:type="paragraph">
    <w:name w:val="caption"/>
    <w:basedOn w:val="Normal"/>
    <w:next w:val="Normal"/>
    <w:uiPriority w:val="35"/>
    <w:semiHidden/>
    <w:unhideWhenUsed/>
    <w:qFormat/>
    <w:rsid w:val="00FC693F"/>
    <w:pPr>
      <w:spacing w:line="240" w:lineRule="auto"/>
    </w:pPr>
    <w:rPr>
      <w:b/>
      <w:bCs/>
      <w:color w:val="7C3AE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7C3AED" w:space="4" w:sz="4" w:val="single"/>
      </w:pBdr>
      <w:spacing w:after="280" w:before="200"/>
      <w:ind w:left="936" w:right="936"/>
    </w:pPr>
    <w:rPr>
      <w:b/>
      <w:bCs/>
      <w:i/>
      <w:iCs/>
      <w:color w:val="7C3AED"/>
    </w:rPr>
  </w:style>
  <w:style w:customStyle="1" w:styleId="IntenseQuoteChar" w:type="character">
    <w:name w:val="Intense Quote Char"/>
    <w:basedOn w:val="DefaultParagraphFont"/>
    <w:link w:val="IntenseQuote"/>
    <w:uiPriority w:val="30"/>
    <w:rsid w:val="00FC693F"/>
    <w:rPr>
      <w:b/>
      <w:bCs/>
      <w:i/>
      <w:iCs/>
      <w:color w:val="7C3AED"/>
    </w:rPr>
  </w:style>
  <w:style w:styleId="SubtleEmphasis" w:type="character">
    <w:name w:val="Subtle Emphasis"/>
    <w:basedOn w:val="DefaultParagraphFont"/>
    <w:uiPriority w:val="19"/>
    <w:qFormat/>
    <w:rsid w:val="00FC693F"/>
    <w:rPr>
      <w:i/>
      <w:iCs/>
      <w:color w:val="808080"/>
    </w:rPr>
  </w:style>
  <w:style w:styleId="IntenseEmphasis" w:type="character">
    <w:name w:val="Intense Emphasis"/>
    <w:basedOn w:val="DefaultParagraphFont"/>
    <w:uiPriority w:val="21"/>
    <w:qFormat/>
    <w:rsid w:val="00FC693F"/>
    <w:rPr>
      <w:b/>
      <w:bCs/>
      <w:i/>
      <w:iCs/>
      <w:color w:val="7C3AED"/>
    </w:rPr>
  </w:style>
  <w:style w:styleId="SubtleReference" w:type="character">
    <w:name w:val="Subtle Reference"/>
    <w:basedOn w:val="DefaultParagraphFont"/>
    <w:uiPriority w:val="31"/>
    <w:qFormat/>
    <w:rsid w:val="00FC693F"/>
    <w:rPr>
      <w:smallCaps/>
      <w:color w:val="7C3AED"/>
      <w:u w:val="single"/>
    </w:rPr>
  </w:style>
  <w:style w:styleId="IntenseReference" w:type="character">
    <w:name w:val="Intense Reference"/>
    <w:basedOn w:val="DefaultParagraphFont"/>
    <w:uiPriority w:val="32"/>
    <w:qFormat/>
    <w:rsid w:val="00FC693F"/>
    <w:rPr>
      <w:b/>
      <w:bCs/>
      <w:smallCaps/>
      <w:color w:val="7C3AE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val="000000"/>
    </w:rPr>
    <w:tblPr>
      <w:tblStyleRowBandSize w:val="1"/>
      <w:tblStyleColBandSize w:val="1"/>
      <w:tblInd w:type="dxa" w:w="0"/>
      <w:tblBorders>
        <w:top w:color="000000" w:space="0" w:sz="8" w:val="single"/>
        <w:bottom w:color="000000"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val="single"/>
          <w:left w:val="nil"/>
          <w:bottom w:color="000000" w:space="0" w:sz="8" w:val="single"/>
          <w:right w:val="nil"/>
          <w:insideH w:val="nil"/>
          <w:insideV w:val="nil"/>
        </w:tcBorders>
      </w:tcPr>
    </w:tblStylePr>
    <w:tblStylePr w:type="lastRow">
      <w:pPr>
        <w:spacing w:after="0" w:before="0" w:line="240" w:lineRule="auto"/>
      </w:pPr>
      <w:rPr>
        <w:b/>
        <w:bCs/>
      </w:rPr>
      <w:tblPr/>
      <w:tcPr>
        <w:tcBorders>
          <w:top w:color="000000" w:space="0" w:sz="8" w:val="single"/>
          <w:left w:val="nil"/>
          <w:bottom w:color="000000"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val="clear"/>
      </w:tcPr>
    </w:tblStylePr>
    <w:tblStylePr w:type="band1Horz">
      <w:tblPr/>
      <w:tcPr>
        <w:tcBorders>
          <w:left w:val="nil"/>
          <w:right w:val="nil"/>
          <w:insideH w:val="nil"/>
          <w:insideV w:val="nil"/>
        </w:tcBorders>
        <w:shd w:color="AUTO" w:fill="C0C0C0" w:val="clear"/>
      </w:tcPr>
    </w:tblStylePr>
  </w:style>
  <w:style w:styleId="LightShading-Accent1" w:type="table">
    <w:name w:val="Light Shading Accent 1"/>
    <w:basedOn w:val="TableNormal"/>
    <w:uiPriority w:val="60"/>
    <w:rsid w:val="00FC693F"/>
    <w:pPr>
      <w:spacing w:after="0" w:line="240" w:lineRule="auto"/>
    </w:pPr>
    <w:rPr>
      <w:color w:val="5B21B6"/>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2" w:type="table">
    <w:name w:val="Light Shading Accent 2"/>
    <w:basedOn w:val="TableNormal"/>
    <w:uiPriority w:val="60"/>
    <w:rsid w:val="00FC693F"/>
    <w:pPr>
      <w:spacing w:after="0" w:line="240" w:lineRule="auto"/>
    </w:pPr>
    <w:rPr>
      <w:color w:val="5B21B6"/>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3" w:type="table">
    <w:name w:val="Light Shading Accent 3"/>
    <w:basedOn w:val="TableNormal"/>
    <w:uiPriority w:val="60"/>
    <w:rsid w:val="00FC693F"/>
    <w:pPr>
      <w:spacing w:after="0" w:line="240" w:lineRule="auto"/>
    </w:pPr>
    <w:rPr>
      <w:color w:val="7C3AED"/>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4" w:type="table">
    <w:name w:val="Light Shading Accent 4"/>
    <w:basedOn w:val="TableNormal"/>
    <w:uiPriority w:val="60"/>
    <w:rsid w:val="00FC693F"/>
    <w:pPr>
      <w:spacing w:after="0" w:line="240" w:lineRule="auto"/>
    </w:pPr>
    <w:rPr>
      <w:color w:val="5B21B6"/>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5" w:type="table">
    <w:name w:val="Light Shading Accent 5"/>
    <w:basedOn w:val="TableNormal"/>
    <w:uiPriority w:val="60"/>
    <w:rsid w:val="00FC693F"/>
    <w:pPr>
      <w:spacing w:after="0" w:line="240" w:lineRule="auto"/>
    </w:pPr>
    <w:rPr>
      <w:color w:val="7C3AED"/>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6" w:type="table">
    <w:name w:val="Light Shading Accent 6"/>
    <w:basedOn w:val="TableNormal"/>
    <w:uiPriority w:val="60"/>
    <w:rsid w:val="00FC693F"/>
    <w:pPr>
      <w:spacing w:after="0" w:line="240" w:lineRule="auto"/>
    </w:pPr>
    <w:rPr>
      <w:color w:val="7C3AED"/>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val="single"/>
        <w:left w:color="000000" w:space="0" w:sz="8" w:val="single"/>
        <w:bottom w:color="000000" w:space="0" w:sz="8" w:val="single"/>
        <w:right w:color="000000"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000000" w:val="clear"/>
      </w:tcPr>
    </w:tblStylePr>
    <w:tblStylePr w:type="lastRow">
      <w:pPr>
        <w:spacing w:after="0" w:before="0" w:line="240" w:lineRule="auto"/>
      </w:pPr>
      <w:rPr>
        <w:b/>
        <w:bCs/>
      </w:rPr>
      <w:tblPr/>
      <w:tcPr>
        <w:tcBorders>
          <w:top w:color="000000" w:space="0" w:sz="6" w:val="double"/>
          <w:left w:color="000000" w:space="0" w:sz="8" w:val="single"/>
          <w:bottom w:color="000000" w:space="0" w:sz="8" w:val="single"/>
          <w:right w:color="000000" w:space="0" w:sz="8" w:val="single"/>
        </w:tcBorders>
      </w:tcPr>
    </w:tblStylePr>
    <w:tblStylePr w:type="firstCol">
      <w:rPr>
        <w:b/>
        <w:bCs/>
      </w:rPr>
    </w:tblStylePr>
    <w:tblStylePr w:type="lastCol">
      <w:rPr>
        <w:b/>
        <w:bCs/>
      </w:rPr>
    </w:tblStylePr>
    <w:tblStylePr w:type="band1Vert">
      <w:tblPr/>
      <w:tcPr>
        <w:tcBorders>
          <w:top w:color="000000" w:space="0" w:sz="8" w:val="single"/>
          <w:left w:color="000000" w:space="0" w:sz="8" w:val="single"/>
          <w:bottom w:color="000000" w:space="0" w:sz="8" w:val="single"/>
          <w:right w:color="000000" w:space="0" w:sz="8" w:val="single"/>
        </w:tcBorders>
      </w:tcPr>
    </w:tblStylePr>
    <w:tblStylePr w:type="band1Horz">
      <w:tblPr/>
      <w:tcPr>
        <w:tcBorders>
          <w:top w:color="000000" w:space="0" w:sz="8" w:val="single"/>
          <w:left w:color="000000" w:space="0" w:sz="8" w:val="single"/>
          <w:bottom w:color="000000" w:space="0" w:sz="8" w:val="single"/>
          <w:right w:color="000000" w:space="0" w:sz="8"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val="single"/>
          <w:left w:color="000000" w:space="0" w:sz="8" w:val="single"/>
          <w:bottom w:color="000000" w:space="0" w:sz="18" w:val="single"/>
          <w:right w:color="000000" w:space="0" w:sz="8" w:val="single"/>
          <w:insideH w:val="nil"/>
          <w:insideV w:color="000000"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val="double"/>
          <w:left w:color="000000" w:space="0" w:sz="8" w:val="single"/>
          <w:bottom w:color="000000" w:space="0" w:sz="8" w:val="single"/>
          <w:right w:color="000000" w:space="0" w:sz="8" w:val="single"/>
          <w:insideH w:val="nil"/>
          <w:insideV w:color="000000"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val="single"/>
          <w:left w:color="000000" w:space="0" w:sz="8" w:val="single"/>
          <w:bottom w:color="000000" w:space="0" w:sz="8" w:val="single"/>
          <w:right w:color="000000" w:space="0" w:sz="8" w:val="single"/>
        </w:tcBorders>
      </w:tcPr>
    </w:tblStylePr>
    <w:tblStylePr w:type="band1Vert">
      <w:tblPr/>
      <w:tcPr>
        <w:tcBorders>
          <w:top w:color="000000" w:space="0" w:sz="8" w:val="single"/>
          <w:left w:color="000000" w:space="0" w:sz="8" w:val="single"/>
          <w:bottom w:color="000000" w:space="0" w:sz="8" w:val="single"/>
          <w:right w:color="000000" w:space="0" w:sz="8" w:val="single"/>
        </w:tcBorders>
        <w:shd w:color="AUTO" w:fill="C0C0C0" w:val="clear"/>
      </w:tcPr>
    </w:tblStylePr>
    <w:tblStylePr w:type="band1Horz">
      <w:tblPr/>
      <w:tcPr>
        <w:tcBorders>
          <w:top w:color="000000" w:space="0" w:sz="8" w:val="single"/>
          <w:left w:color="000000" w:space="0" w:sz="8" w:val="single"/>
          <w:bottom w:color="000000" w:space="0" w:sz="8" w:val="single"/>
          <w:right w:color="000000" w:space="0" w:sz="8" w:val="single"/>
          <w:insideV w:color="000000" w:space="0" w:sz="8" w:val="single"/>
        </w:tcBorders>
        <w:shd w:color="AUTO" w:fill="C0C0C0" w:val="clear"/>
      </w:tcPr>
    </w:tblStylePr>
    <w:tblStylePr w:type="band2Horz">
      <w:tblPr/>
      <w:tcPr>
        <w:tcBorders>
          <w:top w:color="000000" w:space="0" w:sz="8" w:val="single"/>
          <w:left w:color="000000" w:space="0" w:sz="8" w:val="single"/>
          <w:bottom w:color="000000" w:space="0" w:sz="8" w:val="single"/>
          <w:right w:color="000000" w:space="0" w:sz="8" w:val="single"/>
          <w:insideV w:color="000000" w:space="0" w:sz="8"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val="single"/>
        <w:left w:color="404040" w:space="0" w:sz="8" w:val="single"/>
        <w:bottom w:color="404040" w:space="0" w:sz="8" w:val="single"/>
        <w:right w:color="404040" w:space="0" w:sz="8" w:val="single"/>
        <w:insideH w:color="404040"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404040" w:space="0" w:sz="8" w:val="single"/>
          <w:left w:color="404040" w:space="0" w:sz="8" w:val="single"/>
          <w:bottom w:color="404040" w:space="0" w:sz="8" w:val="single"/>
          <w:right w:color="404040" w:space="0" w:sz="8" w:val="single"/>
          <w:insideH w:val="nil"/>
          <w:insideV w:val="nil"/>
        </w:tcBorders>
        <w:shd w:color="AUTO" w:fill="000000" w:val="clear"/>
      </w:tcPr>
    </w:tblStylePr>
    <w:tblStylePr w:type="lastRow">
      <w:pPr>
        <w:spacing w:after="0" w:before="0" w:line="240" w:lineRule="auto"/>
      </w:pPr>
      <w:rPr>
        <w:b/>
        <w:bCs/>
      </w:rPr>
      <w:tblPr/>
      <w:tcPr>
        <w:tcBorders>
          <w:top w:color="404040" w:space="0" w:sz="6" w:val="double"/>
          <w:left w:color="404040" w:space="0" w:sz="8" w:val="single"/>
          <w:bottom w:color="404040" w:space="0" w:sz="8" w:val="single"/>
          <w:right w:color="404040" w:space="0" w:sz="8" w:val="single"/>
          <w:insideH w:val="nil"/>
          <w:insideV w:val="nil"/>
        </w:tcBorders>
      </w:tcPr>
    </w:tblStylePr>
    <w:tblStylePr w:type="firstCol">
      <w:rPr>
        <w:b/>
        <w:bCs/>
      </w:rPr>
    </w:tblStylePr>
    <w:tblStylePr w:type="lastCol">
      <w:rPr>
        <w:b/>
        <w:bCs/>
      </w:rPr>
    </w:tblStylePr>
    <w:tblStylePr w:type="band1Vert">
      <w:tblPr/>
      <w:tcPr>
        <w:shd w:color="AUTO" w:fill="C0C0C0" w:val="clear"/>
      </w:tcPr>
    </w:tblStylePr>
    <w:tblStylePr w:type="band1Horz">
      <w:tblPr/>
      <w:tcPr>
        <w:tcBorders>
          <w:insideH w:val="nil"/>
          <w:insideV w:val="nil"/>
        </w:tcBorders>
        <w:shd w:color="AUTO" w:fill="C0C0C0"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000000"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000000" w:val="clear"/>
      </w:tcPr>
    </w:tblStylePr>
    <w:tblStylePr w:type="lastCol">
      <w:rPr>
        <w:b/>
        <w:bCs/>
        <w:color w:val="FFFFFF"/>
      </w:rPr>
      <w:tblPr/>
      <w:tcPr>
        <w:tcBorders>
          <w:left w:val="nil"/>
          <w:right w:val="nil"/>
          <w:insideH w:val="nil"/>
          <w:insideV w:val="nil"/>
        </w:tcBorders>
        <w:shd w:color="AUTO" w:fill="000000"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val="000000"/>
    </w:rPr>
    <w:tblPr>
      <w:tblStyleRowBandSize w:val="1"/>
      <w:tblStyleColBandSize w:val="1"/>
      <w:tblInd w:type="dxa" w:w="0"/>
      <w:tblBorders>
        <w:top w:color="000000" w:space="0" w:sz="8" w:val="single"/>
        <w:bottom w:color="000000"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val="single"/>
        </w:tcBorders>
      </w:tcPr>
    </w:tblStylePr>
    <w:tblStylePr w:type="lastRow">
      <w:rPr>
        <w:b/>
        <w:bCs/>
        <w:color w:val="5B21B6"/>
      </w:rPr>
      <w:tblPr/>
      <w:tcPr>
        <w:tcBorders>
          <w:top w:color="000000" w:space="0" w:sz="8" w:val="single"/>
          <w:bottom w:color="000000" w:space="0" w:sz="8" w:val="single"/>
        </w:tcBorders>
      </w:tcPr>
    </w:tblStylePr>
    <w:tblStylePr w:type="firstCol">
      <w:rPr>
        <w:b/>
        <w:bCs/>
      </w:rPr>
    </w:tblStylePr>
    <w:tblStylePr w:type="lastCol">
      <w:rPr>
        <w:b/>
        <w:bCs/>
      </w:rPr>
      <w:tblPr/>
      <w:tcPr>
        <w:tcBorders>
          <w:top w:color="000000" w:space="0" w:sz="8" w:val="single"/>
          <w:bottom w:color="000000" w:space="0" w:sz="8" w:val="single"/>
        </w:tcBorders>
      </w:tcPr>
    </w:tblStylePr>
    <w:tblStylePr w:type="band1Vert">
      <w:tblPr/>
      <w:tcPr>
        <w:shd w:color="AUTO" w:fill="C0C0C0" w:val="clear"/>
      </w:tcPr>
    </w:tblStylePr>
    <w:tblStylePr w:type="band1Horz">
      <w:tblPr/>
      <w:tcPr>
        <w:shd w:color="AUTO" w:fill="C0C0C0" w:val="clear"/>
      </w:tcPr>
    </w:tblStylePr>
  </w:style>
  <w:style w:styleId="MediumList1-Accent1" w:type="table">
    <w:name w:val="Medium List 1 Accent 1"/>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2" w:type="table">
    <w:name w:val="Medium List 1 Accent 2"/>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3" w:type="table">
    <w:name w:val="Medium List 1 Accent 3"/>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4" w:type="table">
    <w:name w:val="Medium List 1 Accent 4"/>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5" w:type="table">
    <w:name w:val="Medium List 1 Accent 5"/>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6" w:type="table">
    <w:name w:val="Medium List 1 Accent 6"/>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000000" w:space="0" w:sz="8" w:val="single"/>
        <w:left w:color="000000" w:space="0" w:sz="8" w:val="single"/>
        <w:bottom w:color="000000" w:space="0" w:sz="8" w:val="single"/>
        <w:right w:color="000000" w:space="0" w:sz="8"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val="single"/>
          <w:right w:val="nil"/>
          <w:insideH w:val="nil"/>
          <w:insideV w:val="nil"/>
        </w:tcBorders>
        <w:shd w:color="AUTO" w:fill="FFFFFF" w:val="clear"/>
      </w:tcPr>
    </w:tblStylePr>
    <w:tblStylePr w:type="lastRow">
      <w:tblPr/>
      <w:tcPr>
        <w:tcBorders>
          <w:top w:color="000000" w:space="0" w:sz="8" w:val="single"/>
          <w:left w:val="nil"/>
          <w:bottom w:val="nil"/>
          <w:right w:val="nil"/>
          <w:insideH w:val="nil"/>
          <w:insideV w:val="nil"/>
        </w:tcBorders>
        <w:shd w:color="AUTO" w:fill="FFFFFF" w:val="clear"/>
      </w:tcPr>
    </w:tblStylePr>
    <w:tblStylePr w:type="firstCol">
      <w:tblPr/>
      <w:tcPr>
        <w:tcBorders>
          <w:top w:val="nil"/>
          <w:left w:val="nil"/>
          <w:bottom w:val="nil"/>
          <w:right w:color="000000" w:space="0" w:sz="8" w:val="single"/>
          <w:insideH w:val="nil"/>
          <w:insideV w:val="nil"/>
        </w:tcBorders>
        <w:shd w:color="AUTO" w:fill="FFFFFF" w:val="clear"/>
      </w:tcPr>
    </w:tblStylePr>
    <w:tblStylePr w:type="lastCol">
      <w:tblPr/>
      <w:tcPr>
        <w:tcBorders>
          <w:top w:val="nil"/>
          <w:left w:color="000000"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C0C0C0" w:val="clear"/>
      </w:tcPr>
    </w:tblStylePr>
    <w:tblStylePr w:type="band1Horz">
      <w:tblPr/>
      <w:tcPr>
        <w:tcBorders>
          <w:top w:val="nil"/>
          <w:bottom w:val="nil"/>
          <w:insideH w:val="nil"/>
          <w:insideV w:val="nil"/>
        </w:tcBorders>
        <w:shd w:color="AUTO" w:fill="C0C0C0" w:val="clear"/>
      </w:tcPr>
    </w:tblStylePr>
    <w:tblStylePr w:type="nwCell">
      <w:tblPr/>
      <w:tcPr>
        <w:shd w:color="AUTO" w:fill="FFFFFF"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val="single"/>
        <w:left w:color="404040" w:space="0" w:sz="8" w:val="single"/>
        <w:bottom w:color="404040" w:space="0" w:sz="8" w:val="single"/>
        <w:right w:color="404040" w:space="0" w:sz="8" w:val="single"/>
        <w:insideH w:color="404040" w:space="0" w:sz="8" w:val="single"/>
        <w:insideV w:color="404040" w:space="0" w:sz="8" w:val="single"/>
      </w:tblBorders>
      <w:tblCellMar>
        <w:top w:type="dxa" w:w="0"/>
        <w:left w:type="dxa" w:w="108"/>
        <w:bottom w:type="dxa" w:w="0"/>
        <w:right w:type="dxa" w:w="108"/>
      </w:tblCellMar>
    </w:tblPr>
    <w:tcPr>
      <w:shd w:color="AUTO" w:fill="C0C0C0" w:val="clear"/>
    </w:tcPr>
    <w:tblStylePr w:type="firstRow">
      <w:rPr>
        <w:b/>
        <w:bCs/>
      </w:rPr>
    </w:tblStylePr>
    <w:tblStylePr w:type="lastRow">
      <w:rPr>
        <w:b/>
        <w:bCs/>
      </w:rPr>
      <w:tblPr/>
      <w:tcPr>
        <w:tcBorders>
          <w:top w:color="404040" w:space="0" w:sz="18" w:val="single"/>
        </w:tcBorders>
      </w:tcPr>
    </w:tblStylePr>
    <w:tblStylePr w:type="firstCol">
      <w:rPr>
        <w:b/>
        <w:bCs/>
      </w:rPr>
    </w:tblStylePr>
    <w:tblStylePr w:type="lastCol">
      <w:rPr>
        <w:b/>
        <w:bCs/>
      </w:rPr>
    </w:tblStylePr>
    <w:tblStylePr w:type="band1Vert">
      <w:tblPr/>
      <w:tcPr>
        <w:shd w:color="AUTO" w:fill="808080" w:val="clear"/>
      </w:tcPr>
    </w:tblStylePr>
    <w:tblStylePr w:type="band1Horz">
      <w:tblPr/>
      <w:tcPr>
        <w:shd w:color="AUTO" w:fill="808080"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type="dxa" w:w="0"/>
        <w:left w:type="dxa" w:w="108"/>
        <w:bottom w:type="dxa" w:w="0"/>
        <w:right w:type="dxa" w:w="108"/>
      </w:tblCellMar>
    </w:tblPr>
    <w:tcPr>
      <w:shd w:color="AUTO" w:fill="C0C0C0" w:val="clear"/>
    </w:tcPr>
    <w:tblStylePr w:type="firstRow">
      <w:rPr>
        <w:b/>
        <w:bCs/>
        <w:color w:val="000000"/>
      </w:rPr>
      <w:tblPr/>
      <w:tcPr>
        <w:shd w:color="AUTO" w:fill="E6E6E6"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CCCCCC" w:val="clear"/>
      </w:tcPr>
    </w:tblStylePr>
    <w:tblStylePr w:type="band1Vert">
      <w:tblPr/>
      <w:tcPr>
        <w:shd w:color="AUTO" w:fill="808080" w:val="clear"/>
      </w:tcPr>
    </w:tblStylePr>
    <w:tblStylePr w:type="band1Horz">
      <w:tblPr/>
      <w:tcPr>
        <w:tcBorders>
          <w:insideH w:color="000000" w:space="0" w:sz="6" w:val="single"/>
          <w:insideV w:color="000000" w:space="0" w:sz="6" w:val="single"/>
        </w:tcBorders>
        <w:shd w:color="AUTO" w:fill="808080" w:val="clear"/>
      </w:tcPr>
    </w:tblStylePr>
    <w:tblStylePr w:type="nwCell">
      <w:tblPr/>
      <w:tcPr>
        <w:shd w:color="AUTO" w:fill="FFFFFF"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C0C0C0"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000000"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000000"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000000"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000000"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808080"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808080"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DarkList" w:type="table">
    <w:name w:val="Dark List"/>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000000"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000000" w:val="clear"/>
      </w:tcPr>
    </w:tblStylePr>
    <w:tblStylePr w:type="firstCol">
      <w:tblPr/>
      <w:tcPr>
        <w:tcBorders>
          <w:top w:val="nil"/>
          <w:left w:val="nil"/>
          <w:bottom w:val="nil"/>
          <w:right w:color="FFFFFF" w:space="0" w:sz="18" w:val="single"/>
          <w:insideH w:val="nil"/>
          <w:insideV w:val="nil"/>
        </w:tcBorders>
        <w:shd w:color="AUTO" w:fill="000000" w:val="clear"/>
      </w:tcPr>
    </w:tblStylePr>
    <w:tblStylePr w:type="lastCol">
      <w:tblPr/>
      <w:tcPr>
        <w:tcBorders>
          <w:top w:val="nil"/>
          <w:left w:color="FFFFFF" w:space="0" w:sz="18" w:val="single"/>
          <w:bottom w:val="nil"/>
          <w:right w:val="nil"/>
          <w:insideH w:val="nil"/>
          <w:insideV w:val="nil"/>
        </w:tcBorders>
        <w:shd w:color="AUTO" w:fill="000000" w:val="clear"/>
      </w:tcPr>
    </w:tblStylePr>
    <w:tblStylePr w:type="band1Vert">
      <w:tblPr/>
      <w:tcPr>
        <w:tcBorders>
          <w:top w:val="nil"/>
          <w:left w:val="nil"/>
          <w:bottom w:val="nil"/>
          <w:right w:val="nil"/>
          <w:insideH w:val="nil"/>
          <w:insideV w:val="nil"/>
        </w:tcBorders>
        <w:shd w:color="AUTO" w:fill="000000" w:val="clear"/>
      </w:tcPr>
    </w:tblStylePr>
    <w:tblStylePr w:type="band1Horz">
      <w:tblPr/>
      <w:tcPr>
        <w:tcBorders>
          <w:top w:val="nil"/>
          <w:left w:val="nil"/>
          <w:bottom w:val="nil"/>
          <w:right w:val="nil"/>
          <w:insideH w:val="nil"/>
          <w:insideV w:val="nil"/>
        </w:tcBorders>
        <w:shd w:color="AUTO" w:fill="000000" w:val="clear"/>
      </w:tcPr>
    </w:tblStylePr>
  </w:style>
  <w:style w:styleId="DarkList-Accent1" w:type="table">
    <w:name w:val="Dark List Accent 1"/>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5B21B6" w:val="clear"/>
      </w:tcPr>
    </w:tblStylePr>
    <w:tblStylePr w:type="lastCol">
      <w:tblPr/>
      <w:tcPr>
        <w:tcBorders>
          <w:top w:val="nil"/>
          <w:left w:color="FFFFFF" w:space="0" w:sz="18" w:val="single"/>
          <w:bottom w:val="nil"/>
          <w:right w:val="nil"/>
          <w:insideH w:val="nil"/>
          <w:insideV w:val="nil"/>
        </w:tcBorders>
        <w:shd w:color="AUTO" w:fill="5B21B6" w:val="clear"/>
      </w:tcPr>
    </w:tblStylePr>
    <w:tblStylePr w:type="band1Vert">
      <w:tblPr/>
      <w:tcPr>
        <w:tcBorders>
          <w:top w:val="nil"/>
          <w:left w:val="nil"/>
          <w:bottom w:val="nil"/>
          <w:right w:val="nil"/>
          <w:insideH w:val="nil"/>
          <w:insideV w:val="nil"/>
        </w:tcBorders>
        <w:shd w:color="AUTO" w:fill="5B21B6" w:val="clear"/>
      </w:tcPr>
    </w:tblStylePr>
    <w:tblStylePr w:type="band1Horz">
      <w:tblPr/>
      <w:tcPr>
        <w:tcBorders>
          <w:top w:val="nil"/>
          <w:left w:val="nil"/>
          <w:bottom w:val="nil"/>
          <w:right w:val="nil"/>
          <w:insideH w:val="nil"/>
          <w:insideV w:val="nil"/>
        </w:tcBorders>
        <w:shd w:color="AUTO" w:fill="5B21B6" w:val="clear"/>
      </w:tcPr>
    </w:tblStylePr>
  </w:style>
  <w:style w:styleId="DarkList-Accent2" w:type="table">
    <w:name w:val="Dark List Accent 2"/>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5B21B6" w:val="clear"/>
      </w:tcPr>
    </w:tblStylePr>
    <w:tblStylePr w:type="lastCol">
      <w:tblPr/>
      <w:tcPr>
        <w:tcBorders>
          <w:top w:val="nil"/>
          <w:left w:color="FFFFFF" w:space="0" w:sz="18" w:val="single"/>
          <w:bottom w:val="nil"/>
          <w:right w:val="nil"/>
          <w:insideH w:val="nil"/>
          <w:insideV w:val="nil"/>
        </w:tcBorders>
        <w:shd w:color="AUTO" w:fill="5B21B6" w:val="clear"/>
      </w:tcPr>
    </w:tblStylePr>
    <w:tblStylePr w:type="band1Vert">
      <w:tblPr/>
      <w:tcPr>
        <w:tcBorders>
          <w:top w:val="nil"/>
          <w:left w:val="nil"/>
          <w:bottom w:val="nil"/>
          <w:right w:val="nil"/>
          <w:insideH w:val="nil"/>
          <w:insideV w:val="nil"/>
        </w:tcBorders>
        <w:shd w:color="AUTO" w:fill="5B21B6" w:val="clear"/>
      </w:tcPr>
    </w:tblStylePr>
    <w:tblStylePr w:type="band1Horz">
      <w:tblPr/>
      <w:tcPr>
        <w:tcBorders>
          <w:top w:val="nil"/>
          <w:left w:val="nil"/>
          <w:bottom w:val="nil"/>
          <w:right w:val="nil"/>
          <w:insideH w:val="nil"/>
          <w:insideV w:val="nil"/>
        </w:tcBorders>
        <w:shd w:color="AUTO" w:fill="5B21B6" w:val="clear"/>
      </w:tcPr>
    </w:tblStylePr>
  </w:style>
  <w:style w:styleId="DarkList-Accent3" w:type="table">
    <w:name w:val="Dark List Accent 3"/>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7C3AED" w:val="clear"/>
      </w:tcPr>
    </w:tblStylePr>
    <w:tblStylePr w:type="lastCol">
      <w:tblPr/>
      <w:tcPr>
        <w:tcBorders>
          <w:top w:val="nil"/>
          <w:left w:color="FFFFFF" w:space="0" w:sz="18" w:val="single"/>
          <w:bottom w:val="nil"/>
          <w:right w:val="nil"/>
          <w:insideH w:val="nil"/>
          <w:insideV w:val="nil"/>
        </w:tcBorders>
        <w:shd w:color="AUTO" w:fill="7C3AED" w:val="clear"/>
      </w:tcPr>
    </w:tblStylePr>
    <w:tblStylePr w:type="band1Vert">
      <w:tblPr/>
      <w:tcPr>
        <w:tcBorders>
          <w:top w:val="nil"/>
          <w:left w:val="nil"/>
          <w:bottom w:val="nil"/>
          <w:right w:val="nil"/>
          <w:insideH w:val="nil"/>
          <w:insideV w:val="nil"/>
        </w:tcBorders>
        <w:shd w:color="AUTO" w:fill="7C3AED" w:val="clear"/>
      </w:tcPr>
    </w:tblStylePr>
    <w:tblStylePr w:type="band1Horz">
      <w:tblPr/>
      <w:tcPr>
        <w:tcBorders>
          <w:top w:val="nil"/>
          <w:left w:val="nil"/>
          <w:bottom w:val="nil"/>
          <w:right w:val="nil"/>
          <w:insideH w:val="nil"/>
          <w:insideV w:val="nil"/>
        </w:tcBorders>
        <w:shd w:color="AUTO" w:fill="7C3AED" w:val="clear"/>
      </w:tcPr>
    </w:tblStylePr>
  </w:style>
  <w:style w:styleId="DarkList-Accent4" w:type="table">
    <w:name w:val="Dark List Accent 4"/>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5B21B6" w:val="clear"/>
      </w:tcPr>
    </w:tblStylePr>
    <w:tblStylePr w:type="lastCol">
      <w:tblPr/>
      <w:tcPr>
        <w:tcBorders>
          <w:top w:val="nil"/>
          <w:left w:color="FFFFFF" w:space="0" w:sz="18" w:val="single"/>
          <w:bottom w:val="nil"/>
          <w:right w:val="nil"/>
          <w:insideH w:val="nil"/>
          <w:insideV w:val="nil"/>
        </w:tcBorders>
        <w:shd w:color="AUTO" w:fill="5B21B6" w:val="clear"/>
      </w:tcPr>
    </w:tblStylePr>
    <w:tblStylePr w:type="band1Vert">
      <w:tblPr/>
      <w:tcPr>
        <w:tcBorders>
          <w:top w:val="nil"/>
          <w:left w:val="nil"/>
          <w:bottom w:val="nil"/>
          <w:right w:val="nil"/>
          <w:insideH w:val="nil"/>
          <w:insideV w:val="nil"/>
        </w:tcBorders>
        <w:shd w:color="AUTO" w:fill="5B21B6" w:val="clear"/>
      </w:tcPr>
    </w:tblStylePr>
    <w:tblStylePr w:type="band1Horz">
      <w:tblPr/>
      <w:tcPr>
        <w:tcBorders>
          <w:top w:val="nil"/>
          <w:left w:val="nil"/>
          <w:bottom w:val="nil"/>
          <w:right w:val="nil"/>
          <w:insideH w:val="nil"/>
          <w:insideV w:val="nil"/>
        </w:tcBorders>
        <w:shd w:color="AUTO" w:fill="5B21B6" w:val="clear"/>
      </w:tcPr>
    </w:tblStylePr>
  </w:style>
  <w:style w:styleId="DarkList-Accent5" w:type="table">
    <w:name w:val="Dark List Accent 5"/>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7C3AED" w:val="clear"/>
      </w:tcPr>
    </w:tblStylePr>
    <w:tblStylePr w:type="lastCol">
      <w:tblPr/>
      <w:tcPr>
        <w:tcBorders>
          <w:top w:val="nil"/>
          <w:left w:color="FFFFFF" w:space="0" w:sz="18" w:val="single"/>
          <w:bottom w:val="nil"/>
          <w:right w:val="nil"/>
          <w:insideH w:val="nil"/>
          <w:insideV w:val="nil"/>
        </w:tcBorders>
        <w:shd w:color="AUTO" w:fill="7C3AED" w:val="clear"/>
      </w:tcPr>
    </w:tblStylePr>
    <w:tblStylePr w:type="band1Vert">
      <w:tblPr/>
      <w:tcPr>
        <w:tcBorders>
          <w:top w:val="nil"/>
          <w:left w:val="nil"/>
          <w:bottom w:val="nil"/>
          <w:right w:val="nil"/>
          <w:insideH w:val="nil"/>
          <w:insideV w:val="nil"/>
        </w:tcBorders>
        <w:shd w:color="AUTO" w:fill="7C3AED" w:val="clear"/>
      </w:tcPr>
    </w:tblStylePr>
    <w:tblStylePr w:type="band1Horz">
      <w:tblPr/>
      <w:tcPr>
        <w:tcBorders>
          <w:top w:val="nil"/>
          <w:left w:val="nil"/>
          <w:bottom w:val="nil"/>
          <w:right w:val="nil"/>
          <w:insideH w:val="nil"/>
          <w:insideV w:val="nil"/>
        </w:tcBorders>
        <w:shd w:color="AUTO" w:fill="7C3AED" w:val="clear"/>
      </w:tcPr>
    </w:tblStylePr>
  </w:style>
  <w:style w:styleId="DarkList-Accent6" w:type="table">
    <w:name w:val="Dark List Accent 6"/>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7C3AED" w:val="clear"/>
      </w:tcPr>
    </w:tblStylePr>
    <w:tblStylePr w:type="lastCol">
      <w:tblPr/>
      <w:tcPr>
        <w:tcBorders>
          <w:top w:val="nil"/>
          <w:left w:color="FFFFFF" w:space="0" w:sz="18" w:val="single"/>
          <w:bottom w:val="nil"/>
          <w:right w:val="nil"/>
          <w:insideH w:val="nil"/>
          <w:insideV w:val="nil"/>
        </w:tcBorders>
        <w:shd w:color="AUTO" w:fill="7C3AED" w:val="clear"/>
      </w:tcPr>
    </w:tblStylePr>
    <w:tblStylePr w:type="band1Vert">
      <w:tblPr/>
      <w:tcPr>
        <w:tcBorders>
          <w:top w:val="nil"/>
          <w:left w:val="nil"/>
          <w:bottom w:val="nil"/>
          <w:right w:val="nil"/>
          <w:insideH w:val="nil"/>
          <w:insideV w:val="nil"/>
        </w:tcBorders>
        <w:shd w:color="AUTO" w:fill="7C3AED" w:val="clear"/>
      </w:tcPr>
    </w:tblStylePr>
    <w:tblStylePr w:type="band1Horz">
      <w:tblPr/>
      <w:tcPr>
        <w:tcBorders>
          <w:top w:val="nil"/>
          <w:left w:val="nil"/>
          <w:bottom w:val="nil"/>
          <w:right w:val="nil"/>
          <w:insideH w:val="nil"/>
          <w:insideV w:val="nil"/>
        </w:tcBorders>
        <w:shd w:color="AUTO" w:fill="7C3AED" w:val="clear"/>
      </w:tcPr>
    </w:tblStylePr>
  </w:style>
  <w:style w:styleId="ColorfulShading" w:type="table">
    <w:name w:val="Colorful Shading"/>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000000" w:space="0" w:sz="4" w:val="single"/>
        <w:bottom w:color="000000" w:space="0" w:sz="4" w:val="single"/>
        <w:right w:color="000000" w:space="0" w:sz="4" w:val="single"/>
        <w:insideH w:color="FFFFFF" w:space="0" w:sz="4" w:val="single"/>
        <w:insideV w:color="FFFFFF" w:space="0" w:sz="4" w:val="single"/>
      </w:tblBorders>
      <w:tblCellMar>
        <w:top w:type="dxa" w:w="0"/>
        <w:left w:type="dxa" w:w="108"/>
        <w:bottom w:type="dxa" w:w="0"/>
        <w:right w:type="dxa" w:w="108"/>
      </w:tblCellMar>
    </w:tblPr>
    <w:tcPr>
      <w:shd w:color="AUTO" w:fill="E6E6E6"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000000" w:val="clear"/>
      </w:tcPr>
    </w:tblStylePr>
    <w:tblStylePr w:type="firstCol">
      <w:rPr>
        <w:color w:val="FFFFFF"/>
      </w:rPr>
      <w:tblPr/>
      <w:tcPr>
        <w:tcBorders>
          <w:top w:val="nil"/>
          <w:left w:val="nil"/>
          <w:bottom w:val="nil"/>
          <w:right w:val="nil"/>
          <w:insideH w:color="000000" w:space="0" w:sz="4" w:val="single"/>
          <w:insideV w:val="nil"/>
        </w:tcBorders>
        <w:shd w:color="AUTO" w:fill="000000" w:val="clear"/>
      </w:tcPr>
    </w:tblStylePr>
    <w:tblStylePr w:type="lastCol">
      <w:rPr>
        <w:color w:val="FFFFFF"/>
      </w:rPr>
      <w:tblPr/>
      <w:tcPr>
        <w:tcBorders>
          <w:top w:val="nil"/>
          <w:left w:val="nil"/>
          <w:bottom w:val="nil"/>
          <w:right w:val="nil"/>
          <w:insideH w:val="nil"/>
          <w:insideV w:val="nil"/>
        </w:tcBorders>
        <w:shd w:color="AUTO" w:fill="000000" w:val="clear"/>
      </w:tcPr>
    </w:tblStylePr>
    <w:tblStylePr w:type="band1Vert">
      <w:tblPr/>
      <w:tcPr>
        <w:shd w:color="AUTO" w:fill="999999" w:val="clear"/>
      </w:tcPr>
    </w:tblStylePr>
    <w:tblStylePr w:type="band1Horz">
      <w:tblPr/>
      <w:tcPr>
        <w:shd w:color="AUTO" w:fill="808080" w:val="clear"/>
      </w:tcPr>
    </w:tblStylePr>
    <w:tblStylePr w:type="neCell">
      <w:rPr>
        <w:color w:val="000000"/>
      </w:rPr>
    </w:tblStylePr>
    <w:tblStylePr w:type="nwCell">
      <w:rPr>
        <w:color w:val="000000"/>
      </w:rPr>
    </w:tblStylePr>
  </w:style>
  <w:style w:styleId="ColorfulShading-Accent1" w:type="table">
    <w:name w:val="Colorful Shading Accent 1"/>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7C3AED"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Shading-Accent2" w:type="table">
    <w:name w:val="Colorful Shading Accent 2"/>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7C3AED"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Shading-Accent3" w:type="table">
    <w:name w:val="Colorful Shading Accent 3"/>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7C3AED" w:val="clear"/>
      </w:tcPr>
    </w:tblStylePr>
    <w:tblStylePr w:type="band1Horz">
      <w:tblPr/>
      <w:tcPr>
        <w:shd w:color="AUTO" w:fill="7C3AED" w:val="clear"/>
      </w:tcPr>
    </w:tblStylePr>
  </w:style>
  <w:style w:styleId="ColorfulShading-Accent4" w:type="table">
    <w:name w:val="Colorful Shading Accent 4"/>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7C3AED"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Shading-Accent5" w:type="table">
    <w:name w:val="Colorful Shading Accent 5"/>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F5F0FF"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Shading-Accent6" w:type="table">
    <w:name w:val="Colorful Shading Accent 6"/>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F5F0FF"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List" w:type="table">
    <w:name w:val="Colorful List"/>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6E6E6" w:val="clear"/>
    </w:tcPr>
    <w:tblStylePr w:type="firstRow">
      <w:rPr>
        <w:b/>
        <w:bCs/>
        <w:color w:val="FFFFFF"/>
      </w:rPr>
      <w:tblPr/>
      <w:tcPr>
        <w:tcBorders>
          <w:bottom w:color="FFFFFF" w:space="0" w:sz="12" w:val="single"/>
        </w:tcBorders>
        <w:shd w:color="AUTO" w:fill="5B21B6" w:val="clear"/>
      </w:tcPr>
    </w:tblStylePr>
    <w:tblStylePr w:type="lastRow">
      <w:rPr>
        <w:b/>
        <w:bCs/>
        <w:color w:val="5B21B6"/>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val="clear"/>
      </w:tcPr>
    </w:tblStylePr>
    <w:tblStylePr w:type="band1Horz">
      <w:tblPr/>
      <w:tcPr>
        <w:shd w:color="AUTO" w:fill="CCCCCC" w:val="clear"/>
      </w:tcPr>
    </w:tblStylePr>
  </w:style>
  <w:style w:styleId="ColorfulList-Accent1" w:type="table">
    <w:name w:val="Colorful List Accent 1"/>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5B21B6" w:val="clear"/>
      </w:tcPr>
    </w:tblStylePr>
    <w:tblStylePr w:type="lastRow">
      <w:rPr>
        <w:b/>
        <w:bCs/>
        <w:color w:val="5B21B6"/>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2" w:type="table">
    <w:name w:val="Colorful List Accent 2"/>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5B21B6" w:val="clear"/>
      </w:tcPr>
    </w:tblStylePr>
    <w:tblStylePr w:type="lastRow">
      <w:rPr>
        <w:b/>
        <w:bCs/>
        <w:color w:val="5B21B6"/>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3" w:type="table">
    <w:name w:val="Colorful List Accent 3"/>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7C3AED" w:val="clear"/>
      </w:tcPr>
    </w:tblStylePr>
    <w:tblStylePr w:type="lastRow">
      <w:rPr>
        <w:b/>
        <w:bCs/>
        <w:color w:val="7C3AED"/>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4" w:type="table">
    <w:name w:val="Colorful List Accent 4"/>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7C3AED" w:val="clear"/>
      </w:tcPr>
    </w:tblStylePr>
    <w:tblStylePr w:type="lastRow">
      <w:rPr>
        <w:b/>
        <w:bCs/>
        <w:color w:val="7C3AED"/>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5" w:type="table">
    <w:name w:val="Colorful List Accent 5"/>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7C3AED" w:val="clear"/>
      </w:tcPr>
    </w:tblStylePr>
    <w:tblStylePr w:type="lastRow">
      <w:rPr>
        <w:b/>
        <w:bCs/>
        <w:color w:val="7C3AED"/>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6" w:type="table">
    <w:name w:val="Colorful List Accent 6"/>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7C3AED" w:val="clear"/>
      </w:tcPr>
    </w:tblStylePr>
    <w:tblStylePr w:type="lastRow">
      <w:rPr>
        <w:b/>
        <w:bCs/>
        <w:color w:val="7C3AED"/>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Grid" w:type="table">
    <w:name w:val="Colorful Grid"/>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CCCCCC" w:val="clear"/>
    </w:tcPr>
    <w:tblStylePr w:type="firstRow">
      <w:rPr>
        <w:b/>
        <w:bCs/>
      </w:rPr>
      <w:tblPr/>
      <w:tcPr>
        <w:shd w:color="AUTO" w:fill="999999" w:val="clear"/>
      </w:tcPr>
    </w:tblStylePr>
    <w:tblStylePr w:type="lastRow">
      <w:rPr>
        <w:b/>
        <w:bCs/>
        <w:color w:val="000000"/>
      </w:rPr>
      <w:tblPr/>
      <w:tcPr>
        <w:shd w:color="AUTO" w:fill="999999" w:val="clear"/>
      </w:tcPr>
    </w:tblStylePr>
    <w:tblStylePr w:type="firstCol">
      <w:rPr>
        <w:color w:val="FFFFFF"/>
      </w:rPr>
      <w:tblPr/>
      <w:tcPr>
        <w:shd w:color="AUTO" w:fill="000000" w:val="clear"/>
      </w:tcPr>
    </w:tblStylePr>
    <w:tblStylePr w:type="lastCol">
      <w:rPr>
        <w:color w:val="FFFFFF"/>
      </w:rPr>
      <w:tblPr/>
      <w:tcPr>
        <w:shd w:color="AUTO" w:fill="000000" w:val="clear"/>
      </w:tcPr>
    </w:tblStylePr>
    <w:tblStylePr w:type="band1Vert">
      <w:tblPr/>
      <w:tcPr>
        <w:shd w:color="AUTO" w:fill="808080" w:val="clear"/>
      </w:tcPr>
    </w:tblStylePr>
    <w:tblStylePr w:type="band1Horz">
      <w:tblPr/>
      <w:tcPr>
        <w:shd w:color="AUTO" w:fill="808080" w:val="clear"/>
      </w:tcPr>
    </w:tblStylePr>
  </w:style>
  <w:style w:styleId="ColorfulGrid-Accent1" w:type="table">
    <w:name w:val="Colorful Grid Accent 1"/>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7C3AED" w:val="clear"/>
      </w:tcPr>
    </w:tblStylePr>
    <w:tblStylePr w:type="lastRow">
      <w:rPr>
        <w:b/>
        <w:bCs/>
        <w:color w:val="000000"/>
      </w:rPr>
      <w:tblPr/>
      <w:tcPr>
        <w:shd w:color="AUTO" w:fill="7C3AED" w:val="clear"/>
      </w:tcPr>
    </w:tblStylePr>
    <w:tblStylePr w:type="firstCol">
      <w:rPr>
        <w:color w:val="FFFFFF"/>
      </w:rPr>
      <w:tblPr/>
      <w:tcPr>
        <w:shd w:color="AUTO" w:fill="5B21B6" w:val="clear"/>
      </w:tcPr>
    </w:tblStylePr>
    <w:tblStylePr w:type="lastCol">
      <w:rPr>
        <w:color w:val="FFFFFF"/>
      </w:rPr>
      <w:tblPr/>
      <w:tcPr>
        <w:shd w:color="AUTO" w:fill="5B21B6" w:val="clear"/>
      </w:tcPr>
    </w:tblStylePr>
    <w:tblStylePr w:type="band1Vert">
      <w:tblPr/>
      <w:tcPr>
        <w:shd w:color="AUTO" w:fill="7C3AED" w:val="clear"/>
      </w:tcPr>
    </w:tblStylePr>
    <w:tblStylePr w:type="band1Horz">
      <w:tblPr/>
      <w:tcPr>
        <w:shd w:color="AUTO" w:fill="7C3AED" w:val="clear"/>
      </w:tcPr>
    </w:tblStylePr>
  </w:style>
  <w:style w:styleId="ColorfulGrid-Accent2" w:type="table">
    <w:name w:val="Colorful Grid Accent 2"/>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7C3AED" w:val="clear"/>
      </w:tcPr>
    </w:tblStylePr>
    <w:tblStylePr w:type="lastRow">
      <w:rPr>
        <w:b/>
        <w:bCs/>
        <w:color w:val="000000"/>
      </w:rPr>
      <w:tblPr/>
      <w:tcPr>
        <w:shd w:color="AUTO" w:fill="7C3AED" w:val="clear"/>
      </w:tcPr>
    </w:tblStylePr>
    <w:tblStylePr w:type="firstCol">
      <w:rPr>
        <w:color w:val="FFFFFF"/>
      </w:rPr>
      <w:tblPr/>
      <w:tcPr>
        <w:shd w:color="AUTO" w:fill="5B21B6" w:val="clear"/>
      </w:tcPr>
    </w:tblStylePr>
    <w:tblStylePr w:type="lastCol">
      <w:rPr>
        <w:color w:val="FFFFFF"/>
      </w:rPr>
      <w:tblPr/>
      <w:tcPr>
        <w:shd w:color="AUTO" w:fill="5B21B6" w:val="clear"/>
      </w:tcPr>
    </w:tblStylePr>
    <w:tblStylePr w:type="band1Vert">
      <w:tblPr/>
      <w:tcPr>
        <w:shd w:color="AUTO" w:fill="7C3AED" w:val="clear"/>
      </w:tcPr>
    </w:tblStylePr>
    <w:tblStylePr w:type="band1Horz">
      <w:tblPr/>
      <w:tcPr>
        <w:shd w:color="AUTO" w:fill="7C3AED" w:val="clear"/>
      </w:tcPr>
    </w:tblStylePr>
  </w:style>
  <w:style w:styleId="ColorfulGrid-Accent3" w:type="table">
    <w:name w:val="Colorful Grid Accent 3"/>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7C3AED" w:val="clear"/>
      </w:tcPr>
    </w:tblStylePr>
    <w:tblStylePr w:type="lastRow">
      <w:rPr>
        <w:b/>
        <w:bCs/>
        <w:color w:val="000000"/>
      </w:rPr>
      <w:tblPr/>
      <w:tcPr>
        <w:shd w:color="AUTO" w:fill="7C3AED" w:val="clear"/>
      </w:tcPr>
    </w:tblStylePr>
    <w:tblStylePr w:type="firstCol">
      <w:rPr>
        <w:color w:val="FFFFFF"/>
      </w:rPr>
      <w:tblPr/>
      <w:tcPr>
        <w:shd w:color="AUTO" w:fill="7C3AED" w:val="clear"/>
      </w:tcPr>
    </w:tblStylePr>
    <w:tblStylePr w:type="lastCol">
      <w:rPr>
        <w:color w:val="FFFFFF"/>
      </w:rPr>
      <w:tblPr/>
      <w:tcPr>
        <w:shd w:color="AUTO" w:fill="7C3AED" w:val="clear"/>
      </w:tcPr>
    </w:tblStylePr>
    <w:tblStylePr w:type="band1Vert">
      <w:tblPr/>
      <w:tcPr>
        <w:shd w:color="AUTO" w:fill="7C3AED" w:val="clear"/>
      </w:tcPr>
    </w:tblStylePr>
    <w:tblStylePr w:type="band1Horz">
      <w:tblPr/>
      <w:tcPr>
        <w:shd w:color="AUTO" w:fill="7C3AED" w:val="clear"/>
      </w:tcPr>
    </w:tblStylePr>
  </w:style>
  <w:style w:styleId="ColorfulGrid-Accent4" w:type="table">
    <w:name w:val="Colorful Grid Accent 4"/>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7C3AED" w:val="clear"/>
      </w:tcPr>
    </w:tblStylePr>
    <w:tblStylePr w:type="lastRow">
      <w:rPr>
        <w:b/>
        <w:bCs/>
        <w:color w:val="000000"/>
      </w:rPr>
      <w:tblPr/>
      <w:tcPr>
        <w:shd w:color="AUTO" w:fill="7C3AED" w:val="clear"/>
      </w:tcPr>
    </w:tblStylePr>
    <w:tblStylePr w:type="firstCol">
      <w:rPr>
        <w:color w:val="FFFFFF"/>
      </w:rPr>
      <w:tblPr/>
      <w:tcPr>
        <w:shd w:color="AUTO" w:fill="5B21B6" w:val="clear"/>
      </w:tcPr>
    </w:tblStylePr>
    <w:tblStylePr w:type="lastCol">
      <w:rPr>
        <w:color w:val="FFFFFF"/>
      </w:rPr>
      <w:tblPr/>
      <w:tcPr>
        <w:shd w:color="AUTO" w:fill="5B21B6" w:val="clear"/>
      </w:tcPr>
    </w:tblStylePr>
    <w:tblStylePr w:type="band1Vert">
      <w:tblPr/>
      <w:tcPr>
        <w:shd w:color="AUTO" w:fill="7C3AED" w:val="clear"/>
      </w:tcPr>
    </w:tblStylePr>
    <w:tblStylePr w:type="band1Horz">
      <w:tblPr/>
      <w:tcPr>
        <w:shd w:color="AUTO" w:fill="7C3AED" w:val="clear"/>
      </w:tcPr>
    </w:tblStylePr>
  </w:style>
  <w:style w:styleId="ColorfulGrid-Accent5" w:type="table">
    <w:name w:val="Colorful Grid Accent 5"/>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F5F0FF" w:val="clear"/>
      </w:tcPr>
    </w:tblStylePr>
    <w:tblStylePr w:type="lastRow">
      <w:rPr>
        <w:b/>
        <w:bCs/>
        <w:color w:val="000000"/>
      </w:rPr>
      <w:tblPr/>
      <w:tcPr>
        <w:shd w:color="AUTO" w:fill="F5F0FF" w:val="clear"/>
      </w:tcPr>
    </w:tblStylePr>
    <w:tblStylePr w:type="firstCol">
      <w:rPr>
        <w:color w:val="FFFFFF"/>
      </w:rPr>
      <w:tblPr/>
      <w:tcPr>
        <w:shd w:color="AUTO" w:fill="7C3AED" w:val="clear"/>
      </w:tcPr>
    </w:tblStylePr>
    <w:tblStylePr w:type="lastCol">
      <w:rPr>
        <w:color w:val="FFFFFF"/>
      </w:rPr>
      <w:tblPr/>
      <w:tcPr>
        <w:shd w:color="AUTO" w:fill="7C3AED" w:val="clear"/>
      </w:tcPr>
    </w:tblStylePr>
    <w:tblStylePr w:type="band1Vert">
      <w:tblPr/>
      <w:tcPr>
        <w:shd w:color="AUTO" w:fill="7C3AED" w:val="clear"/>
      </w:tcPr>
    </w:tblStylePr>
    <w:tblStylePr w:type="band1Horz">
      <w:tblPr/>
      <w:tcPr>
        <w:shd w:color="AUTO" w:fill="7C3AED" w:val="clear"/>
      </w:tcPr>
    </w:tblStylePr>
  </w:style>
  <w:style w:styleId="ColorfulGrid-Accent6" w:type="table">
    <w:name w:val="Colorful Grid Accent 6"/>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F5F0FF" w:val="clear"/>
      </w:tcPr>
    </w:tblStylePr>
    <w:tblStylePr w:type="lastRow">
      <w:rPr>
        <w:b/>
        <w:bCs/>
        <w:color w:val="000000"/>
      </w:rPr>
      <w:tblPr/>
      <w:tcPr>
        <w:shd w:color="AUTO" w:fill="F5F0FF" w:val="clear"/>
      </w:tcPr>
    </w:tblStylePr>
    <w:tblStylePr w:type="firstCol">
      <w:rPr>
        <w:color w:val="FFFFFF"/>
      </w:rPr>
      <w:tblPr/>
      <w:tcPr>
        <w:shd w:color="AUTO" w:fill="7C3AED" w:val="clear"/>
      </w:tcPr>
    </w:tblStylePr>
    <w:tblStylePr w:type="lastCol">
      <w:rPr>
        <w:color w:val="FFFFFF"/>
      </w:rPr>
      <w:tblPr/>
      <w:tcPr>
        <w:shd w:color="AUTO" w:fill="7C3AED" w:val="clear"/>
      </w:tcPr>
    </w:tblStylePr>
    <w:tblStylePr w:type="band1Vert">
      <w:tblPr/>
      <w:tcPr>
        <w:shd w:color="AUTO" w:fill="7C3AED" w:val="clear"/>
      </w:tcPr>
    </w:tblStylePr>
    <w:tblStylePr w:type="band1Horz">
      <w:tblPr/>
      <w:tcPr>
        <w:shd w:color="AUTO" w:fill="7C3AED"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5B21B6"/>
    </w:rPr>
  </w:style>
  <w:style w:type="character" w:customStyle="1" w:styleId="DataTypeTok">
    <w:name w:val="DataTypeTok"/>
    <w:basedOn w:val="VerbatimChar"/>
    <w:rPr>
      <w:color w:val="5B21B6"/>
    </w:rPr>
  </w:style>
  <w:style w:type="character" w:customStyle="1" w:styleId="DecValTok">
    <w:name w:val="DecValTok"/>
    <w:basedOn w:val="VerbatimChar"/>
    <w:rPr>
      <w:color w:val="7C3AED"/>
    </w:rPr>
  </w:style>
  <w:style w:type="character" w:customStyle="1" w:styleId="BaseNTok">
    <w:name w:val="BaseNTok"/>
    <w:basedOn w:val="VerbatimChar"/>
    <w:rPr>
      <w:color w:val="7C3AED"/>
    </w:rPr>
  </w:style>
  <w:style w:type="character" w:customStyle="1" w:styleId="FloatTok">
    <w:name w:val="FloatTok"/>
    <w:basedOn w:val="VerbatimChar"/>
    <w:rPr>
      <w:color w:val="7C3AED"/>
    </w:rPr>
  </w:style>
  <w:style w:type="character" w:customStyle="1" w:styleId="ConstantTok">
    <w:name w:val="ConstantTok"/>
    <w:basedOn w:val="VerbatimChar"/>
    <w:rPr>
      <w:color w:val="5B21B6"/>
    </w:rPr>
  </w:style>
  <w:style w:type="character" w:customStyle="1" w:styleId="CharTok">
    <w:name w:val="CharTok"/>
    <w:basedOn w:val="VerbatimChar"/>
    <w:rPr>
      <w:color w:val="7C3AED"/>
    </w:rPr>
  </w:style>
  <w:style w:type="character" w:customStyle="1" w:styleId="SpecialCharTok">
    <w:name w:val="SpecialCharTok"/>
    <w:basedOn w:val="VerbatimChar"/>
    <w:rPr>
      <w:color w:val="7C3AED"/>
    </w:rPr>
  </w:style>
  <w:style w:type="character" w:customStyle="1" w:styleId="StringTok">
    <w:name w:val="StringTok"/>
    <w:basedOn w:val="VerbatimChar"/>
    <w:rPr>
      <w:color w:val="7C3AED"/>
    </w:rPr>
  </w:style>
  <w:style w:type="character" w:customStyle="1" w:styleId="VerbatimStringTok">
    <w:name w:val="VerbatimStringTok"/>
    <w:basedOn w:val="VerbatimChar"/>
    <w:rPr>
      <w:color w:val="7C3AED"/>
    </w:rPr>
  </w:style>
  <w:style w:type="character" w:customStyle="1" w:styleId="SpecialStringTok">
    <w:name w:val="SpecialStringTok"/>
    <w:basedOn w:val="VerbatimChar"/>
    <w:rPr>
      <w:color w:val="7C3AED"/>
    </w:rPr>
  </w:style>
  <w:style w:type="character" w:customStyle="1" w:styleId="ImportTok">
    <w:name w:val="ImportTok"/>
    <w:basedOn w:val="VerbatimChar"/>
    <w:rPr>
      <w:b/>
      <w:color w:val="5B21B6"/>
    </w:rPr>
  </w:style>
  <w:style w:type="character" w:customStyle="1" w:styleId="CommentTok">
    <w:name w:val="CommentTok"/>
    <w:basedOn w:val="VerbatimChar"/>
    <w:rPr>
      <w:i/>
      <w:color w:val="7C3AED"/>
    </w:rPr>
  </w:style>
  <w:style w:type="character" w:customStyle="1" w:styleId="DocumentationTok">
    <w:name w:val="DocumentationTok"/>
    <w:basedOn w:val="VerbatimChar"/>
    <w:rPr>
      <w:i/>
      <w:color w:val="5B21B6"/>
    </w:rPr>
  </w:style>
  <w:style w:type="character" w:customStyle="1" w:styleId="AnnotationTok">
    <w:name w:val="AnnotationTok"/>
    <w:basedOn w:val="VerbatimChar"/>
    <w:rPr>
      <w:b/>
      <w:i/>
      <w:color w:val="7C3AED"/>
    </w:rPr>
  </w:style>
  <w:style w:type="character" w:customStyle="1" w:styleId="CommentVarTok">
    <w:name w:val="CommentVarTok"/>
    <w:basedOn w:val="VerbatimChar"/>
    <w:rPr>
      <w:b/>
      <w:i/>
      <w:color w:val="7C3AED"/>
    </w:rPr>
  </w:style>
  <w:style w:type="character" w:customStyle="1" w:styleId="OtherTok">
    <w:name w:val="OtherTok"/>
    <w:basedOn w:val="VerbatimChar"/>
    <w:rPr>
      <w:color w:val="5B21B6"/>
    </w:rPr>
  </w:style>
  <w:style w:type="character" w:customStyle="1" w:styleId="FunctionTok">
    <w:name w:val="FunctionTok"/>
    <w:basedOn w:val="VerbatimChar"/>
    <w:rPr>
      <w:color w:val="5B21B6"/>
    </w:rPr>
  </w:style>
  <w:style w:type="character" w:customStyle="1" w:styleId="VariableTok">
    <w:name w:val="VariableTok"/>
    <w:basedOn w:val="VerbatimChar"/>
    <w:rPr>
      <w:color w:val="5B21B6"/>
    </w:rPr>
  </w:style>
  <w:style w:type="character" w:customStyle="1" w:styleId="ControlFlowTok">
    <w:name w:val="ControlFlowTok"/>
    <w:basedOn w:val="VerbatimChar"/>
    <w:rPr>
      <w:b/>
      <w:color w:val="5B21B6"/>
    </w:rPr>
  </w:style>
  <w:style w:type="character" w:customStyle="1" w:styleId="OperatorTok">
    <w:name w:val="OperatorTok"/>
    <w:basedOn w:val="VerbatimChar"/>
    <w:rPr>
      <w:color w:val="666666"/>
    </w:rPr>
  </w:style>
  <w:style w:type="character" w:customStyle="1" w:styleId="BuiltInTok">
    <w:name w:val="BuiltInTok"/>
    <w:basedOn w:val="VerbatimChar"/>
    <w:rPr>
      <w:color w:val="5B21B6"/>
    </w:rPr>
  </w:style>
  <w:style w:type="character" w:customStyle="1" w:styleId="ExtensionTok">
    <w:name w:val="ExtensionTok"/>
    <w:basedOn w:val="VerbatimChar"/>
    <w:rPr/>
  </w:style>
  <w:style w:type="character" w:customStyle="1" w:styleId="PreprocessorTok">
    <w:name w:val="PreprocessorTok"/>
    <w:basedOn w:val="VerbatimChar"/>
    <w:rPr>
      <w:color w:val="7C3AED"/>
    </w:rPr>
  </w:style>
  <w:style w:type="character" w:customStyle="1" w:styleId="AttributeTok">
    <w:name w:val="AttributeTok"/>
    <w:basedOn w:val="VerbatimChar"/>
    <w:rPr>
      <w:color w:val="7C3AED"/>
    </w:rPr>
  </w:style>
  <w:style w:type="character" w:customStyle="1" w:styleId="RegionMarkerTok">
    <w:name w:val="RegionMarkerTok"/>
    <w:basedOn w:val="VerbatimChar"/>
    <w:rPr/>
  </w:style>
  <w:style w:type="character" w:customStyle="1" w:styleId="InformationTok">
    <w:name w:val="InformationTok"/>
    <w:basedOn w:val="VerbatimChar"/>
    <w:rPr>
      <w:b/>
      <w:i/>
      <w:color w:val="7C3AED"/>
    </w:rPr>
  </w:style>
  <w:style w:type="character" w:customStyle="1" w:styleId="WarningTok">
    <w:name w:val="WarningTok"/>
    <w:basedOn w:val="VerbatimChar"/>
    <w:rPr>
      <w:b/>
      <w:i/>
      <w:color w:val="7C3AED"/>
    </w:rPr>
  </w:style>
  <w:style w:type="character" w:customStyle="1" w:styleId="AlertTok">
    <w:name w:val="AlertTok"/>
    <w:basedOn w:val="VerbatimChar"/>
    <w:rPr>
      <w:b/>
      <w:color w:val="5B21B6"/>
    </w:rPr>
  </w:style>
  <w:style w:type="character" w:customStyle="1" w:styleId="ErrorTok">
    <w:name w:val="ErrorTok"/>
    <w:basedOn w:val="VerbatimChar"/>
    <w:rPr>
      <w:b/>
      <w:color w:val="5B21B6"/>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242424"/>
      </a:dk1>
      <a:lt1>
        <a:srgbClr val="FFFFFF"/>
      </a:lt1>
      <a:dk2>
        <a:srgbClr val="3B0764"/>
      </a:dk2>
      <a:lt2>
        <a:srgbClr val="F5F0FF"/>
      </a:lt2>
      <a:accent1>
        <a:srgbClr val="7C3AED"/>
      </a:accent1>
      <a:accent2>
        <a:srgbClr val="5B21B6"/>
      </a:accent2>
      <a:accent3>
        <a:srgbClr val="A855F7"/>
      </a:accent3>
      <a:accent4>
        <a:srgbClr val="C084FC"/>
      </a:accent4>
      <a:accent5>
        <a:srgbClr val="E9D5FF"/>
      </a:accent5>
      <a:accent6>
        <a:srgbClr val="6B21A8"/>
      </a:accent6>
      <a:hlink>
        <a:srgbClr val="7C3AED"/>
      </a:hlink>
      <a:folHlink>
        <a:srgbClr val="7C3AED"/>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2026-10-28T12:59:09Z</dcterms:created>
  <dcterms:modified xsi:type="dcterms:W3CDTF">2026-10-28T12:59:09Z</dcterms:modified>
</cp:coreProperties>
</file>

<file path=docProps/custom.xml><?xml version="1.0" encoding="utf-8"?>
<Properties xmlns="http://schemas.openxmlformats.org/officeDocument/2006/custom-properties" xmlns:vt="http://schemas.openxmlformats.org/officeDocument/2006/docPropsVTypes"/>
</file>