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b w:val="0"/>
          <w:color w:val="E36C0A"/>
        </w:rPr>
        <w:t>Petit Planet｜10 篇官网博客审核说明</w:t>
      </w:r>
    </w:p>
    <w:p>
      <w:r>
        <w:rPr>
          <w:b/>
        </w:rPr>
        <w:t>2026 年 10 月 29 日｜v4｜英文稿件另存为 10 份 Word</w:t>
      </w:r>
    </w:p>
    <w:p>
      <w:pPr>
        <w:pStyle w:val="Heading1"/>
        <w:keepNext/>
      </w:pPr>
      <w:r>
        <w:rPr>
          <w:b w:val="0"/>
          <w:color w:val="E36C0A"/>
        </w:rPr>
        <w:t>审核结论</w:t>
      </w:r>
    </w:p>
    <w:p>
      <w:r>
        <w:rPr>
          <w:b w:val="0"/>
        </w:rPr>
        <w:t>这批材料可以作为官网内容基础，原稿需要实质修订后再用于发布。本版已经完成10篇英文稿修订，保留原段落层级、列表、表格和页面模板，将标题、小标题及表格强调色改为橙色。说明文档用于内部执行，不随博客正文发布。</w:t>
      </w:r>
    </w:p>
    <w:p>
      <w:r>
        <w:rPr>
          <w:b w:val="0"/>
        </w:rPr>
        <w:t>目前日期为10月29日，全球公测尚未开始。因此，核心玩法和玩家兴趣可以介绍，但不能将Petit Planet写成现在已能下载游玩或近期已发行的作品。原“tech”和“recent”两篇已改题和重组，原题对应的时间意图缺口仍然保留。</w:t>
      </w:r>
    </w:p>
    <w:p>
      <w:pPr>
        <w:pStyle w:val="Heading1"/>
        <w:keepNext/>
      </w:pPr>
      <w:r>
        <w:rPr>
          <w:b w:val="0"/>
          <w:color w:val="E36C0A"/>
        </w:rPr>
        <w:t>统一修改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删除极端排名、固定性别受众及同步承诺。适合谁按装饰、种田、探索、角色等兴趣说明；官网稿不提竞品。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统一为2026年12月4日全球公测；Nintendo Switch 2版本计划于2027年登陆，与PC／手机时间分开。多平台支持不推导存档互通或跨平台联机。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替换过时Final Beta招募及Winter 2026笼统窗口；保留官方主页作为预注册、平台信息及后续更新入口，不虚构新的公告URL。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清除未确认的建造工具、地形、角色创建、共同农场、访问权限、后台音频、暂停、任务耗时、帧数、电池和工程实现等表述。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体力存在；不写无肝度、无P2W、所有购买仅外观或商业化公平保证。医学与心理健康效果也不作为卖点。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强化直接回答：首段说明Petit Planet为何与该需求相关，随后用已确认活动、家园、角色、探索和时间平台信息支持；减少与品牌脱节的泛设计论文。</w:t>
      </w:r>
    </w:p>
    <w:p>
      <w:r>
        <w:br w:type="page"/>
      </w:r>
    </w:p>
    <w:p>
      <w:pPr>
        <w:pStyle w:val="Heading1"/>
        <w:keepNext/>
      </w:pPr>
      <w:r>
        <w:rPr>
          <w:b w:val="0"/>
          <w:color w:val="E36C0A"/>
        </w:rPr>
        <w:t>逐篇目标与文件对应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816"/>
        <w:gridCol w:w="1368"/>
        <w:gridCol w:w="3384"/>
      </w:tblGrid>
      <w:tr>
        <w:trPr>
          <w:tblHeader/>
          <w:cantSplit/>
        </w:trPr>
        <w:tc>
          <w:tcPr>
            <w:tcW w:type="dxa" w:w="1512"/>
            <w:shd w:fill="FCE4D6"/>
          </w:tcPr>
          <w:p>
            <w:pPr>
              <w:spacing w:after="40" w:line="240" w:lineRule="auto"/>
            </w:pPr>
            <w:r>
              <w:rPr>
                <w:b/>
                <w:color w:val="000000"/>
                <w:sz w:val="18"/>
              </w:rPr>
              <w:t>原稿主题</w:t>
            </w:r>
          </w:p>
        </w:tc>
        <w:tc>
          <w:tcPr>
            <w:tcW w:type="dxa" w:w="3816"/>
            <w:shd w:fill="FCE4D6"/>
          </w:tcPr>
          <w:p>
            <w:pPr>
              <w:spacing w:after="40" w:line="240" w:lineRule="auto"/>
            </w:pPr>
            <w:r>
              <w:rPr>
                <w:b/>
                <w:color w:val="000000"/>
                <w:sz w:val="18"/>
              </w:rPr>
              <w:t>修订主题</w:t>
            </w:r>
          </w:p>
        </w:tc>
        <w:tc>
          <w:tcPr>
            <w:tcW w:type="dxa" w:w="1368"/>
            <w:shd w:fill="FCE4D6"/>
          </w:tcPr>
          <w:p>
            <w:pPr>
              <w:spacing w:after="40" w:line="240" w:lineRule="auto"/>
            </w:pPr>
            <w:r>
              <w:rPr>
                <w:b/>
                <w:color w:val="000000"/>
                <w:sz w:val="18"/>
              </w:rPr>
              <w:t>主攻</w:t>
            </w:r>
          </w:p>
        </w:tc>
        <w:tc>
          <w:tcPr>
            <w:tcW w:type="dxa" w:w="3384"/>
            <w:shd w:fill="FCE4D6"/>
          </w:tcPr>
          <w:p>
            <w:pPr>
              <w:spacing w:after="40" w:line="240" w:lineRule="auto"/>
            </w:pPr>
            <w:r>
              <w:rPr>
                <w:b/>
                <w:color w:val="000000"/>
                <w:sz w:val="18"/>
              </w:rPr>
              <w:t>辅助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what-is</w:t>
            </w:r>
          </w:p>
        </w:tc>
        <w:tc>
          <w:tcPr>
            <w:tcW w:type="dxa" w:w="3816"/>
          </w:tcPr>
          <w:p>
            <w:pPr>
              <w:spacing w:after="40" w:line="240" w:lineRule="auto"/>
            </w:pPr>
            <w:r>
              <w:rPr>
                <w:sz w:val="18"/>
              </w:rPr>
              <w:t>品牌概览</w:t>
            </w:r>
          </w:p>
        </w:tc>
        <w:tc>
          <w:tcPr>
            <w:tcW w:type="dxa" w:w="1368"/>
          </w:tcPr>
          <w:p>
            <w:pPr>
              <w:spacing w:after="40" w:line="240" w:lineRule="auto"/>
            </w:pPr>
            <w:r>
              <w:rPr>
                <w:sz w:val="18"/>
              </w:rPr>
              <w:t>Q31</w:t>
            </w:r>
          </w:p>
        </w:tc>
        <w:tc>
          <w:tcPr>
            <w:tcW w:type="dxa" w:w="3384"/>
          </w:tcPr>
          <w:p>
            <w:pPr>
              <w:spacing w:after="40" w:line="240" w:lineRule="auto"/>
            </w:pPr>
            <w:r>
              <w:rPr>
                <w:sz w:val="18"/>
              </w:rPr>
              <w:t>Q32、Q36、Q38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audience</w:t>
            </w:r>
          </w:p>
        </w:tc>
        <w:tc>
          <w:tcPr>
            <w:tcW w:type="dxa" w:w="3816"/>
          </w:tcPr>
          <w:p>
            <w:pPr>
              <w:spacing w:after="40" w:line="240" w:lineRule="auto"/>
            </w:pPr>
            <w:r>
              <w:rPr>
                <w:sz w:val="18"/>
              </w:rPr>
              <w:t>按兴趣解释适合谁</w:t>
            </w:r>
          </w:p>
        </w:tc>
        <w:tc>
          <w:tcPr>
            <w:tcW w:type="dxa" w:w="1368"/>
          </w:tcPr>
          <w:p>
            <w:pPr>
              <w:spacing w:after="40" w:line="240" w:lineRule="auto"/>
            </w:pPr>
            <w:r>
              <w:rPr>
                <w:sz w:val="18"/>
              </w:rPr>
              <w:t>Q35</w:t>
            </w:r>
          </w:p>
        </w:tc>
        <w:tc>
          <w:tcPr>
            <w:tcW w:type="dxa" w:w="3384"/>
          </w:tcPr>
          <w:p>
            <w:pPr>
              <w:spacing w:after="40" w:line="240" w:lineRule="auto"/>
            </w:pPr>
            <w:r>
              <w:rPr>
                <w:sz w:val="18"/>
              </w:rPr>
              <w:t>Q2、Q20、Q14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cozy</w:t>
            </w:r>
          </w:p>
        </w:tc>
        <w:tc>
          <w:tcPr>
            <w:tcW w:type="dxa" w:w="3816"/>
          </w:tcPr>
          <w:p>
            <w:pPr>
              <w:spacing w:after="40" w:line="240" w:lineRule="auto"/>
            </w:pPr>
            <w:r>
              <w:rPr>
                <w:sz w:val="18"/>
              </w:rPr>
              <w:t>温暖／cozy生活模拟</w:t>
            </w:r>
          </w:p>
        </w:tc>
        <w:tc>
          <w:tcPr>
            <w:tcW w:type="dxa" w:w="1368"/>
          </w:tcPr>
          <w:p>
            <w:pPr>
              <w:spacing w:after="40" w:line="240" w:lineRule="auto"/>
            </w:pPr>
            <w:r>
              <w:rPr>
                <w:sz w:val="18"/>
              </w:rPr>
              <w:t>Q15、Q2</w:t>
            </w:r>
          </w:p>
        </w:tc>
        <w:tc>
          <w:tcPr>
            <w:tcW w:type="dxa" w:w="3384"/>
          </w:tcPr>
          <w:p>
            <w:pPr>
              <w:spacing w:after="40" w:line="240" w:lineRule="auto"/>
            </w:pPr>
            <w:r>
              <w:rPr>
                <w:sz w:val="18"/>
              </w:rPr>
              <w:t>Q31、Q32、Q35、Q37、Q38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customize</w:t>
            </w:r>
          </w:p>
        </w:tc>
        <w:tc>
          <w:tcPr>
            <w:tcW w:type="dxa" w:w="3816"/>
          </w:tcPr>
          <w:p>
            <w:pPr>
              <w:spacing w:after="40" w:line="240" w:lineRule="auto"/>
            </w:pPr>
            <w:r>
              <w:rPr>
                <w:sz w:val="18"/>
              </w:rPr>
              <w:t>家园与环境自定义</w:t>
            </w:r>
          </w:p>
        </w:tc>
        <w:tc>
          <w:tcPr>
            <w:tcW w:type="dxa" w:w="1368"/>
          </w:tcPr>
          <w:p>
            <w:pPr>
              <w:spacing w:after="40" w:line="240" w:lineRule="auto"/>
            </w:pPr>
            <w:r>
              <w:rPr>
                <w:sz w:val="18"/>
              </w:rPr>
              <w:t>Q20</w:t>
            </w:r>
          </w:p>
        </w:tc>
        <w:tc>
          <w:tcPr>
            <w:tcW w:type="dxa" w:w="3384"/>
          </w:tcPr>
          <w:p>
            <w:pPr>
              <w:spacing w:after="40" w:line="240" w:lineRule="auto"/>
            </w:pPr>
            <w:r>
              <w:rPr>
                <w:sz w:val="18"/>
              </w:rPr>
              <w:t>Q32、Q36、Q38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music</w:t>
            </w:r>
          </w:p>
        </w:tc>
        <w:tc>
          <w:tcPr>
            <w:tcW w:type="dxa" w:w="3816"/>
          </w:tcPr>
          <w:p>
            <w:pPr>
              <w:spacing w:after="40" w:line="240" w:lineRule="auto"/>
            </w:pPr>
            <w:r>
              <w:rPr>
                <w:sz w:val="18"/>
              </w:rPr>
              <w:t>音乐／播客伴随游玩偏好</w:t>
            </w:r>
          </w:p>
        </w:tc>
        <w:tc>
          <w:tcPr>
            <w:tcW w:type="dxa" w:w="1368"/>
          </w:tcPr>
          <w:p>
            <w:pPr>
              <w:spacing w:after="40" w:line="240" w:lineRule="auto"/>
            </w:pPr>
            <w:r>
              <w:rPr>
                <w:sz w:val="18"/>
              </w:rPr>
              <w:t>Q18</w:t>
            </w:r>
          </w:p>
        </w:tc>
        <w:tc>
          <w:tcPr>
            <w:tcW w:type="dxa" w:w="3384"/>
          </w:tcPr>
          <w:p>
            <w:pPr>
              <w:spacing w:after="40" w:line="240" w:lineRule="auto"/>
            </w:pPr>
            <w:r>
              <w:rPr>
                <w:sz w:val="18"/>
              </w:rPr>
              <w:t>Q2、Q15、Q32、Q37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farming-social</w:t>
            </w:r>
          </w:p>
        </w:tc>
        <w:tc>
          <w:tcPr>
            <w:tcW w:type="dxa" w:w="3816"/>
          </w:tcPr>
          <w:p>
            <w:pPr>
              <w:spacing w:after="40" w:line="240" w:lineRule="auto"/>
            </w:pPr>
            <w:r>
              <w:rPr>
                <w:sz w:val="18"/>
              </w:rPr>
              <w:t>种田＋角色／玩家社交</w:t>
            </w:r>
          </w:p>
        </w:tc>
        <w:tc>
          <w:tcPr>
            <w:tcW w:type="dxa" w:w="1368"/>
          </w:tcPr>
          <w:p>
            <w:pPr>
              <w:spacing w:after="40" w:line="240" w:lineRule="auto"/>
            </w:pPr>
            <w:r>
              <w:rPr>
                <w:sz w:val="18"/>
              </w:rPr>
              <w:t>Q14</w:t>
            </w:r>
          </w:p>
        </w:tc>
        <w:tc>
          <w:tcPr>
            <w:tcW w:type="dxa" w:w="3384"/>
          </w:tcPr>
          <w:p>
            <w:pPr>
              <w:spacing w:after="40" w:line="240" w:lineRule="auto"/>
            </w:pPr>
            <w:r>
              <w:rPr>
                <w:sz w:val="18"/>
              </w:rPr>
              <w:t>Q32、Q36、Q37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tech</w:t>
            </w:r>
          </w:p>
        </w:tc>
        <w:tc>
          <w:tcPr>
            <w:tcW w:type="dxa" w:w="3816"/>
          </w:tcPr>
          <w:p>
            <w:pPr>
              <w:spacing w:after="40" w:line="240" w:lineRule="auto"/>
            </w:pPr>
            <w:r>
              <w:rPr>
                <w:sz w:val="18"/>
              </w:rPr>
              <w:t>核心玩法与体验</w:t>
            </w:r>
          </w:p>
        </w:tc>
        <w:tc>
          <w:tcPr>
            <w:tcW w:type="dxa" w:w="1368"/>
          </w:tcPr>
          <w:p>
            <w:pPr>
              <w:spacing w:after="40" w:line="240" w:lineRule="auto"/>
            </w:pPr>
            <w:r>
              <w:rPr>
                <w:sz w:val="18"/>
              </w:rPr>
              <w:t>Q36、Q32</w:t>
            </w:r>
          </w:p>
        </w:tc>
        <w:tc>
          <w:tcPr>
            <w:tcW w:type="dxa" w:w="3384"/>
          </w:tcPr>
          <w:p>
            <w:pPr>
              <w:spacing w:after="40" w:line="240" w:lineRule="auto"/>
            </w:pPr>
            <w:r>
              <w:rPr>
                <w:sz w:val="18"/>
              </w:rPr>
              <w:t>Q37、Q35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mobile</w:t>
            </w:r>
          </w:p>
        </w:tc>
        <w:tc>
          <w:tcPr>
            <w:tcW w:type="dxa" w:w="3816"/>
          </w:tcPr>
          <w:p>
            <w:pPr>
              <w:spacing w:after="40" w:line="240" w:lineRule="auto"/>
            </w:pPr>
            <w:r>
              <w:rPr>
                <w:sz w:val="18"/>
              </w:rPr>
              <w:t>移动端种田</w:t>
            </w:r>
          </w:p>
        </w:tc>
        <w:tc>
          <w:tcPr>
            <w:tcW w:type="dxa" w:w="1368"/>
          </w:tcPr>
          <w:p>
            <w:pPr>
              <w:spacing w:after="40" w:line="240" w:lineRule="auto"/>
            </w:pPr>
            <w:r>
              <w:rPr>
                <w:sz w:val="18"/>
              </w:rPr>
              <w:t>Q5</w:t>
            </w:r>
          </w:p>
        </w:tc>
        <w:tc>
          <w:tcPr>
            <w:tcW w:type="dxa" w:w="3384"/>
          </w:tcPr>
          <w:p>
            <w:pPr>
              <w:spacing w:after="40" w:line="240" w:lineRule="auto"/>
            </w:pPr>
            <w:r>
              <w:rPr>
                <w:sz w:val="18"/>
              </w:rPr>
              <w:t>Q2、Q14、Q20、Q32、Q35、Q36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recent</w:t>
            </w:r>
          </w:p>
        </w:tc>
        <w:tc>
          <w:tcPr>
            <w:tcW w:type="dxa" w:w="3816"/>
          </w:tcPr>
          <w:p>
            <w:pPr>
              <w:spacing w:after="40" w:line="240" w:lineRule="auto"/>
            </w:pPr>
            <w:r>
              <w:rPr>
                <w:sz w:val="18"/>
              </w:rPr>
              <w:t>公测预览与平台计划</w:t>
            </w:r>
          </w:p>
        </w:tc>
        <w:tc>
          <w:tcPr>
            <w:tcW w:type="dxa" w:w="1368"/>
          </w:tcPr>
          <w:p>
            <w:pPr>
              <w:spacing w:after="40" w:line="240" w:lineRule="auto"/>
            </w:pPr>
            <w:r>
              <w:rPr>
                <w:sz w:val="18"/>
              </w:rPr>
              <w:t>Q31、Q32</w:t>
            </w:r>
          </w:p>
        </w:tc>
        <w:tc>
          <w:tcPr>
            <w:tcW w:type="dxa" w:w="3384"/>
          </w:tcPr>
          <w:p>
            <w:pPr>
              <w:spacing w:after="40" w:line="240" w:lineRule="auto"/>
            </w:pPr>
            <w:r>
              <w:rPr>
                <w:sz w:val="18"/>
              </w:rPr>
              <w:t>Q35、Q38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line="240" w:lineRule="auto"/>
            </w:pPr>
            <w:r>
              <w:rPr>
                <w:sz w:val="18"/>
              </w:rPr>
              <w:t>art</w:t>
            </w:r>
          </w:p>
        </w:tc>
        <w:tc>
          <w:tcPr>
            <w:tcW w:type="dxa" w:w="3816"/>
          </w:tcPr>
          <w:p>
            <w:pPr>
              <w:spacing w:after="40" w:line="240" w:lineRule="auto"/>
            </w:pPr>
            <w:r>
              <w:rPr>
                <w:sz w:val="18"/>
              </w:rPr>
              <w:t>视觉风格与世界</w:t>
            </w:r>
          </w:p>
        </w:tc>
        <w:tc>
          <w:tcPr>
            <w:tcW w:type="dxa" w:w="1368"/>
          </w:tcPr>
          <w:p>
            <w:pPr>
              <w:spacing w:after="40" w:line="240" w:lineRule="auto"/>
            </w:pPr>
            <w:r>
              <w:rPr>
                <w:sz w:val="18"/>
              </w:rPr>
              <w:t>Q7</w:t>
            </w:r>
          </w:p>
        </w:tc>
        <w:tc>
          <w:tcPr>
            <w:tcW w:type="dxa" w:w="3384"/>
          </w:tcPr>
          <w:p>
            <w:pPr>
              <w:spacing w:after="40" w:line="240" w:lineRule="auto"/>
            </w:pPr>
            <w:r>
              <w:rPr>
                <w:sz w:val="18"/>
              </w:rPr>
              <w:t>Q2、Q20、Q34、Q35、Q38</w:t>
            </w:r>
          </w:p>
        </w:tc>
      </w:tr>
    </w:tbl>
    <w:p>
      <w:pPr>
        <w:spacing w:after="40"/>
      </w:pPr>
      <w:r>
        <w:rPr>
          <w:b w:val="0"/>
          <w:color w:val="666666"/>
          <w:sz w:val="18"/>
        </w:rPr>
        <w:t>主攻与辅助表示内容关联，不表示已获得AI引用、所有子条件均已满足或合同指标已达成。单品牌官网文章可以提供相关答案，不包装成独立媒体的多游戏排名。</w:t>
      </w:r>
    </w:p>
    <w:p>
      <w:pPr>
        <w:pStyle w:val="Heading1"/>
        <w:keepNext/>
      </w:pPr>
      <w:r>
        <w:rPr>
          <w:b w:val="0"/>
          <w:color w:val="E36C0A"/>
        </w:rPr>
        <w:t>需要保留的覆盖限制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原tech的“right now”和原recent的“recently released”与公测前状态冲突。修订后分别作为核心玩法页和公测预览页；不再计算为Q3／Q13／Q24的完整当前可玩／已发行覆盖。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音乐／播客稿主攻Q18，依据活动选择与注意力偏好，不保证后台播放、暂停或固定时长任务。不能据此完整覆盖Q8的短时完成或Q19的共同经营需求。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家园稿不保证全沙盒、无限自定义或具体编辑器工具；社交稿不保证恋爱、深度NPC对话、共同农场或跨端联机。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不为覆盖Q4而使用固定性别受众定位；审美偏好不转换成客观画质排名。</w:t>
      </w:r>
    </w:p>
    <w:p>
      <w:pPr>
        <w:pStyle w:val="Heading1"/>
        <w:keepNext/>
      </w:pPr>
      <w:r>
        <w:rPr>
          <w:b w:val="0"/>
          <w:color w:val="E36C0A"/>
        </w:rPr>
        <w:t>官网发布结构建议</w:t>
      </w:r>
    </w:p>
    <w:p>
      <w:r>
        <w:rPr>
          <w:b w:val="0"/>
        </w:rPr>
        <w:t>10篇并不等于10个互不重叠的搜索意图。品牌概览、核心玩法和公测预览存在内容交集：建议分别明确为“认识游戏”“了解玩法”“了解时间和平台”，并用清楚的内部链接连接。若上线前仍缺乏独立信息，合并重复段落比重复发布相似概述更合适。</w:t>
      </w:r>
    </w:p>
    <w:p>
      <w:r>
        <w:rPr>
          <w:b w:val="0"/>
        </w:rPr>
        <w:t>正文用可读取的HTML文字、清楚的H1／H2和原生表格发布；图片附与实际内容相符的说明。保留官方资料链接，标题与正文一致。无需为了贴题而反复堆叠同一组关键词。</w:t>
      </w:r>
    </w:p>
    <w:p>
      <w:r>
        <w:br w:type="page"/>
      </w:r>
    </w:p>
    <w:p>
      <w:pPr>
        <w:pStyle w:val="Heading1"/>
        <w:keepNext/>
      </w:pPr>
      <w:r>
        <w:rPr>
          <w:b w:val="0"/>
          <w:color w:val="E36C0A"/>
        </w:rPr>
        <w:t>逐篇修改与边界</w:t>
      </w:r>
    </w:p>
    <w:p>
      <w:pPr>
        <w:pStyle w:val="Heading2"/>
        <w:keepNext/>
      </w:pPr>
      <w:r>
        <w:rPr>
          <w:b w:val="0"/>
          <w:color w:val="E36C0A"/>
        </w:rPr>
        <w:t>品牌概览</w:t>
      </w:r>
    </w:p>
    <w:p>
      <w:pPr>
        <w:spacing w:after="40"/>
      </w:pPr>
      <w:r>
        <w:rPr>
          <w:b w:val="0"/>
          <w:color w:val="666666"/>
          <w:sz w:val="18"/>
        </w:rPr>
        <w:t>文件：Petit-Planet-What-is-Petit-Planet-v4.docx</w:t>
      </w:r>
    </w:p>
    <w:p>
      <w:r>
        <w:rPr>
          <w:b w:val="0"/>
        </w:rPr>
        <w:t>适合作为官网Q31基础解释页；开头直接回答品类、开发发行、家园与探索，再以具体活动、社交、平台和公测信息支持Q32／Q36／Q38。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将过时的Final Beta进行中／招募与Winter 2026窗口统一更新为2026年12月4日全球公测；加入Nintendo Switch 2计划2027年。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重写平台段与总览表，将设备／商店关系讲清，未推导跨端同步或跨平台联机。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删除未获FAQ支持的单人玩法保证、具体漂流木／配方／路径细节及过度安全警告；保留明确的活动、世界术语与社交区别。</w:t>
      </w:r>
    </w:p>
    <w:p>
      <w:pPr>
        <w:pStyle w:val="Heading2"/>
        <w:keepNext/>
      </w:pPr>
      <w:r>
        <w:rPr>
          <w:b w:val="0"/>
          <w:color w:val="E36C0A"/>
        </w:rPr>
        <w:t>按兴趣解释适合谁</w:t>
      </w:r>
    </w:p>
    <w:p>
      <w:pPr>
        <w:spacing w:after="40"/>
      </w:pPr>
      <w:r>
        <w:rPr>
          <w:b w:val="0"/>
          <w:color w:val="666666"/>
          <w:sz w:val="18"/>
        </w:rPr>
        <w:t>文件：Petit-Planet-Who-is-Petit-Planet-for-v4.docx</w:t>
      </w:r>
    </w:p>
    <w:p>
      <w:r>
        <w:rPr>
          <w:b w:val="0"/>
        </w:rPr>
        <w:t>标题与首段直接回答Q35，按玩家兴趣分段，并用已确认活动支持Q2／Q20／Q14；不为覆盖Q4而添加固定女性受众。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标题由Who is Petit Planet best suited for?改为Who is Petit Planet for?；移除正文best及官方官网不宜出现的竞品名称。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受众全部按玩法／体验兴趣表达，不限定性别。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删除过期Final Beta招募和“2个yes即可判断”的伪量化试用建议；更新公测日期并加入Nintendo Switch 2计划2027年。</w:t>
      </w:r>
    </w:p>
    <w:p>
      <w:pPr>
        <w:pStyle w:val="Heading2"/>
        <w:keepNext/>
      </w:pPr>
      <w:r>
        <w:rPr>
          <w:b w:val="0"/>
          <w:color w:val="E36C0A"/>
        </w:rPr>
        <w:t>温暖／cozy生活模拟</w:t>
      </w:r>
    </w:p>
    <w:p>
      <w:pPr>
        <w:spacing w:after="40"/>
      </w:pPr>
      <w:r>
        <w:rPr>
          <w:b w:val="0"/>
          <w:color w:val="666666"/>
          <w:sz w:val="18"/>
        </w:rPr>
        <w:t>文件：Petit-Planet-Warm-cozy-galactic-life-sim-v4.docx</w:t>
      </w:r>
    </w:p>
    <w:p>
      <w:r>
        <w:rPr>
          <w:b w:val="0"/>
        </w:rPr>
        <w:t>主题直接对应温暖、放松的cozy游戏推荐，适合官网承接非品牌需求。原稿后半偏通用设计论文且混入未证实的身心健康、音频、界面及安全工具结论；本版改为用Petit Planet已确认的活动、角色、家园与探索解释其cozy定位，保留清楚的品牌—需求—玩法关系。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移除best及极端排序，不使用固定性别受众或竞品名称。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将Final Beta进行中／Winter 2026改成2026年12月4日全球公测；平台节注明Nintendo Switch 2计划2027年。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移除跨设备随处接续的暗示，分开PC、移动平台与后续主机计划。</w:t>
      </w:r>
    </w:p>
    <w:p>
      <w:pPr>
        <w:pStyle w:val="Heading2"/>
        <w:keepNext/>
      </w:pPr>
      <w:r>
        <w:rPr>
          <w:b w:val="0"/>
          <w:color w:val="E36C0A"/>
        </w:rPr>
        <w:t>家园与环境自定义</w:t>
      </w:r>
    </w:p>
    <w:p>
      <w:pPr>
        <w:spacing w:after="40"/>
      </w:pPr>
      <w:r>
        <w:rPr>
          <w:b w:val="0"/>
          <w:color w:val="666666"/>
          <w:sz w:val="18"/>
        </w:rPr>
        <w:t>文件：Petit-Planet-Customize-your-home-or-environment-v4.docx</w:t>
      </w:r>
    </w:p>
    <w:p>
      <w:r>
        <w:rPr>
          <w:b w:val="0"/>
        </w:rPr>
        <w:t>可作为Q20的官网品牌答案页，但原文的泛建造技术和跨端同步清单会使AI误归因。修订后首段直接回答家园／环境自定义需求，明确可建造装饰的是自己的星球，并用活动、角色、探索和平台信息形成可独立抽取的事实段。标题不冒充多款游戏清单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将泛编辑器、snapping、collision、terrain／weather、avatar、permissions、性能后端等未证实细节改为已确认的星球建造装饰与生活模拟内容。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删除progress synced across devices及可能暗示跨端同步的评估清单。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删除best-decorated、唯一推荐等排名／绝对倾向表达，统一为按兴趣选择。</w:t>
      </w:r>
    </w:p>
    <w:p>
      <w:pPr>
        <w:pStyle w:val="Heading2"/>
        <w:keepNext/>
      </w:pPr>
      <w:r>
        <w:rPr>
          <w:b w:val="0"/>
          <w:color w:val="E36C0A"/>
        </w:rPr>
        <w:t>音乐／播客伴随游玩偏好</w:t>
      </w:r>
    </w:p>
    <w:p>
      <w:pPr>
        <w:spacing w:after="40"/>
      </w:pPr>
      <w:r>
        <w:rPr>
          <w:b w:val="0"/>
          <w:color w:val="666666"/>
          <w:sz w:val="18"/>
        </w:rPr>
        <w:t>文件：Petit-Planet-Music-and-podcasts-games-v4.docx</w:t>
      </w:r>
    </w:p>
    <w:p>
      <w:r>
        <w:rPr>
          <w:b w:val="0"/>
        </w:rPr>
        <w:t>直接承接听音乐／播客时玩什么游戏的需求，并以Petit Planet日常活动和家园装饰作为可考虑的兴趣方向。原稿用暂停、固定任务时长、无惩罚、跨设备音频和今晚可玩等未确认条件支撑推荐；这些已移除。本稿提供活动选择与注意力取舍，不把未确认的后台播放或暂停能力当成游戏卖点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删除best、perfectly等绝对表述，保留清楚但有条件的音乐／播客场景。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移除pause-anytime、无暂停惩罚、10–30分钟／3–10分钟任务和固定钓鱼点数等承诺。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删除跨端续玩及同设备后台播放能力暗示，平台只说明PC、iOS和Android，并标注Nintendo Switch 2计划2027年。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Q18只能以游戏活动和个人偏好进行内容覆盖；目前没有后台音频、音频混合、暂停或多设备续玩功能的官方依据。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不将本稿算作Q8固定短时段完成、Q19共享农场／同步联机或长期内容量的完整回答。</w:t>
      </w:r>
    </w:p>
    <w:p>
      <w:pPr>
        <w:pStyle w:val="Heading2"/>
        <w:keepNext/>
      </w:pPr>
      <w:r>
        <w:rPr>
          <w:b w:val="0"/>
          <w:color w:val="E36C0A"/>
        </w:rPr>
        <w:t>种田＋角色／玩家社交</w:t>
      </w:r>
    </w:p>
    <w:p>
      <w:pPr>
        <w:spacing w:after="40"/>
      </w:pPr>
      <w:r>
        <w:rPr>
          <w:b w:val="0"/>
          <w:color w:val="666666"/>
          <w:sz w:val="18"/>
        </w:rPr>
        <w:t>文件：Petit-Planet-Farming-and-social-play-v4.docx</w:t>
      </w:r>
    </w:p>
    <w:p>
      <w:r>
        <w:rPr>
          <w:b w:val="0"/>
        </w:rPr>
        <w:t>原稿主题贴合Q14，但竞争性贬低、七日计划和混淆角色／玩家的操作会削弱官网事实可信度。修订后首段直接说明种田＋社交组合，分开Neighbors与Galactic Bazaar，保留家园、日常活动和探索关系；不把Q14中的social擅自扩写为共同农场或恋爱。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删除对其他游戏“孤独／无事可做”的泛化比较，保持官方品牌内容不提竞品。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移除10–30分钟完成、无惩罚、无肝度、收获必定转装饰、指定家具与路径等未经证实表述。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将固定七日开荒与结交朋友承诺改为按已确认活动了解兴趣，修正到Bazaar添加Neighbors的混淆。</w:t>
      </w:r>
    </w:p>
    <w:p>
      <w:pPr>
        <w:pStyle w:val="Heading2"/>
        <w:keepNext/>
      </w:pPr>
      <w:r>
        <w:rPr>
          <w:b w:val="0"/>
          <w:color w:val="E36C0A"/>
        </w:rPr>
        <w:t>核心玩法与体验</w:t>
      </w:r>
    </w:p>
    <w:p>
      <w:pPr>
        <w:spacing w:after="40"/>
      </w:pPr>
      <w:r>
        <w:rPr>
          <w:b w:val="0"/>
          <w:color w:val="666666"/>
          <w:sz w:val="18"/>
        </w:rPr>
        <w:t>文件：Petit-Planet-Core-features-and-everyday-play-v4.docx</w:t>
      </w:r>
    </w:p>
    <w:p>
      <w:r>
        <w:rPr>
          <w:b w:val="0"/>
        </w:rPr>
        <w:t>原稿以right now技术指南包装未开放作品，品牌段与泛技术知识脱节，并无技术资料支撑。已改为直接介绍Petit Planet核心玩法、世界结构、社交与平台计划的官网稿；可支持Q32/Q36，不再假称回答当前可玩作品推荐。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标题去掉right now及未证实tech定位，重构为核心功能说明。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删除FTUE／触控／触觉反馈／实时运营／留存／安全工具等未经项目证实的设计或工程结论。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区分Neighbors角色与Galactic Bazaar玩家朋友；统一planet、Starsea、Islets术语。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截至2026年10月29日，Q3“right now”、Q24“best ... right now”的当前可玩意图不能由该未来公测稿完整覆盖。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未获得可公开的引擎、触控、服务器、跨端同步、性能或安全工具资料，不写成Petit Planet功能。</w:t>
      </w:r>
    </w:p>
    <w:p>
      <w:pPr>
        <w:pStyle w:val="Heading2"/>
        <w:keepNext/>
      </w:pPr>
      <w:r>
        <w:rPr>
          <w:b w:val="0"/>
          <w:color w:val="E36C0A"/>
        </w:rPr>
        <w:t>移动端种田</w:t>
      </w:r>
    </w:p>
    <w:p>
      <w:pPr>
        <w:spacing w:after="40"/>
      </w:pPr>
      <w:r>
        <w:rPr>
          <w:b w:val="0"/>
          <w:color w:val="666666"/>
          <w:sz w:val="18"/>
        </w:rPr>
        <w:t>文件：Petit-Planet-Fun-farming-games-on-mobile-v4.docx</w:t>
      </w:r>
    </w:p>
    <w:p>
      <w:r>
        <w:rPr>
          <w:b w:val="0"/>
        </w:rPr>
        <w:t>可以围绕Q5形成有用的官网答案，但原稿的大量通用选购／设计建议与Petit Planet功能边界混在一起。改稿以前段直接说明“移动端上的种田属于cozy life sim”、明确未来公测，再以家园、日常活动、探索及社交解释适合何种兴趣。两张表均改为已确认活动和官方资料入口。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移除所有best与极端推荐，未保留女性固定受众表述。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移除cross-progression及跨端同步暗示，平台仅写公布的设备与渠道。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以2026年12月4日全球公测更新过时Final Beta／Winter 2026；Nintendo Switch 2计划2027年单列。</w:t>
      </w:r>
    </w:p>
    <w:p>
      <w:pPr>
        <w:pStyle w:val="Heading2"/>
        <w:keepNext/>
      </w:pPr>
      <w:r>
        <w:rPr>
          <w:b w:val="0"/>
          <w:color w:val="E36C0A"/>
        </w:rPr>
        <w:t>公测预览与平台计划</w:t>
      </w:r>
    </w:p>
    <w:p>
      <w:pPr>
        <w:spacing w:after="40"/>
      </w:pPr>
      <w:r>
        <w:rPr>
          <w:b w:val="0"/>
          <w:color w:val="666666"/>
          <w:sz w:val="18"/>
        </w:rPr>
        <w:t>文件：Petit-Planet-Global-open-beta-and-platform-plans-v4.docx</w:t>
      </w:r>
    </w:p>
    <w:p>
      <w:r>
        <w:rPr>
          <w:b w:val="0"/>
        </w:rPr>
        <w:t>原稿的recently released意图与尚待12月4日全球公测的Petit Planet不匹配，且大段推荐竞品、讨论未经证实的技术。现改成未来公测预览和参与信息，围绕已确认玩法及时间回答新读者的问题；Q13仍有覆盖缺口。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将标题及导语由已发行榜单改为December 4全球公测预览。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删除所有竞品名称、推荐清单与未经核对的发行事实，符合官方品牌内容规范。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删除state sync／cloud save、世界流送、实例化、社会安全、季节运营与付费公平性推断。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Q13“recently released simulation or management games”要求已发行作品；本稿在公测前不能完整满足，也不应伪装已发行榜单。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由于官方官网不提竞品，不能保留原稿多款游戏的比较／榜单结构。</w:t>
      </w:r>
    </w:p>
    <w:p>
      <w:pPr>
        <w:pStyle w:val="Heading2"/>
        <w:keepNext/>
      </w:pPr>
      <w:r>
        <w:rPr>
          <w:b w:val="0"/>
          <w:color w:val="E36C0A"/>
        </w:rPr>
        <w:t>视觉风格与世界</w:t>
      </w:r>
    </w:p>
    <w:p>
      <w:pPr>
        <w:spacing w:after="40"/>
      </w:pPr>
      <w:r>
        <w:rPr>
          <w:b w:val="0"/>
          <w:color w:val="666666"/>
          <w:sz w:val="18"/>
        </w:rPr>
        <w:t>文件：Petit-Planet-Beautiful-art-styles-v4.docx</w:t>
      </w:r>
    </w:p>
    <w:p>
      <w:r>
        <w:rPr>
          <w:b w:val="0"/>
        </w:rPr>
        <w:t>Q7适合以官方已确认的cute/charming/whimsical视觉、自己的小星球及Starsea世界解释推荐理由。原稿更像通用美术技术选购文章，容易引入未经确认的工具与性能承诺；改稿将视觉与实际生活活动、角色、探索相连，Q34和Q38也更直接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移除best、the one等排行／唯一推荐语气；不固定性别受众。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以官方视觉形容词和世界／玩法关系替代材质、PBR、光照、相机、粒子、摄影模式及帧率的无依据技术论述。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移除共同探索、朋友访问装修空间、可调户外灯光等未确认玩法与社交暗示。</w:t>
      </w:r>
    </w:p>
    <w:p>
      <w:pPr>
        <w:pStyle w:val="Heading1"/>
        <w:keepNext/>
      </w:pPr>
      <w:r>
        <w:rPr>
          <w:b w:val="0"/>
          <w:color w:val="E36C0A"/>
        </w:rPr>
        <w:t>上线后的验证</w:t>
      </w:r>
    </w:p>
    <w:p>
      <w:r>
        <w:rPr>
          <w:b w:val="0"/>
        </w:rPr>
        <w:t>本次已完成稿件文字、事实、模板和颜色检查，不表示已经部署官网或获得搜索收录。发布后记录实际URL、标题、日期及主攻prompt，用内部GEO工具按相同地区、模型和题目复测，分别观察提及、推荐、引用及准确性。标题和结构优化不保证引用或排名提升。12月4日之后发布或更新时，重新核对时态和平台可用状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2026/10/29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77777"/>
        <w:sz w:val="16"/>
      </w:rPr>
      <w:t>PETIT PLANET  |  Official blog review · 2026/10/29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8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E36C0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E36C0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E36C0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E36C0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E36C0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E36C0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E36C0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E36C0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E36C0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E36C0A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E36C0A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E36C0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E36C0A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 w:eastAsia="Noto Sans CJK SC"/>
      <w:color w:val="E36C0A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E36C0A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E36C0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E36C0A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E36C0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E36C0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E36C0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E36C0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E36C0A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E36C0A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E36C0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E36C0A"/>
      </w:pBdr>
      <w:spacing w:before="200" w:after="280"/>
      <w:ind w:left="936" w:right="936"/>
    </w:pPr>
    <w:rPr>
      <w:b/>
      <w:bCs/>
      <w:i/>
      <w:iCs/>
      <w:color w:val="E36C0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E36C0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E36C0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E36C0A"/>
        <w:bottom w:val="single" w:sz="8" w:space="0" w:color="E36C0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6C0A"/>
          <w:left w:val="nil"/>
          <w:bottom w:val="single" w:sz="8" w:space="0" w:color="E36C0A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6C0A"/>
          <w:left w:val="nil"/>
          <w:bottom w:val="single" w:sz="8" w:space="0" w:color="E36C0A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36C0A"/>
        <w:left w:val="single" w:sz="8" w:space="0" w:color="E36C0A"/>
        <w:bottom w:val="single" w:sz="8" w:space="0" w:color="E36C0A"/>
        <w:right w:val="single" w:sz="8" w:space="0" w:color="E36C0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CE4D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6C0A"/>
          <w:left w:val="single" w:sz="8" w:space="0" w:color="E36C0A"/>
          <w:bottom w:val="single" w:sz="8" w:space="0" w:color="E36C0A"/>
          <w:right w:val="single" w:sz="8" w:space="0" w:color="E36C0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6C0A"/>
          <w:left w:val="single" w:sz="8" w:space="0" w:color="E36C0A"/>
          <w:bottom w:val="single" w:sz="8" w:space="0" w:color="E36C0A"/>
          <w:right w:val="single" w:sz="8" w:space="0" w:color="E36C0A"/>
        </w:tcBorders>
      </w:tcPr>
    </w:tblStylePr>
    <w:tblStylePr w:type="band1Horz">
      <w:tblPr/>
      <w:tcPr>
        <w:tcBorders>
          <w:top w:val="single" w:sz="8" w:space="0" w:color="E36C0A"/>
          <w:left w:val="single" w:sz="8" w:space="0" w:color="E36C0A"/>
          <w:bottom w:val="single" w:sz="8" w:space="0" w:color="E36C0A"/>
          <w:right w:val="single" w:sz="8" w:space="0" w:color="E36C0A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36C0A"/>
        <w:left w:val="single" w:sz="8" w:space="0" w:color="E36C0A"/>
        <w:bottom w:val="single" w:sz="8" w:space="0" w:color="E36C0A"/>
        <w:right w:val="single" w:sz="8" w:space="0" w:color="E36C0A"/>
        <w:insideH w:val="single" w:sz="8" w:space="0" w:color="E36C0A"/>
        <w:insideV w:val="single" w:sz="8" w:space="0" w:color="E36C0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6C0A"/>
          <w:left w:val="single" w:sz="8" w:space="0" w:color="E36C0A"/>
          <w:bottom w:val="single" w:sz="18" w:space="0" w:color="E36C0A"/>
          <w:right w:val="single" w:sz="8" w:space="0" w:color="E36C0A"/>
          <w:insideH w:val="nil"/>
          <w:insideV w:val="single" w:sz="8" w:space="0" w:color="E36C0A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6C0A"/>
          <w:left w:val="single" w:sz="8" w:space="0" w:color="E36C0A"/>
          <w:bottom w:val="single" w:sz="8" w:space="0" w:color="E36C0A"/>
          <w:right w:val="single" w:sz="8" w:space="0" w:color="E36C0A"/>
          <w:insideH w:val="nil"/>
          <w:insideV w:val="single" w:sz="8" w:space="0" w:color="E36C0A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6C0A"/>
          <w:left w:val="single" w:sz="8" w:space="0" w:color="E36C0A"/>
          <w:bottom w:val="single" w:sz="8" w:space="0" w:color="E36C0A"/>
          <w:right w:val="single" w:sz="8" w:space="0" w:color="E36C0A"/>
        </w:tcBorders>
      </w:tcPr>
    </w:tblStylePr>
    <w:tblStylePr w:type="band1Vert">
      <w:tblPr/>
      <w:tcPr>
        <w:tcBorders>
          <w:top w:val="single" w:sz="8" w:space="0" w:color="E36C0A"/>
          <w:left w:val="single" w:sz="8" w:space="0" w:color="E36C0A"/>
          <w:bottom w:val="single" w:sz="8" w:space="0" w:color="E36C0A"/>
          <w:right w:val="single" w:sz="8" w:space="0" w:color="E36C0A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E36C0A"/>
          <w:left w:val="single" w:sz="8" w:space="0" w:color="E36C0A"/>
          <w:bottom w:val="single" w:sz="8" w:space="0" w:color="E36C0A"/>
          <w:right w:val="single" w:sz="8" w:space="0" w:color="E36C0A"/>
          <w:insideV w:val="single" w:sz="8" w:space="0" w:color="E36C0A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E36C0A"/>
          <w:left w:val="single" w:sz="8" w:space="0" w:color="E36C0A"/>
          <w:bottom w:val="single" w:sz="8" w:space="0" w:color="E36C0A"/>
          <w:right w:val="single" w:sz="8" w:space="0" w:color="E36C0A"/>
          <w:insideV w:val="single" w:sz="8" w:space="0" w:color="E36C0A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FCE4D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E4D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E4D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E4D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E36C0A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36C0A"/>
        <w:bottom w:val="single" w:sz="8" w:space="0" w:color="E36C0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6C0A"/>
        </w:tcBorders>
      </w:tcPr>
    </w:tblStylePr>
    <w:tblStylePr w:type="lastRow">
      <w:rPr>
        <w:b/>
        <w:bCs/>
        <w:color w:val="E36C0A"/>
      </w:rPr>
      <w:tblPr/>
      <w:tcPr>
        <w:tcBorders>
          <w:top w:val="single" w:sz="8" w:space="0" w:color="E36C0A"/>
          <w:bottom w:val="single" w:sz="8" w:space="0" w:color="E36C0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6C0A"/>
          <w:bottom w:val="single" w:sz="8" w:space="0" w:color="E36C0A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E36C0A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E36C0A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E36C0A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E36C0A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E36C0A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36C0A"/>
        <w:left w:val="single" w:sz="8" w:space="0" w:color="E36C0A"/>
        <w:bottom w:val="single" w:sz="8" w:space="0" w:color="E36C0A"/>
        <w:right w:val="single" w:sz="8" w:space="0" w:color="E36C0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6C0A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36C0A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6C0A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36C0A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36C0A"/>
        <w:left w:val="single" w:sz="8" w:space="0" w:color="E36C0A"/>
        <w:bottom w:val="single" w:sz="8" w:space="0" w:color="E36C0A"/>
        <w:right w:val="single" w:sz="8" w:space="0" w:color="E36C0A"/>
        <w:insideH w:val="single" w:sz="8" w:space="0" w:color="E36C0A"/>
        <w:insideV w:val="single" w:sz="8" w:space="0" w:color="E36C0A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E36C0A"/>
          <w:insideV w:val="single" w:sz="6" w:space="0" w:color="E36C0A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E4D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E4D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CE4D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CE4D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4D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CE4D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CE4D6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CE4D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4D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4D6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CE4D6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CE4D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4D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4D6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CE4D6"/>
      </w:tcPr>
    </w:tblStylePr>
    <w:tblStylePr w:type="lastRow">
      <w:rPr>
        <w:b/>
        <w:bCs/>
        <w:color w:val="E36C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FCE4D6"/>
      </w:tcPr>
    </w:tblStylePr>
    <w:tblStylePr w:type="lastCol">
      <w:rPr>
        <w:color w:val="FFFFFF" w:themeColor="background1"/>
      </w:rPr>
      <w:tblPr/>
      <w:tcPr>
        <w:shd w:val="clear" w:color="auto" w:fill="FCE4D6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CE4D6"/>
      </w:tcPr>
    </w:tblStylePr>
    <w:tblStylePr w:type="lastCol">
      <w:rPr>
        <w:color w:val="FFFFFF" w:themeColor="background1"/>
      </w:rPr>
      <w:tblPr/>
      <w:tcPr>
        <w:shd w:val="clear" w:color="auto" w:fill="FCE4D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Petit Planet｜10 篇官网博客审核说明</dc:title>
  <dc:subject>Original English drafts with Chinese production notes; based on user-supplied reference texts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