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rPr>
          <w:b w:val="0"/>
          <w:color w:val="E36C0A"/>
        </w:rPr>
        <w:t>Petit Planet｜精简稿与多 Prompt 对照</w:t>
      </w:r>
    </w:p>
    <w:p>
      <w:r>
        <w:rPr>
          <w:b/>
        </w:rPr>
        <w:t>v5｜2026 年 10 月 29 日｜10 篇英文 Word 另附</w:t>
      </w:r>
    </w:p>
    <w:p>
      <w:pPr>
        <w:pStyle w:val="Heading1"/>
        <w:keepNext/>
      </w:pPr>
      <w:r>
        <w:rPr>
          <w:b w:val="0"/>
          <w:color w:val="E36C0A"/>
        </w:rPr>
        <w:t>这轮如何精简</w:t>
      </w:r>
    </w:p>
    <w:p>
      <w:r>
        <w:rPr>
          <w:b w:val="0"/>
        </w:rPr>
        <w:t>一篇文章可以同时回答多个相关prompts。精简的目标是删除没有信息增量的重述，让不同段落回答不同子问题；并非将每篇限制为一个问题，也不是刻意减少品牌名。</w:t>
      </w:r>
    </w:p>
    <w:p>
      <w:r>
        <w:rPr>
          <w:b w:val="0"/>
        </w:rPr>
        <w:t>本轮总词数由约8,653词减至2,559词，减少约70%。统计均包含标题、正文和表格，不含内部说明。没有设置固定篇幅或关键词密度目标；较短的品牌概览保留必要事实，不用相同玩法凑长度。</w:t>
      </w:r>
    </w:p>
    <w:p>
      <w:pPr>
        <w:pStyle w:val="ListBullet"/>
        <w:spacing w:after="40"/>
      </w:pPr>
      <w:r>
        <w:rPr>
          <w:b w:val="0"/>
          <w:color w:val="666666"/>
          <w:sz w:val="18"/>
        </w:rPr>
        <w:t>重组文章结构：合并重复标题，删除反复出现的玩法清单、第二张同义表、重复检查清单和结尾概述。</w:t>
      </w:r>
    </w:p>
    <w:p>
      <w:pPr>
        <w:pStyle w:val="ListBullet"/>
        <w:spacing w:after="40"/>
      </w:pPr>
      <w:r>
        <w:rPr>
          <w:b w:val="0"/>
          <w:color w:val="666666"/>
          <w:sz w:val="18"/>
        </w:rPr>
        <w:t>每篇公测日期、完整平台列表及Nintendo Switch 2计划集中说明一次。这是本轮编辑取舍，不是GEO重复次数公式。</w:t>
      </w:r>
    </w:p>
    <w:p>
      <w:pPr>
        <w:pStyle w:val="ListBullet"/>
        <w:spacing w:after="40"/>
      </w:pPr>
      <w:r>
        <w:rPr>
          <w:b w:val="0"/>
          <w:color w:val="666666"/>
          <w:sz w:val="18"/>
        </w:rPr>
        <w:t>保留清楚的品牌、世界与玩法关系；已有内容可以自然支持多个相关问法，不再为每个prompt复制一段几乎相同的介绍。</w:t>
      </w:r>
    </w:p>
    <w:p>
      <w:pPr>
        <w:pStyle w:val="ListBullet"/>
        <w:spacing w:after="40"/>
      </w:pPr>
      <w:r>
        <w:rPr>
          <w:b w:val="0"/>
          <w:color w:val="666666"/>
          <w:sz w:val="18"/>
        </w:rPr>
        <w:t>保留橙色标题和强调色，沿用原模板字体与页面；合并段落和表格后重新检查分页。</w:t>
      </w:r>
    </w:p>
    <w:p>
      <w:pPr>
        <w:pStyle w:val="Heading1"/>
        <w:keepNext/>
      </w:pPr>
      <w:r>
        <w:rPr>
          <w:b w:val="0"/>
          <w:color w:val="E36C0A"/>
        </w:rPr>
        <w:t>一篇对应多个相关 Prompts</w:t>
      </w:r>
    </w:p>
    <w:p>
      <w:pPr>
        <w:spacing w:after="40"/>
      </w:pPr>
      <w:r>
        <w:rPr>
          <w:b w:val="0"/>
          <w:color w:val="666666"/>
          <w:sz w:val="18"/>
        </w:rPr>
        <w:t>“直接”表示文章实质回答该主题；“相关”表示提供部分事实支持；“条件”表示仍取决于未确认条件。它们均不是已获得AI引用、完整满足所有玩法条件或效果保证。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43"/>
        <w:gridCol w:w="1512"/>
        <w:gridCol w:w="2477"/>
        <w:gridCol w:w="4248"/>
      </w:tblGrid>
      <w:tr>
        <w:trPr>
          <w:tblHeader/>
          <w:cantSplit/>
        </w:trPr>
        <w:tc>
          <w:tcPr>
            <w:tcW w:type="dxa" w:w="1843"/>
            <w:shd w:fill="FCE4D6"/>
          </w:tcPr>
          <w:p>
            <w:pPr>
              <w:spacing w:after="40" w:line="240" w:lineRule="auto"/>
            </w:pPr>
            <w:r>
              <w:rPr>
                <w:b/>
                <w:color w:val="000000"/>
                <w:sz w:val="18"/>
              </w:rPr>
              <w:t>文章主题</w:t>
            </w:r>
          </w:p>
        </w:tc>
        <w:tc>
          <w:tcPr>
            <w:tcW w:type="dxa" w:w="1512"/>
            <w:shd w:fill="FCE4D6"/>
          </w:tcPr>
          <w:p>
            <w:pPr>
              <w:spacing w:after="40" w:line="240" w:lineRule="auto"/>
            </w:pPr>
            <w:r>
              <w:rPr>
                <w:b/>
                <w:color w:val="000000"/>
                <w:sz w:val="18"/>
              </w:rPr>
              <w:t>词数调整</w:t>
            </w:r>
          </w:p>
        </w:tc>
        <w:tc>
          <w:tcPr>
            <w:tcW w:type="dxa" w:w="2477"/>
            <w:shd w:fill="FCE4D6"/>
          </w:tcPr>
          <w:p>
            <w:pPr>
              <w:spacing w:after="40" w:line="240" w:lineRule="auto"/>
            </w:pPr>
            <w:r>
              <w:rPr>
                <w:b/>
                <w:color w:val="000000"/>
                <w:sz w:val="18"/>
              </w:rPr>
              <w:t>直接回应</w:t>
            </w:r>
          </w:p>
        </w:tc>
        <w:tc>
          <w:tcPr>
            <w:tcW w:type="dxa" w:w="4248"/>
            <w:shd w:fill="FCE4D6"/>
          </w:tcPr>
          <w:p>
            <w:pPr>
              <w:spacing w:after="40" w:line="240" w:lineRule="auto"/>
            </w:pPr>
            <w:r>
              <w:rPr>
                <w:b/>
                <w:color w:val="000000"/>
                <w:sz w:val="18"/>
              </w:rPr>
              <w:t>相关／有条件</w:t>
            </w:r>
          </w:p>
        </w:tc>
      </w:tr>
      <w:tr>
        <w:trPr>
          <w:cantSplit/>
        </w:trPr>
        <w:tc>
          <w:tcPr>
            <w:tcW w:type="dxa" w:w="1843"/>
          </w:tcPr>
          <w:p>
            <w:pPr>
              <w:spacing w:after="40" w:line="240" w:lineRule="auto"/>
            </w:pPr>
            <w:r>
              <w:rPr>
                <w:sz w:val="18"/>
              </w:rPr>
              <w:t>品牌概览</w:t>
            </w:r>
          </w:p>
        </w:tc>
        <w:tc>
          <w:tcPr>
            <w:tcW w:type="dxa" w:w="1512"/>
          </w:tcPr>
          <w:p>
            <w:pPr>
              <w:spacing w:after="40" w:line="240" w:lineRule="auto"/>
            </w:pPr>
            <w:r>
              <w:rPr>
                <w:sz w:val="18"/>
              </w:rPr>
              <w:t>643 → 198</w:t>
            </w:r>
          </w:p>
        </w:tc>
        <w:tc>
          <w:tcPr>
            <w:tcW w:type="dxa" w:w="2477"/>
          </w:tcPr>
          <w:p>
            <w:pPr>
              <w:spacing w:after="40" w:line="240" w:lineRule="auto"/>
            </w:pPr>
            <w:r>
              <w:rPr>
                <w:sz w:val="18"/>
              </w:rPr>
              <w:t>Q31、Q32、Q36、Q38</w:t>
            </w:r>
          </w:p>
        </w:tc>
        <w:tc>
          <w:tcPr>
            <w:tcW w:type="dxa" w:w="4248"/>
          </w:tcPr>
          <w:p>
            <w:pPr>
              <w:spacing w:after="40" w:line="240" w:lineRule="auto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1843"/>
          </w:tcPr>
          <w:p>
            <w:pPr>
              <w:spacing w:after="40" w:line="240" w:lineRule="auto"/>
            </w:pPr>
            <w:r>
              <w:rPr>
                <w:sz w:val="18"/>
              </w:rPr>
              <w:t>适合哪些兴趣</w:t>
            </w:r>
          </w:p>
        </w:tc>
        <w:tc>
          <w:tcPr>
            <w:tcW w:type="dxa" w:w="1512"/>
          </w:tcPr>
          <w:p>
            <w:pPr>
              <w:spacing w:after="40" w:line="240" w:lineRule="auto"/>
            </w:pPr>
            <w:r>
              <w:rPr>
                <w:sz w:val="18"/>
              </w:rPr>
              <w:t>362 → 263</w:t>
            </w:r>
          </w:p>
        </w:tc>
        <w:tc>
          <w:tcPr>
            <w:tcW w:type="dxa" w:w="2477"/>
          </w:tcPr>
          <w:p>
            <w:pPr>
              <w:spacing w:after="40" w:line="240" w:lineRule="auto"/>
            </w:pPr>
            <w:r>
              <w:rPr>
                <w:sz w:val="18"/>
              </w:rPr>
              <w:t>Q35、Q37</w:t>
            </w:r>
          </w:p>
        </w:tc>
        <w:tc>
          <w:tcPr>
            <w:tcW w:type="dxa" w:w="4248"/>
          </w:tcPr>
          <w:p>
            <w:pPr>
              <w:spacing w:after="40" w:line="240" w:lineRule="auto"/>
            </w:pPr>
            <w:r>
              <w:rPr>
                <w:sz w:val="18"/>
              </w:rPr>
              <w:t>相关：Q20、Q14、Q2</w:t>
            </w:r>
          </w:p>
        </w:tc>
      </w:tr>
      <w:tr>
        <w:trPr>
          <w:cantSplit/>
        </w:trPr>
        <w:tc>
          <w:tcPr>
            <w:tcW w:type="dxa" w:w="1843"/>
          </w:tcPr>
          <w:p>
            <w:pPr>
              <w:spacing w:after="40" w:line="240" w:lineRule="auto"/>
            </w:pPr>
            <w:r>
              <w:rPr>
                <w:sz w:val="18"/>
              </w:rPr>
              <w:t>温暖cozy体验</w:t>
            </w:r>
          </w:p>
        </w:tc>
        <w:tc>
          <w:tcPr>
            <w:tcW w:type="dxa" w:w="1512"/>
          </w:tcPr>
          <w:p>
            <w:pPr>
              <w:spacing w:after="40" w:line="240" w:lineRule="auto"/>
            </w:pPr>
            <w:r>
              <w:rPr>
                <w:sz w:val="18"/>
              </w:rPr>
              <w:t>882 → 266</w:t>
            </w:r>
          </w:p>
        </w:tc>
        <w:tc>
          <w:tcPr>
            <w:tcW w:type="dxa" w:w="2477"/>
          </w:tcPr>
          <w:p>
            <w:pPr>
              <w:spacing w:after="40" w:line="240" w:lineRule="auto"/>
            </w:pPr>
            <w:r>
              <w:rPr>
                <w:sz w:val="18"/>
              </w:rPr>
              <w:t>Q15、Q2、Q37</w:t>
            </w:r>
          </w:p>
        </w:tc>
        <w:tc>
          <w:tcPr>
            <w:tcW w:type="dxa" w:w="4248"/>
          </w:tcPr>
          <w:p>
            <w:pPr>
              <w:spacing w:after="40" w:line="240" w:lineRule="auto"/>
            </w:pPr>
            <w:r>
              <w:rPr>
                <w:sz w:val="18"/>
              </w:rPr>
              <w:t>相关：Q20、Q38</w:t>
            </w:r>
          </w:p>
        </w:tc>
      </w:tr>
      <w:tr>
        <w:trPr>
          <w:cantSplit/>
        </w:trPr>
        <w:tc>
          <w:tcPr>
            <w:tcW w:type="dxa" w:w="1843"/>
          </w:tcPr>
          <w:p>
            <w:pPr>
              <w:spacing w:after="40" w:line="240" w:lineRule="auto"/>
            </w:pPr>
            <w:r>
              <w:rPr>
                <w:sz w:val="18"/>
              </w:rPr>
              <w:t>家园与世界</w:t>
            </w:r>
          </w:p>
        </w:tc>
        <w:tc>
          <w:tcPr>
            <w:tcW w:type="dxa" w:w="1512"/>
          </w:tcPr>
          <w:p>
            <w:pPr>
              <w:spacing w:after="40" w:line="240" w:lineRule="auto"/>
            </w:pPr>
            <w:r>
              <w:rPr>
                <w:sz w:val="18"/>
              </w:rPr>
              <w:t>1027 → 236</w:t>
            </w:r>
          </w:p>
        </w:tc>
        <w:tc>
          <w:tcPr>
            <w:tcW w:type="dxa" w:w="2477"/>
          </w:tcPr>
          <w:p>
            <w:pPr>
              <w:spacing w:after="40" w:line="240" w:lineRule="auto"/>
            </w:pPr>
            <w:r>
              <w:rPr>
                <w:sz w:val="18"/>
              </w:rPr>
              <w:t>Q20、Q38</w:t>
            </w:r>
          </w:p>
        </w:tc>
        <w:tc>
          <w:tcPr>
            <w:tcW w:type="dxa" w:w="4248"/>
          </w:tcPr>
          <w:p>
            <w:pPr>
              <w:spacing w:after="40" w:line="240" w:lineRule="auto"/>
            </w:pPr>
            <w:r>
              <w:rPr>
                <w:sz w:val="18"/>
              </w:rPr>
              <w:t>相关：Q35、Q32</w:t>
            </w:r>
          </w:p>
        </w:tc>
      </w:tr>
      <w:tr>
        <w:trPr>
          <w:cantSplit/>
        </w:trPr>
        <w:tc>
          <w:tcPr>
            <w:tcW w:type="dxa" w:w="1843"/>
          </w:tcPr>
          <w:p>
            <w:pPr>
              <w:spacing w:after="40" w:line="240" w:lineRule="auto"/>
            </w:pPr>
            <w:r>
              <w:rPr>
                <w:sz w:val="18"/>
              </w:rPr>
              <w:t>音乐／播客偏好</w:t>
            </w:r>
          </w:p>
        </w:tc>
        <w:tc>
          <w:tcPr>
            <w:tcW w:type="dxa" w:w="1512"/>
          </w:tcPr>
          <w:p>
            <w:pPr>
              <w:spacing w:after="40" w:line="240" w:lineRule="auto"/>
            </w:pPr>
            <w:r>
              <w:rPr>
                <w:sz w:val="18"/>
              </w:rPr>
              <w:t>919 → 299</w:t>
            </w:r>
          </w:p>
        </w:tc>
        <w:tc>
          <w:tcPr>
            <w:tcW w:type="dxa" w:w="2477"/>
          </w:tcPr>
          <w:p>
            <w:pPr>
              <w:spacing w:after="40"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type="dxa" w:w="4248"/>
          </w:tcPr>
          <w:p>
            <w:pPr>
              <w:spacing w:after="40" w:line="240" w:lineRule="auto"/>
            </w:pPr>
            <w:r>
              <w:rPr>
                <w:sz w:val="18"/>
              </w:rPr>
              <w:t>相关：Q2、Q20、Q37；条件：Q18</w:t>
            </w:r>
          </w:p>
        </w:tc>
      </w:tr>
      <w:tr>
        <w:trPr>
          <w:cantSplit/>
        </w:trPr>
        <w:tc>
          <w:tcPr>
            <w:tcW w:type="dxa" w:w="1843"/>
          </w:tcPr>
          <w:p>
            <w:pPr>
              <w:spacing w:after="40" w:line="240" w:lineRule="auto"/>
            </w:pPr>
            <w:r>
              <w:rPr>
                <w:sz w:val="18"/>
              </w:rPr>
              <w:t>种田与社交</w:t>
            </w:r>
          </w:p>
        </w:tc>
        <w:tc>
          <w:tcPr>
            <w:tcW w:type="dxa" w:w="1512"/>
          </w:tcPr>
          <w:p>
            <w:pPr>
              <w:spacing w:after="40" w:line="240" w:lineRule="auto"/>
            </w:pPr>
            <w:r>
              <w:rPr>
                <w:sz w:val="18"/>
              </w:rPr>
              <w:t>772 → 259</w:t>
            </w:r>
          </w:p>
        </w:tc>
        <w:tc>
          <w:tcPr>
            <w:tcW w:type="dxa" w:w="2477"/>
          </w:tcPr>
          <w:p>
            <w:pPr>
              <w:spacing w:after="40" w:line="240" w:lineRule="auto"/>
            </w:pPr>
            <w:r>
              <w:rPr>
                <w:sz w:val="18"/>
              </w:rPr>
              <w:t>Q14</w:t>
            </w:r>
          </w:p>
        </w:tc>
        <w:tc>
          <w:tcPr>
            <w:tcW w:type="dxa" w:w="4248"/>
          </w:tcPr>
          <w:p>
            <w:pPr>
              <w:spacing w:after="40" w:line="240" w:lineRule="auto"/>
            </w:pPr>
            <w:r>
              <w:rPr>
                <w:sz w:val="18"/>
              </w:rPr>
              <w:t>相关：Q32、Q36、Q38</w:t>
            </w:r>
          </w:p>
        </w:tc>
      </w:tr>
      <w:tr>
        <w:trPr>
          <w:cantSplit/>
        </w:trPr>
        <w:tc>
          <w:tcPr>
            <w:tcW w:type="dxa" w:w="1843"/>
          </w:tcPr>
          <w:p>
            <w:pPr>
              <w:spacing w:after="40" w:line="240" w:lineRule="auto"/>
            </w:pPr>
            <w:r>
              <w:rPr>
                <w:sz w:val="18"/>
              </w:rPr>
              <w:t>核心玩法如何组合</w:t>
            </w:r>
          </w:p>
        </w:tc>
        <w:tc>
          <w:tcPr>
            <w:tcW w:type="dxa" w:w="1512"/>
          </w:tcPr>
          <w:p>
            <w:pPr>
              <w:spacing w:after="40" w:line="240" w:lineRule="auto"/>
            </w:pPr>
            <w:r>
              <w:rPr>
                <w:sz w:val="18"/>
              </w:rPr>
              <w:t>855 → 275</w:t>
            </w:r>
          </w:p>
        </w:tc>
        <w:tc>
          <w:tcPr>
            <w:tcW w:type="dxa" w:w="2477"/>
          </w:tcPr>
          <w:p>
            <w:pPr>
              <w:spacing w:after="40" w:line="240" w:lineRule="auto"/>
            </w:pPr>
            <w:r>
              <w:rPr>
                <w:sz w:val="18"/>
              </w:rPr>
              <w:t>Q32、Q36、Q37</w:t>
            </w:r>
          </w:p>
        </w:tc>
        <w:tc>
          <w:tcPr>
            <w:tcW w:type="dxa" w:w="4248"/>
          </w:tcPr>
          <w:p>
            <w:pPr>
              <w:spacing w:after="40" w:line="240" w:lineRule="auto"/>
            </w:pPr>
            <w:r>
              <w:rPr>
                <w:sz w:val="18"/>
              </w:rPr>
              <w:t>相关：Q38、Q14</w:t>
            </w:r>
          </w:p>
        </w:tc>
      </w:tr>
      <w:tr>
        <w:trPr>
          <w:cantSplit/>
        </w:trPr>
        <w:tc>
          <w:tcPr>
            <w:tcW w:type="dxa" w:w="1843"/>
          </w:tcPr>
          <w:p>
            <w:pPr>
              <w:spacing w:after="40" w:line="240" w:lineRule="auto"/>
            </w:pPr>
            <w:r>
              <w:rPr>
                <w:sz w:val="18"/>
              </w:rPr>
              <w:t>移动端种田</w:t>
            </w:r>
          </w:p>
        </w:tc>
        <w:tc>
          <w:tcPr>
            <w:tcW w:type="dxa" w:w="1512"/>
          </w:tcPr>
          <w:p>
            <w:pPr>
              <w:spacing w:after="40" w:line="240" w:lineRule="auto"/>
            </w:pPr>
            <w:r>
              <w:rPr>
                <w:sz w:val="18"/>
              </w:rPr>
              <w:t>1119 → 264</w:t>
            </w:r>
          </w:p>
        </w:tc>
        <w:tc>
          <w:tcPr>
            <w:tcW w:type="dxa" w:w="2477"/>
          </w:tcPr>
          <w:p>
            <w:pPr>
              <w:spacing w:after="40" w:line="240" w:lineRule="auto"/>
            </w:pPr>
            <w:r>
              <w:rPr>
                <w:sz w:val="18"/>
              </w:rPr>
              <w:t>Q5、Q14、Q20</w:t>
            </w:r>
          </w:p>
        </w:tc>
        <w:tc>
          <w:tcPr>
            <w:tcW w:type="dxa" w:w="4248"/>
          </w:tcPr>
          <w:p>
            <w:pPr>
              <w:spacing w:after="40" w:line="240" w:lineRule="auto"/>
            </w:pPr>
            <w:r>
              <w:rPr>
                <w:sz w:val="18"/>
              </w:rPr>
              <w:t>相关：Q35</w:t>
            </w:r>
          </w:p>
        </w:tc>
      </w:tr>
      <w:tr>
        <w:trPr>
          <w:cantSplit/>
        </w:trPr>
        <w:tc>
          <w:tcPr>
            <w:tcW w:type="dxa" w:w="1843"/>
          </w:tcPr>
          <w:p>
            <w:pPr>
              <w:spacing w:after="40" w:line="240" w:lineRule="auto"/>
            </w:pPr>
            <w:r>
              <w:rPr>
                <w:sz w:val="18"/>
              </w:rPr>
              <w:t>公测准备与平台</w:t>
            </w:r>
          </w:p>
        </w:tc>
        <w:tc>
          <w:tcPr>
            <w:tcW w:type="dxa" w:w="1512"/>
          </w:tcPr>
          <w:p>
            <w:pPr>
              <w:spacing w:after="40" w:line="240" w:lineRule="auto"/>
            </w:pPr>
            <w:r>
              <w:rPr>
                <w:sz w:val="18"/>
              </w:rPr>
              <w:t>992 → 234</w:t>
            </w:r>
          </w:p>
        </w:tc>
        <w:tc>
          <w:tcPr>
            <w:tcW w:type="dxa" w:w="2477"/>
          </w:tcPr>
          <w:p>
            <w:pPr>
              <w:spacing w:after="40" w:line="240" w:lineRule="auto"/>
            </w:pPr>
            <w:r>
              <w:rPr>
                <w:sz w:val="18"/>
              </w:rPr>
              <w:t>Q31</w:t>
            </w:r>
          </w:p>
        </w:tc>
        <w:tc>
          <w:tcPr>
            <w:tcW w:type="dxa" w:w="4248"/>
          </w:tcPr>
          <w:p>
            <w:pPr>
              <w:spacing w:after="40" w:line="240" w:lineRule="auto"/>
            </w:pPr>
            <w:r>
              <w:rPr>
                <w:sz w:val="18"/>
              </w:rPr>
              <w:t>相关：Q32、Q38</w:t>
            </w:r>
          </w:p>
        </w:tc>
      </w:tr>
      <w:tr>
        <w:trPr>
          <w:cantSplit/>
        </w:trPr>
        <w:tc>
          <w:tcPr>
            <w:tcW w:type="dxa" w:w="1843"/>
          </w:tcPr>
          <w:p>
            <w:pPr>
              <w:spacing w:after="40" w:line="240" w:lineRule="auto"/>
            </w:pPr>
            <w:r>
              <w:rPr>
                <w:sz w:val="18"/>
              </w:rPr>
              <w:t>美术风格与世界</w:t>
            </w:r>
          </w:p>
        </w:tc>
        <w:tc>
          <w:tcPr>
            <w:tcW w:type="dxa" w:w="1512"/>
          </w:tcPr>
          <w:p>
            <w:pPr>
              <w:spacing w:after="40" w:line="240" w:lineRule="auto"/>
            </w:pPr>
            <w:r>
              <w:rPr>
                <w:sz w:val="18"/>
              </w:rPr>
              <w:t>1082 → 265</w:t>
            </w:r>
          </w:p>
        </w:tc>
        <w:tc>
          <w:tcPr>
            <w:tcW w:type="dxa" w:w="2477"/>
          </w:tcPr>
          <w:p>
            <w:pPr>
              <w:spacing w:after="40" w:line="240" w:lineRule="auto"/>
            </w:pPr>
            <w:r>
              <w:rPr>
                <w:sz w:val="18"/>
              </w:rPr>
              <w:t>Q7、Q34、Q38</w:t>
            </w:r>
          </w:p>
        </w:tc>
        <w:tc>
          <w:tcPr>
            <w:tcW w:type="dxa" w:w="4248"/>
          </w:tcPr>
          <w:p>
            <w:pPr>
              <w:spacing w:after="40" w:line="240" w:lineRule="auto"/>
            </w:pPr>
            <w:r>
              <w:rPr>
                <w:sz w:val="18"/>
              </w:rPr>
              <w:t>相关：Q20</w:t>
            </w:r>
          </w:p>
        </w:tc>
      </w:tr>
    </w:tbl>
    <w:p>
      <w:pPr>
        <w:pStyle w:val="Heading1"/>
        <w:keepNext/>
      </w:pPr>
      <w:r>
        <w:rPr>
          <w:b w:val="0"/>
          <w:color w:val="E36C0A"/>
        </w:rPr>
        <w:t>主题与题号速查</w:t>
      </w:r>
    </w:p>
    <w:p>
      <w:pPr>
        <w:spacing w:after="40"/>
      </w:pPr>
      <w:r>
        <w:rPr>
          <w:b w:val="0"/>
          <w:color w:val="666666"/>
          <w:sz w:val="18"/>
        </w:rPr>
        <w:t>Q2：放松与cozy生活模拟  ｜  Q5：移动端种田  ｜  Q7：有吸引力的美术风格</w:t>
      </w:r>
    </w:p>
    <w:p>
      <w:pPr>
        <w:spacing w:after="40"/>
      </w:pPr>
      <w:r>
        <w:rPr>
          <w:b w:val="0"/>
          <w:color w:val="666666"/>
          <w:sz w:val="18"/>
        </w:rPr>
        <w:t>Q14：种田与社交  ｜  Q15：温暖、cozy、放松氛围  ｜  Q18：边听音乐／播客边玩</w:t>
      </w:r>
    </w:p>
    <w:p>
      <w:pPr>
        <w:spacing w:after="40"/>
      </w:pPr>
      <w:r>
        <w:rPr>
          <w:b w:val="0"/>
          <w:color w:val="666666"/>
          <w:sz w:val="18"/>
        </w:rPr>
        <w:t>Q20：家园或环境自定义  ｜  Q31：Petit Planet是什么  ｜  Q32：核心玩法</w:t>
      </w:r>
    </w:p>
    <w:p>
      <w:pPr>
        <w:spacing w:after="40"/>
      </w:pPr>
      <w:r>
        <w:rPr>
          <w:b w:val="0"/>
          <w:color w:val="666666"/>
          <w:sz w:val="18"/>
        </w:rPr>
        <w:t>Q34：美术风格  ｜  Q35：适合哪些玩家  ｜  Q36：关键功能</w:t>
      </w:r>
    </w:p>
    <w:p>
      <w:pPr>
        <w:spacing w:after="40"/>
      </w:pPr>
      <w:r>
        <w:rPr>
          <w:b w:val="0"/>
          <w:color w:val="666666"/>
          <w:sz w:val="18"/>
        </w:rPr>
        <w:t>Q37：体验重心  ｜  Q38：世界与设定</w:t>
      </w:r>
    </w:p>
    <w:p>
      <w:pPr>
        <w:pStyle w:val="Heading1"/>
        <w:keepNext/>
      </w:pPr>
      <w:r>
        <w:rPr>
          <w:b w:val="0"/>
          <w:color w:val="E36C0A"/>
        </w:rPr>
        <w:t>官网发布时仍要判断</w:t>
      </w:r>
    </w:p>
    <w:p>
      <w:r>
        <w:rPr>
          <w:b w:val="0"/>
        </w:rPr>
        <w:t>这批继续保留10份可编辑稿件，便于逐篇审核；不意味着必须建立10个彼此独立的官网页面。品牌概览与核心玩法仍有必要的跨篇事实交集，可在正式部署时合并为一个完整页面，分别用章节回答Q31／Q32／Q36／Q37／Q38。公测准备页则承担时间、平台与参与信息的职责。</w:t>
      </w:r>
    </w:p>
    <w:p>
      <w:r>
        <w:rPr>
          <w:b w:val="0"/>
        </w:rPr>
        <w:t>音乐／播客稿对Q18仍为有条件的内容匹配，不承诺后台音频、暂停或固定任务时长。公测前仍不能将这些文章算作Q3／Q13／Q24“现在可玩／近期已发行”意图的完整答案。</w:t>
      </w:r>
    </w:p>
    <w:p>
      <w:r>
        <w:rPr>
          <w:b w:val="0"/>
        </w:rPr>
        <w:t>全球公测口径保持2026年12月4日，Nintendo Switch 2版本计划2027年。无极端排名、固定性别受众、官网竞品或跨端同步承诺。部署后按最终公开URL和同一组prompts复测提及、推荐、引用及准确性；文字精简本身不保证搜索权重提升。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2026/10/29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777777"/>
        <w:sz w:val="16"/>
      </w:rPr>
      <w:t>PETIT PLANET  |  Concise official blogs · v5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4" w:lineRule="auto" w:after="80"/>
    </w:pPr>
    <w:rPr>
      <w:rFonts w:ascii="Arial" w:hAnsi="Arial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E36C0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E36C0A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E36C0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E36C0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E36C0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E36C0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E36C0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E36C0A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E36C0A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E36C0A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E36C0A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E36C0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E36C0A"/>
      </w:pBdr>
      <w:spacing w:after="80" w:line="240" w:lineRule="auto" w:before="140"/>
      <w:contextualSpacing/>
    </w:pPr>
    <w:rPr>
      <w:rFonts w:asciiTheme="majorHAnsi" w:eastAsiaTheme="majorEastAsia" w:hAnsiTheme="majorHAnsi" w:cstheme="majorBidi" w:ascii="Arial" w:hAnsi="Arial" w:eastAsia="Noto Sans CJK SC"/>
      <w:color w:val="E36C0A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E36C0A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E36C0A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E36C0A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Noto Sans CJK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E36C0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E36C0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E36C0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E36C0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E36C0A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E36C0A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E36C0A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E36C0A"/>
      </w:pBdr>
      <w:spacing w:before="200" w:after="280"/>
      <w:ind w:left="936" w:right="936"/>
    </w:pPr>
    <w:rPr>
      <w:b/>
      <w:bCs/>
      <w:i/>
      <w:iCs/>
      <w:color w:val="E36C0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E36C0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E36C0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E36C0A"/>
        <w:bottom w:val="single" w:sz="8" w:space="0" w:color="E36C0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36C0A"/>
          <w:left w:val="nil"/>
          <w:bottom w:val="single" w:sz="8" w:space="0" w:color="E36C0A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36C0A"/>
          <w:left w:val="nil"/>
          <w:bottom w:val="single" w:sz="8" w:space="0" w:color="E36C0A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E36C0A"/>
        <w:left w:val="single" w:sz="8" w:space="0" w:color="E36C0A"/>
        <w:bottom w:val="single" w:sz="8" w:space="0" w:color="E36C0A"/>
        <w:right w:val="single" w:sz="8" w:space="0" w:color="E36C0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CE4D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36C0A"/>
          <w:left w:val="single" w:sz="8" w:space="0" w:color="E36C0A"/>
          <w:bottom w:val="single" w:sz="8" w:space="0" w:color="E36C0A"/>
          <w:right w:val="single" w:sz="8" w:space="0" w:color="E36C0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36C0A"/>
          <w:left w:val="single" w:sz="8" w:space="0" w:color="E36C0A"/>
          <w:bottom w:val="single" w:sz="8" w:space="0" w:color="E36C0A"/>
          <w:right w:val="single" w:sz="8" w:space="0" w:color="E36C0A"/>
        </w:tcBorders>
      </w:tcPr>
    </w:tblStylePr>
    <w:tblStylePr w:type="band1Horz">
      <w:tblPr/>
      <w:tcPr>
        <w:tcBorders>
          <w:top w:val="single" w:sz="8" w:space="0" w:color="E36C0A"/>
          <w:left w:val="single" w:sz="8" w:space="0" w:color="E36C0A"/>
          <w:bottom w:val="single" w:sz="8" w:space="0" w:color="E36C0A"/>
          <w:right w:val="single" w:sz="8" w:space="0" w:color="E36C0A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E36C0A"/>
        <w:left w:val="single" w:sz="8" w:space="0" w:color="E36C0A"/>
        <w:bottom w:val="single" w:sz="8" w:space="0" w:color="E36C0A"/>
        <w:right w:val="single" w:sz="8" w:space="0" w:color="E36C0A"/>
        <w:insideH w:val="single" w:sz="8" w:space="0" w:color="E36C0A"/>
        <w:insideV w:val="single" w:sz="8" w:space="0" w:color="E36C0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36C0A"/>
          <w:left w:val="single" w:sz="8" w:space="0" w:color="E36C0A"/>
          <w:bottom w:val="single" w:sz="18" w:space="0" w:color="E36C0A"/>
          <w:right w:val="single" w:sz="8" w:space="0" w:color="E36C0A"/>
          <w:insideH w:val="nil"/>
          <w:insideV w:val="single" w:sz="8" w:space="0" w:color="E36C0A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36C0A"/>
          <w:left w:val="single" w:sz="8" w:space="0" w:color="E36C0A"/>
          <w:bottom w:val="single" w:sz="8" w:space="0" w:color="E36C0A"/>
          <w:right w:val="single" w:sz="8" w:space="0" w:color="E36C0A"/>
          <w:insideH w:val="nil"/>
          <w:insideV w:val="single" w:sz="8" w:space="0" w:color="E36C0A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36C0A"/>
          <w:left w:val="single" w:sz="8" w:space="0" w:color="E36C0A"/>
          <w:bottom w:val="single" w:sz="8" w:space="0" w:color="E36C0A"/>
          <w:right w:val="single" w:sz="8" w:space="0" w:color="E36C0A"/>
        </w:tcBorders>
      </w:tcPr>
    </w:tblStylePr>
    <w:tblStylePr w:type="band1Vert">
      <w:tblPr/>
      <w:tcPr>
        <w:tcBorders>
          <w:top w:val="single" w:sz="8" w:space="0" w:color="E36C0A"/>
          <w:left w:val="single" w:sz="8" w:space="0" w:color="E36C0A"/>
          <w:bottom w:val="single" w:sz="8" w:space="0" w:color="E36C0A"/>
          <w:right w:val="single" w:sz="8" w:space="0" w:color="E36C0A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E36C0A"/>
          <w:left w:val="single" w:sz="8" w:space="0" w:color="E36C0A"/>
          <w:bottom w:val="single" w:sz="8" w:space="0" w:color="E36C0A"/>
          <w:right w:val="single" w:sz="8" w:space="0" w:color="E36C0A"/>
          <w:insideV w:val="single" w:sz="8" w:space="0" w:color="E36C0A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E36C0A"/>
          <w:left w:val="single" w:sz="8" w:space="0" w:color="E36C0A"/>
          <w:bottom w:val="single" w:sz="8" w:space="0" w:color="E36C0A"/>
          <w:right w:val="single" w:sz="8" w:space="0" w:color="E36C0A"/>
          <w:insideV w:val="single" w:sz="8" w:space="0" w:color="E36C0A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FCE4D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CE4D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CE4D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CE4D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E36C0A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E36C0A"/>
        <w:bottom w:val="single" w:sz="8" w:space="0" w:color="E36C0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36C0A"/>
        </w:tcBorders>
      </w:tcPr>
    </w:tblStylePr>
    <w:tblStylePr w:type="lastRow">
      <w:rPr>
        <w:b/>
        <w:bCs/>
        <w:color w:val="E36C0A"/>
      </w:rPr>
      <w:tblPr/>
      <w:tcPr>
        <w:tcBorders>
          <w:top w:val="single" w:sz="8" w:space="0" w:color="E36C0A"/>
          <w:bottom w:val="single" w:sz="8" w:space="0" w:color="E36C0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36C0A"/>
          <w:bottom w:val="single" w:sz="8" w:space="0" w:color="E36C0A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E36C0A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E36C0A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E36C0A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E36C0A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E36C0A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E36C0A"/>
        <w:left w:val="single" w:sz="8" w:space="0" w:color="E36C0A"/>
        <w:bottom w:val="single" w:sz="8" w:space="0" w:color="E36C0A"/>
        <w:right w:val="single" w:sz="8" w:space="0" w:color="E36C0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36C0A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36C0A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36C0A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36C0A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E36C0A"/>
        <w:left w:val="single" w:sz="8" w:space="0" w:color="E36C0A"/>
        <w:bottom w:val="single" w:sz="8" w:space="0" w:color="E36C0A"/>
        <w:right w:val="single" w:sz="8" w:space="0" w:color="E36C0A"/>
        <w:insideH w:val="single" w:sz="8" w:space="0" w:color="E36C0A"/>
        <w:insideV w:val="single" w:sz="8" w:space="0" w:color="E36C0A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E36C0A"/>
          <w:insideV w:val="single" w:sz="6" w:space="0" w:color="E36C0A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CE4D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CE4D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CE4D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CE4D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4D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FCE4D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CE4D6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CE4D6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E4D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E4D6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CE4D6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CE4D6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E4D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E4D6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E36C0A"/>
        <w:bottom w:val="single" w:sz="4" w:space="0" w:color="E36C0A"/>
        <w:right w:val="single" w:sz="4" w:space="0" w:color="E36C0A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CE4D6"/>
      </w:tcPr>
    </w:tblStylePr>
    <w:tblStylePr w:type="lastRow">
      <w:rPr>
        <w:b/>
        <w:bCs/>
        <w:color w:val="E36C0A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FCE4D6"/>
      </w:tcPr>
    </w:tblStylePr>
    <w:tblStylePr w:type="lastCol">
      <w:rPr>
        <w:color w:val="FFFFFF" w:themeColor="background1"/>
      </w:rPr>
      <w:tblPr/>
      <w:tcPr>
        <w:shd w:val="clear" w:color="auto" w:fill="FCE4D6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CE4D6"/>
      </w:tcPr>
    </w:tblStylePr>
    <w:tblStylePr w:type="lastCol">
      <w:rPr>
        <w:color w:val="FFFFFF" w:themeColor="background1"/>
      </w:rPr>
      <w:tblPr/>
      <w:tcPr>
        <w:shd w:val="clear" w:color="auto" w:fill="FCE4D6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Petit Planet｜精简稿与多 Prompt 对照</dc:title>
  <dc:subject>Original English drafts with Chinese production notes; based on user-supplied reference texts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