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LOGO SIGNANE_Vertical_15_126_3(2).jpg"/>
                    <pic:cNvPicPr/>
                  </pic:nvPicPr>
                  <pic:blipFill>
                    <a:blip r:embed="rId11"/>
                    <a:stretch>
                      <a:fillRect/>
                    </a:stretch>
                  </pic:blipFill>
                  <pic:spPr>
                    <a:xfrm>
                      <a:off x="0" y="0"/>
                      <a:ext cx="2011680" cy="2011680"/>
                    </a:xfrm>
                    <a:prstGeom prst="rect"/>
                  </pic:spPr>
                </pic:pic>
              </a:graphicData>
            </a:graphic>
          </wp:inline>
        </w:drawing>
      </w:r>
    </w:p>
    <w:p>
      <w:pPr>
        <w:spacing w:before="320"/>
        <w:jc w:val="center"/>
      </w:pPr>
      <w:r>
        <w:rPr>
          <w:rFonts w:ascii="Times New Roman" w:hAnsi="Times New Roman"/>
          <w:b/>
          <w:color w:val="006837"/>
          <w:sz w:val="44"/>
        </w:rPr>
        <w:t>TÓM TẮT LUỒNG CHAT DUYỆT HỦY HÀNG</w:t>
      </w:r>
    </w:p>
    <w:p>
      <w:pPr>
        <w:spacing w:after="60" w:before="0"/>
        <w:jc w:val="center"/>
      </w:pPr>
      <w:r>
        <w:rPr>
          <w:rFonts w:ascii="Times New Roman" w:hAnsi="Times New Roman"/>
          <w:b w:val="0"/>
          <w:i/>
          <w:sz w:val="22"/>
        </w:rPr>
        <w:t>Theo yêu cầu: chỉ sử dụng nội dung trong luồng chat/file được cung cấp</w:t>
      </w:r>
    </w:p>
    <w:p>
      <w:pPr>
        <w:spacing w:after="60" w:before="0"/>
        <w:jc w:val="center"/>
      </w:pPr>
      <w:r>
        <w:rPr>
          <w:rFonts w:ascii="Times New Roman" w:hAnsi="Times New Roman"/>
          <w:b/>
          <w:i w:val="0"/>
          <w:color w:val="ECBE18"/>
          <w:sz w:val="26"/>
        </w:rPr>
        <w:t>GSP Next 30 | Loss Management Report (Báo cáo quản trị tổn thất)</w:t>
      </w:r>
    </w:p>
    <w:tbl>
      <w:tblPr>
        <w:tblW w:type="auto" w:w="0"/>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10312"/>
      </w:tblGrid>
      <w:tr>
        <w:tc>
          <w:tcPr>
            <w:tcW w:type="dxa" w:w="10312"/>
            <w:shd w:fill="E8F3EC"/>
          </w:tcPr>
          <w:p>
            <w:r/>
            <w:r>
              <w:rPr>
                <w:rFonts w:ascii="Times New Roman" w:hAnsi="Times New Roman"/>
                <w:b/>
                <w:color w:val="006837"/>
                <w:sz w:val="21"/>
              </w:rPr>
              <w:t>Nguyên tắc tổng hợp:</w:t>
            </w:r>
          </w:p>
          <w:p>
            <w:r>
              <w:rPr>
                <w:rFonts w:ascii="Times New Roman" w:hAnsi="Times New Roman"/>
                <w:sz w:val="21"/>
              </w:rPr>
              <w:t>• Chỉ tổng hợp nội dung đã xuất hiện trong luồng chat/file được cung cấp; không bổ sung dữ liệu ngoài luồng.</w:t>
            </w:r>
          </w:p>
          <w:p>
            <w:r>
              <w:rPr>
                <w:rFonts w:ascii="Times New Roman" w:hAnsi="Times New Roman"/>
                <w:sz w:val="21"/>
              </w:rPr>
              <w:t>• Không tự suy diễn, không bịa số liệu; số liệu chỉ ghi lại khi đã xuất hiện trong trao đổi.</w:t>
            </w:r>
          </w:p>
          <w:p>
            <w:r>
              <w:rPr>
                <w:rFonts w:ascii="Times New Roman" w:hAnsi="Times New Roman"/>
                <w:sz w:val="21"/>
              </w:rPr>
              <w:t>• Tách rõ 3 lớp: nội dung CEO đã nêu/chốt (Fact) – nội dung tư vấn/đề xuất – giả định cần xác nhận.</w:t>
            </w:r>
          </w:p>
          <w:p>
            <w:r>
              <w:rPr>
                <w:rFonts w:ascii="Times New Roman" w:hAnsi="Times New Roman"/>
                <w:sz w:val="21"/>
              </w:rPr>
              <w:t>• Thuật ngữ tiếng Anh giữ kèm nghĩa tiếng Việt (song ngữ) xuyên suốt bản tóm tắt.</w:t>
            </w:r>
          </w:p>
        </w:tc>
      </w:tr>
    </w:tbl>
    <w:p>
      <w:r>
        <w:br w:type="page"/>
      </w:r>
    </w:p>
    <w:p>
      <w:pPr>
        <w:pStyle w:val="Heading1"/>
      </w:pPr>
      <w:r>
        <w:rPr>
          <w:rFonts w:ascii="Times New Roman" w:hAnsi="Times New Roman"/>
        </w:rPr>
        <w:t>1. Tóm tắt điều hành</w:t>
      </w:r>
    </w:p>
    <w:p>
      <w:pPr>
        <w:spacing w:after="60" w:before="0"/>
      </w:pPr>
      <w:r>
        <w:rPr>
          <w:rFonts w:ascii="Times New Roman" w:hAnsi="Times New Roman"/>
          <w:b w:val="0"/>
          <w:i w:val="0"/>
          <w:sz w:val="22"/>
        </w:rPr>
        <w:t>Luồng chat xoay quanh việc chuyển cách xử lý “trình ký hủy hàng” sang quản trị tổn thất theo hướng kiểm soát nguyên nhân gốc và phòng ngừa tái diễn. Trọng tâm không phải đào bới toàn bộ dữ liệu quá khứ, mà là chặn phát sinh mới, làm Daily Management (Quản trị hàng ngày), Weekly Management (Quản trị hàng tuần), xây quy trình, dữ liệu, báo cáo, Owner và KPI trong GSP Next 30.</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37"/>
        <w:gridCol w:w="3437"/>
        <w:gridCol w:w="3437"/>
      </w:tblGrid>
      <w:tr>
        <w:tc>
          <w:tcPr>
            <w:tcW w:type="dxa" w:w="2835"/>
            <w:vAlign w:val="center"/>
            <w:shd w:fill="006837"/>
          </w:tcPr>
          <w:p>
            <w:pPr>
              <w:spacing w:after="20"/>
              <w:jc w:val="left"/>
            </w:pPr>
            <w:r/>
            <w:r>
              <w:rPr>
                <w:rFonts w:ascii="Times New Roman" w:hAnsi="Times New Roman"/>
                <w:b/>
                <w:color w:val="FFFFFF"/>
                <w:sz w:val="18"/>
              </w:rPr>
              <w:t>Vấn đề đang nhìn thấy</w:t>
            </w:r>
          </w:p>
        </w:tc>
        <w:tc>
          <w:tcPr>
            <w:tcW w:type="dxa" w:w="2835"/>
            <w:vAlign w:val="center"/>
            <w:shd w:fill="006837"/>
          </w:tcPr>
          <w:p>
            <w:pPr>
              <w:spacing w:after="20"/>
              <w:jc w:val="left"/>
            </w:pPr>
            <w:r/>
            <w:r>
              <w:rPr>
                <w:rFonts w:ascii="Times New Roman" w:hAnsi="Times New Roman"/>
                <w:b/>
                <w:color w:val="FFFFFF"/>
                <w:sz w:val="18"/>
              </w:rPr>
              <w:t>Hướng xử lý trong luồng chat</w:t>
            </w:r>
          </w:p>
        </w:tc>
        <w:tc>
          <w:tcPr>
            <w:tcW w:type="dxa" w:w="2835"/>
            <w:vAlign w:val="center"/>
            <w:shd w:fill="006837"/>
          </w:tcPr>
          <w:p>
            <w:pPr>
              <w:spacing w:after="20"/>
              <w:jc w:val="left"/>
            </w:pPr>
            <w:r/>
            <w:r>
              <w:rPr>
                <w:rFonts w:ascii="Times New Roman" w:hAnsi="Times New Roman"/>
                <w:b/>
                <w:color w:val="FFFFFF"/>
                <w:sz w:val="18"/>
              </w:rPr>
              <w:t>Đích cần đạt</w:t>
            </w:r>
          </w:p>
        </w:tc>
      </w:tr>
      <w:tr>
        <w:tc>
          <w:tcPr>
            <w:tcW w:type="dxa" w:w="2835"/>
            <w:vAlign w:val="center"/>
            <w:shd w:fill="FFF4D6"/>
          </w:tcPr>
          <w:p>
            <w:pPr>
              <w:spacing w:after="20"/>
              <w:jc w:val="left"/>
            </w:pPr>
            <w:r/>
            <w:r>
              <w:rPr>
                <w:rFonts w:ascii="Times New Roman" w:hAnsi="Times New Roman"/>
                <w:b/>
                <w:sz w:val="17"/>
              </w:rPr>
              <w:t>Tiếp tục tập trung vào “trình ký hủy” chỉ xử lý hậu quả.</w:t>
            </w:r>
          </w:p>
        </w:tc>
        <w:tc>
          <w:tcPr>
            <w:tcW w:type="dxa" w:w="2835"/>
            <w:vAlign w:val="center"/>
          </w:tcPr>
          <w:p>
            <w:pPr>
              <w:spacing w:after="20"/>
              <w:jc w:val="left"/>
            </w:pPr>
            <w:r/>
            <w:r>
              <w:rPr>
                <w:rFonts w:ascii="Times New Roman" w:hAnsi="Times New Roman"/>
                <w:b w:val="0"/>
                <w:sz w:val="17"/>
              </w:rPr>
              <w:t>Chuyển sang Loss Management Report (Báo cáo quản trị tổn thất).</w:t>
            </w:r>
          </w:p>
        </w:tc>
        <w:tc>
          <w:tcPr>
            <w:tcW w:type="dxa" w:w="2835"/>
            <w:vAlign w:val="center"/>
          </w:tcPr>
          <w:p>
            <w:pPr>
              <w:spacing w:after="20"/>
              <w:jc w:val="left"/>
            </w:pPr>
            <w:r/>
            <w:r>
              <w:rPr>
                <w:rFonts w:ascii="Times New Roman" w:hAnsi="Times New Roman"/>
                <w:b w:val="0"/>
                <w:sz w:val="17"/>
              </w:rPr>
              <w:t>Mỗi khoản hủy/tồn tuổi có nguyên nhân, Owner, CAPA và hành động phòng ngừa.</w:t>
            </w:r>
          </w:p>
        </w:tc>
      </w:tr>
      <w:tr>
        <w:tc>
          <w:tcPr>
            <w:tcW w:type="dxa" w:w="2835"/>
            <w:vAlign w:val="center"/>
            <w:shd w:fill="FFF4D6"/>
          </w:tcPr>
          <w:p>
            <w:pPr>
              <w:spacing w:after="20"/>
              <w:jc w:val="left"/>
            </w:pPr>
            <w:r/>
            <w:r>
              <w:rPr>
                <w:rFonts w:ascii="Times New Roman" w:hAnsi="Times New Roman"/>
                <w:b/>
                <w:sz w:val="17"/>
              </w:rPr>
              <w:t>Dữ liệu cũ kéo dài, nhiều trường hợp không còn đủ thông tin để truy Root Cause (Nguyên nhân gốc).</w:t>
            </w:r>
          </w:p>
        </w:tc>
        <w:tc>
          <w:tcPr>
            <w:tcW w:type="dxa" w:w="2835"/>
            <w:vAlign w:val="center"/>
          </w:tcPr>
          <w:p>
            <w:pPr>
              <w:spacing w:after="20"/>
              <w:jc w:val="left"/>
            </w:pPr>
            <w:r/>
            <w:r>
              <w:rPr>
                <w:rFonts w:ascii="Times New Roman" w:hAnsi="Times New Roman"/>
                <w:b w:val="0"/>
                <w:sz w:val="17"/>
              </w:rPr>
              <w:t>Không dồn lực đào bới toàn bộ quá khứ; tập trung kiểm soát từ hôm nay.</w:t>
            </w:r>
          </w:p>
        </w:tc>
        <w:tc>
          <w:tcPr>
            <w:tcW w:type="dxa" w:w="2835"/>
            <w:vAlign w:val="center"/>
          </w:tcPr>
          <w:p>
            <w:pPr>
              <w:spacing w:after="20"/>
              <w:jc w:val="left"/>
            </w:pPr>
            <w:r/>
            <w:r>
              <w:rPr>
                <w:rFonts w:ascii="Times New Roman" w:hAnsi="Times New Roman"/>
                <w:b w:val="0"/>
                <w:sz w:val="17"/>
              </w:rPr>
              <w:t>Chặn phát sinh mới, làm đều theo ngày/tuần.</w:t>
            </w:r>
          </w:p>
        </w:tc>
      </w:tr>
      <w:tr>
        <w:tc>
          <w:tcPr>
            <w:tcW w:type="dxa" w:w="2835"/>
            <w:vAlign w:val="center"/>
            <w:shd w:fill="FFF4D6"/>
          </w:tcPr>
          <w:p>
            <w:pPr>
              <w:spacing w:after="20"/>
              <w:jc w:val="left"/>
            </w:pPr>
            <w:r/>
            <w:r>
              <w:rPr>
                <w:rFonts w:ascii="Times New Roman" w:hAnsi="Times New Roman"/>
                <w:b/>
                <w:sz w:val="17"/>
              </w:rPr>
              <w:t>Kho quá tải, tồn kho tuổi/Aging khó kiểm soát.</w:t>
            </w:r>
          </w:p>
        </w:tc>
        <w:tc>
          <w:tcPr>
            <w:tcW w:type="dxa" w:w="2835"/>
            <w:vAlign w:val="center"/>
          </w:tcPr>
          <w:p>
            <w:pPr>
              <w:spacing w:after="20"/>
              <w:jc w:val="left"/>
            </w:pPr>
            <w:r/>
            <w:r>
              <w:rPr>
                <w:rFonts w:ascii="Times New Roman" w:hAnsi="Times New Roman"/>
                <w:b w:val="0"/>
                <w:sz w:val="17"/>
              </w:rPr>
              <w:t>Rà soát Aging Inventory Management (Quản lý hàng tồn tuổi), layout kho, phân khu, mã vị trí.</w:t>
            </w:r>
          </w:p>
        </w:tc>
        <w:tc>
          <w:tcPr>
            <w:tcW w:type="dxa" w:w="2835"/>
            <w:vAlign w:val="center"/>
          </w:tcPr>
          <w:p>
            <w:pPr>
              <w:spacing w:after="20"/>
              <w:jc w:val="left"/>
            </w:pPr>
            <w:r/>
            <w:r>
              <w:rPr>
                <w:rFonts w:ascii="Times New Roman" w:hAnsi="Times New Roman"/>
                <w:b w:val="0"/>
                <w:sz w:val="17"/>
              </w:rPr>
              <w:t>Hàng &gt;60 ngày có Owner, hàng &gt;90 ngày có kế hoạch xử lý, hàng &gt;120 ngày trình phương án xử lý.</w:t>
            </w:r>
          </w:p>
        </w:tc>
      </w:tr>
      <w:tr>
        <w:tc>
          <w:tcPr>
            <w:tcW w:type="dxa" w:w="2835"/>
            <w:vAlign w:val="center"/>
            <w:shd w:fill="FFF4D6"/>
          </w:tcPr>
          <w:p>
            <w:pPr>
              <w:spacing w:after="20"/>
              <w:jc w:val="left"/>
            </w:pPr>
            <w:r/>
            <w:r>
              <w:rPr>
                <w:rFonts w:ascii="Times New Roman" w:hAnsi="Times New Roman"/>
                <w:b/>
                <w:sz w:val="17"/>
              </w:rPr>
              <w:t>Thiếu chuẩn FC/PO/DO và điều kiện được sản xuất.</w:t>
            </w:r>
          </w:p>
        </w:tc>
        <w:tc>
          <w:tcPr>
            <w:tcW w:type="dxa" w:w="2835"/>
            <w:vAlign w:val="center"/>
          </w:tcPr>
          <w:p>
            <w:pPr>
              <w:spacing w:after="20"/>
              <w:jc w:val="left"/>
            </w:pPr>
            <w:r/>
            <w:r>
              <w:rPr>
                <w:rFonts w:ascii="Times New Roman" w:hAnsi="Times New Roman"/>
                <w:b w:val="0"/>
                <w:sz w:val="17"/>
              </w:rPr>
              <w:t>Sale, KHĐP, SCM, GĐNM rà soát quy định FC/PO/DO trong 07 ngày.</w:t>
            </w:r>
          </w:p>
        </w:tc>
        <w:tc>
          <w:tcPr>
            <w:tcW w:type="dxa" w:w="2835"/>
            <w:vAlign w:val="center"/>
          </w:tcPr>
          <w:p>
            <w:pPr>
              <w:spacing w:after="20"/>
              <w:jc w:val="left"/>
            </w:pPr>
            <w:r/>
            <w:r>
              <w:rPr>
                <w:rFonts w:ascii="Times New Roman" w:hAnsi="Times New Roman"/>
                <w:b w:val="0"/>
                <w:sz w:val="17"/>
              </w:rPr>
              <w:t>Không sản xuất ngoài PO/FC được duyệt; sale nói miệng/email chưa xác nhận không được coi là điều kiện sản xuất.</w:t>
            </w:r>
          </w:p>
        </w:tc>
      </w:tr>
    </w:tbl>
    <w:p>
      <w:pPr>
        <w:pStyle w:val="Heading1"/>
      </w:pPr>
      <w:r>
        <w:rPr>
          <w:rFonts w:ascii="Times New Roman" w:hAnsi="Times New Roman"/>
        </w:rPr>
        <w:t>2. Lớp 1 – Nội dung CEO đã nêu/chốt (Fact)</w:t>
      </w:r>
    </w:p>
    <w:p>
      <w:pPr>
        <w:spacing w:after="60" w:before="0"/>
      </w:pPr>
      <w:r>
        <w:rPr>
          <w:rFonts w:ascii="Times New Roman" w:hAnsi="Times New Roman"/>
          <w:b w:val="0"/>
          <w:i/>
          <w:sz w:val="20"/>
        </w:rPr>
        <w:t>Các nội dung dưới đây được tổng hợp từ phần chỉ đạo/yêu cầu trong luồng chat, không bổ sung thông tin ngoài file.</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56"/>
        <w:gridCol w:w="5156"/>
      </w:tblGrid>
      <w:tr>
        <w:tc>
          <w:tcPr>
            <w:tcW w:type="dxa" w:w="2268"/>
            <w:vAlign w:val="center"/>
            <w:shd w:fill="006837"/>
          </w:tcPr>
          <w:p>
            <w:pPr>
              <w:spacing w:after="20"/>
              <w:jc w:val="left"/>
            </w:pPr>
            <w:r/>
            <w:r>
              <w:rPr>
                <w:rFonts w:ascii="Times New Roman" w:hAnsi="Times New Roman"/>
                <w:b/>
                <w:color w:val="FFFFFF"/>
                <w:sz w:val="18"/>
              </w:rPr>
              <w:t>Nhóm nội dung</w:t>
            </w:r>
          </w:p>
        </w:tc>
        <w:tc>
          <w:tcPr>
            <w:tcW w:type="dxa" w:w="6236"/>
            <w:vAlign w:val="center"/>
            <w:shd w:fill="006837"/>
          </w:tcPr>
          <w:p>
            <w:pPr>
              <w:spacing w:after="20"/>
              <w:jc w:val="left"/>
            </w:pPr>
            <w:r/>
            <w:r>
              <w:rPr>
                <w:rFonts w:ascii="Times New Roman" w:hAnsi="Times New Roman"/>
                <w:b/>
                <w:color w:val="FFFFFF"/>
                <w:sz w:val="18"/>
              </w:rPr>
              <w:t>Fact (nội dung đã xuất hiện trong luồng)</w:t>
            </w:r>
          </w:p>
        </w:tc>
      </w:tr>
      <w:tr>
        <w:tc>
          <w:tcPr>
            <w:tcW w:type="dxa" w:w="2268"/>
            <w:vAlign w:val="center"/>
            <w:shd w:fill="FFF4D6"/>
          </w:tcPr>
          <w:p>
            <w:pPr>
              <w:spacing w:after="20"/>
              <w:jc w:val="left"/>
            </w:pPr>
            <w:r/>
            <w:r>
              <w:rPr>
                <w:rFonts w:ascii="Times New Roman" w:hAnsi="Times New Roman"/>
                <w:b/>
                <w:sz w:val="17"/>
              </w:rPr>
              <w:t>Đổi mục tiêu xử lý</w:t>
            </w:r>
          </w:p>
        </w:tc>
        <w:tc>
          <w:tcPr>
            <w:tcW w:type="dxa" w:w="6236"/>
            <w:vAlign w:val="center"/>
          </w:tcPr>
          <w:p>
            <w:pPr>
              <w:spacing w:after="20"/>
              <w:jc w:val="left"/>
            </w:pPr>
            <w:r/>
            <w:r>
              <w:rPr>
                <w:rFonts w:ascii="Times New Roman" w:hAnsi="Times New Roman"/>
                <w:b w:val="0"/>
                <w:sz w:val="17"/>
              </w:rPr>
              <w:t>Không chỉ dừng ở việc duyệt hủy hàng; cần tìm nguyên nhân, khắc phục, phòng ngừa và sửa lại hệ thống làm việc.</w:t>
            </w:r>
          </w:p>
        </w:tc>
      </w:tr>
      <w:tr>
        <w:tc>
          <w:tcPr>
            <w:tcW w:type="dxa" w:w="2268"/>
            <w:vAlign w:val="center"/>
            <w:shd w:fill="FFF4D6"/>
          </w:tcPr>
          <w:p>
            <w:pPr>
              <w:spacing w:after="20"/>
              <w:jc w:val="left"/>
            </w:pPr>
            <w:r/>
            <w:r>
              <w:rPr>
                <w:rFonts w:ascii="Times New Roman" w:hAnsi="Times New Roman"/>
                <w:b/>
                <w:sz w:val="17"/>
              </w:rPr>
              <w:t>Không đào bới quá khứ bằng mọi giá</w:t>
            </w:r>
          </w:p>
        </w:tc>
        <w:tc>
          <w:tcPr>
            <w:tcW w:type="dxa" w:w="6236"/>
            <w:vAlign w:val="center"/>
          </w:tcPr>
          <w:p>
            <w:pPr>
              <w:spacing w:after="20"/>
              <w:jc w:val="left"/>
            </w:pPr>
            <w:r/>
            <w:r>
              <w:rPr>
                <w:rFonts w:ascii="Times New Roman" w:hAnsi="Times New Roman"/>
                <w:b w:val="0"/>
                <w:sz w:val="17"/>
              </w:rPr>
              <w:t>Dữ liệu quá lâu, không ai còn biết đầy đủ; kho không thể chứa hàng lâu; không để dồn nhiều việc một lúc.</w:t>
            </w:r>
          </w:p>
        </w:tc>
      </w:tr>
      <w:tr>
        <w:tc>
          <w:tcPr>
            <w:tcW w:type="dxa" w:w="2268"/>
            <w:vAlign w:val="center"/>
            <w:shd w:fill="FFF4D6"/>
          </w:tcPr>
          <w:p>
            <w:pPr>
              <w:spacing w:after="20"/>
              <w:jc w:val="left"/>
            </w:pPr>
            <w:r/>
            <w:r>
              <w:rPr>
                <w:rFonts w:ascii="Times New Roman" w:hAnsi="Times New Roman"/>
                <w:b/>
                <w:sz w:val="17"/>
              </w:rPr>
              <w:t>Cách làm mới</w:t>
            </w:r>
          </w:p>
        </w:tc>
        <w:tc>
          <w:tcPr>
            <w:tcW w:type="dxa" w:w="6236"/>
            <w:vAlign w:val="center"/>
          </w:tcPr>
          <w:p>
            <w:pPr>
              <w:spacing w:after="20"/>
              <w:jc w:val="left"/>
            </w:pPr>
            <w:r/>
            <w:r>
              <w:rPr>
                <w:rFonts w:ascii="Times New Roman" w:hAnsi="Times New Roman"/>
                <w:b w:val="0"/>
                <w:sz w:val="17"/>
              </w:rPr>
              <w:t>Phải làm hàng ngày, hàng tuần; đặt mục tiêu và KPI cho mọi người, đơn vị theo tuần/tháng.</w:t>
            </w:r>
          </w:p>
        </w:tc>
      </w:tr>
      <w:tr>
        <w:tc>
          <w:tcPr>
            <w:tcW w:type="dxa" w:w="2268"/>
            <w:vAlign w:val="center"/>
            <w:shd w:fill="FFF4D6"/>
          </w:tcPr>
          <w:p>
            <w:pPr>
              <w:spacing w:after="20"/>
              <w:jc w:val="left"/>
            </w:pPr>
            <w:r/>
            <w:r>
              <w:rPr>
                <w:rFonts w:ascii="Times New Roman" w:hAnsi="Times New Roman"/>
                <w:b/>
                <w:sz w:val="17"/>
              </w:rPr>
              <w:t>Ban hành trong 07 ngày</w:t>
            </w:r>
          </w:p>
        </w:tc>
        <w:tc>
          <w:tcPr>
            <w:tcW w:type="dxa" w:w="6236"/>
            <w:vAlign w:val="center"/>
          </w:tcPr>
          <w:p>
            <w:pPr>
              <w:spacing w:after="20"/>
              <w:jc w:val="left"/>
            </w:pPr>
            <w:r/>
            <w:r>
              <w:rPr>
                <w:rFonts w:ascii="Times New Roman" w:hAnsi="Times New Roman"/>
                <w:b w:val="0"/>
                <w:sz w:val="17"/>
              </w:rPr>
              <w:t>GĐNM + KHĐP + Sale rà soát lại quy định, hướng dẫn để ban hành lại trong 1 tuần, ký quy trình/quy định mới.</w:t>
            </w:r>
          </w:p>
        </w:tc>
      </w:tr>
      <w:tr>
        <w:tc>
          <w:tcPr>
            <w:tcW w:type="dxa" w:w="2268"/>
            <w:vAlign w:val="center"/>
            <w:shd w:fill="FFF4D6"/>
          </w:tcPr>
          <w:p>
            <w:pPr>
              <w:spacing w:after="20"/>
              <w:jc w:val="left"/>
            </w:pPr>
            <w:r/>
            <w:r>
              <w:rPr>
                <w:rFonts w:ascii="Times New Roman" w:hAnsi="Times New Roman"/>
                <w:b/>
                <w:sz w:val="17"/>
              </w:rPr>
              <w:t>Thiếu tiêu chuẩn thì phải xây</w:t>
            </w:r>
          </w:p>
        </w:tc>
        <w:tc>
          <w:tcPr>
            <w:tcW w:type="dxa" w:w="6236"/>
            <w:vAlign w:val="center"/>
          </w:tcPr>
          <w:p>
            <w:pPr>
              <w:spacing w:after="20"/>
              <w:jc w:val="left"/>
            </w:pPr>
            <w:r/>
            <w:r>
              <w:rPr>
                <w:rFonts w:ascii="Times New Roman" w:hAnsi="Times New Roman"/>
                <w:b w:val="0"/>
                <w:sz w:val="17"/>
              </w:rPr>
              <w:t>Nếu không có quy trình, quy định, hướng dẫn tham chiếu thì phải làm ngay trong 07 ngày.</w:t>
            </w:r>
          </w:p>
        </w:tc>
      </w:tr>
      <w:tr>
        <w:tc>
          <w:tcPr>
            <w:tcW w:type="dxa" w:w="2268"/>
            <w:vAlign w:val="center"/>
            <w:shd w:fill="FFF4D6"/>
          </w:tcPr>
          <w:p>
            <w:pPr>
              <w:spacing w:after="20"/>
              <w:jc w:val="left"/>
            </w:pPr>
            <w:r/>
            <w:r>
              <w:rPr>
                <w:rFonts w:ascii="Times New Roman" w:hAnsi="Times New Roman"/>
                <w:b/>
                <w:sz w:val="17"/>
              </w:rPr>
              <w:t>Layout kho</w:t>
            </w:r>
          </w:p>
        </w:tc>
        <w:tc>
          <w:tcPr>
            <w:tcW w:type="dxa" w:w="6236"/>
            <w:vAlign w:val="center"/>
          </w:tcPr>
          <w:p>
            <w:pPr>
              <w:spacing w:after="20"/>
              <w:jc w:val="left"/>
            </w:pPr>
            <w:r/>
            <w:r>
              <w:rPr>
                <w:rFonts w:ascii="Times New Roman" w:hAnsi="Times New Roman"/>
                <w:b w:val="0"/>
                <w:sz w:val="17"/>
              </w:rPr>
              <w:t>Kho phải có Warehouse Layout (Sơ đồ kho) để quản lý, phân biệt, dễ tìm, dễ kiểm đếm; phải lập trong 07 ngày.</w:t>
            </w:r>
          </w:p>
        </w:tc>
      </w:tr>
      <w:tr>
        <w:tc>
          <w:tcPr>
            <w:tcW w:type="dxa" w:w="2268"/>
            <w:vAlign w:val="center"/>
            <w:shd w:fill="FFF4D6"/>
          </w:tcPr>
          <w:p>
            <w:pPr>
              <w:spacing w:after="20"/>
              <w:jc w:val="left"/>
            </w:pPr>
            <w:r/>
            <w:r>
              <w:rPr>
                <w:rFonts w:ascii="Times New Roman" w:hAnsi="Times New Roman"/>
                <w:b/>
                <w:sz w:val="17"/>
              </w:rPr>
              <w:t>Biểu mẫu và dữ liệu</w:t>
            </w:r>
          </w:p>
        </w:tc>
        <w:tc>
          <w:tcPr>
            <w:tcW w:type="dxa" w:w="6236"/>
            <w:vAlign w:val="center"/>
          </w:tcPr>
          <w:p>
            <w:pPr>
              <w:spacing w:after="20"/>
              <w:jc w:val="left"/>
            </w:pPr>
            <w:r/>
            <w:r>
              <w:rPr>
                <w:rFonts w:ascii="Times New Roman" w:hAnsi="Times New Roman"/>
                <w:b w:val="0"/>
                <w:sz w:val="17"/>
              </w:rPr>
              <w:t>Nếu không có biểu mẫu, dữ liệu thu thập để quản lý, đánh giá, soát xét thì phải xây dựng kế hoạch và xây trong 07 ngày.</w:t>
            </w:r>
          </w:p>
        </w:tc>
      </w:tr>
      <w:tr>
        <w:tc>
          <w:tcPr>
            <w:tcW w:type="dxa" w:w="2268"/>
            <w:vAlign w:val="center"/>
            <w:shd w:fill="FFF4D6"/>
          </w:tcPr>
          <w:p>
            <w:pPr>
              <w:spacing w:after="20"/>
              <w:jc w:val="left"/>
            </w:pPr>
            <w:r/>
            <w:r>
              <w:rPr>
                <w:rFonts w:ascii="Times New Roman" w:hAnsi="Times New Roman"/>
                <w:b/>
                <w:sz w:val="17"/>
              </w:rPr>
              <w:t>Owner/OC</w:t>
            </w:r>
          </w:p>
        </w:tc>
        <w:tc>
          <w:tcPr>
            <w:tcW w:type="dxa" w:w="6236"/>
            <w:vAlign w:val="center"/>
          </w:tcPr>
          <w:p>
            <w:pPr>
              <w:spacing w:after="20"/>
              <w:jc w:val="left"/>
            </w:pPr>
            <w:r/>
            <w:r>
              <w:rPr>
                <w:rFonts w:ascii="Times New Roman" w:hAnsi="Times New Roman"/>
                <w:b w:val="0"/>
                <w:sz w:val="17"/>
              </w:rPr>
              <w:t>Không có người chịu trách nhiệm thì coi như OC chưa làm.</w:t>
            </w:r>
          </w:p>
        </w:tc>
      </w:tr>
      <w:tr>
        <w:tc>
          <w:tcPr>
            <w:tcW w:type="dxa" w:w="2268"/>
            <w:vAlign w:val="center"/>
            <w:shd w:fill="FFF4D6"/>
          </w:tcPr>
          <w:p>
            <w:pPr>
              <w:spacing w:after="20"/>
              <w:jc w:val="left"/>
            </w:pPr>
            <w:r/>
            <w:r>
              <w:rPr>
                <w:rFonts w:ascii="Times New Roman" w:hAnsi="Times New Roman"/>
                <w:b/>
                <w:sz w:val="17"/>
              </w:rPr>
              <w:t>KPI tháng 6</w:t>
            </w:r>
          </w:p>
        </w:tc>
        <w:tc>
          <w:tcPr>
            <w:tcW w:type="dxa" w:w="6236"/>
            <w:vAlign w:val="center"/>
          </w:tcPr>
          <w:p>
            <w:pPr>
              <w:spacing w:after="20"/>
              <w:jc w:val="left"/>
            </w:pPr>
            <w:r/>
            <w:r>
              <w:rPr>
                <w:rFonts w:ascii="Times New Roman" w:hAnsi="Times New Roman"/>
                <w:b w:val="0"/>
                <w:sz w:val="17"/>
              </w:rPr>
              <w:t>Không hoàn thành các công việc trên, không đăng ký, không có tên thì không tính thưởng KPI tháng 6.</w:t>
            </w:r>
          </w:p>
        </w:tc>
      </w:tr>
      <w:tr>
        <w:tc>
          <w:tcPr>
            <w:tcW w:type="dxa" w:w="2268"/>
            <w:vAlign w:val="center"/>
            <w:shd w:fill="FFF4D6"/>
          </w:tcPr>
          <w:p>
            <w:pPr>
              <w:spacing w:after="20"/>
              <w:jc w:val="left"/>
            </w:pPr>
            <w:r/>
            <w:r>
              <w:rPr>
                <w:rFonts w:ascii="Times New Roman" w:hAnsi="Times New Roman"/>
                <w:b/>
                <w:sz w:val="17"/>
              </w:rPr>
              <w:t>Ban TO</w:t>
            </w:r>
          </w:p>
        </w:tc>
        <w:tc>
          <w:tcPr>
            <w:tcW w:type="dxa" w:w="6236"/>
            <w:vAlign w:val="center"/>
          </w:tcPr>
          <w:p>
            <w:pPr>
              <w:spacing w:after="20"/>
              <w:jc w:val="left"/>
            </w:pPr>
            <w:r/>
            <w:r>
              <w:rPr>
                <w:rFonts w:ascii="Times New Roman" w:hAnsi="Times New Roman"/>
                <w:b w:val="0"/>
                <w:sz w:val="17"/>
              </w:rPr>
              <w:t>Đưa Ban TO vào hỗ trợ và giám sát tuân thủ.</w:t>
            </w:r>
          </w:p>
        </w:tc>
      </w:tr>
      <w:tr>
        <w:tc>
          <w:tcPr>
            <w:tcW w:type="dxa" w:w="2268"/>
            <w:vAlign w:val="center"/>
            <w:shd w:fill="FFF4D6"/>
          </w:tcPr>
          <w:p>
            <w:pPr>
              <w:spacing w:after="20"/>
              <w:jc w:val="left"/>
            </w:pPr>
            <w:r/>
            <w:r>
              <w:rPr>
                <w:rFonts w:ascii="Times New Roman" w:hAnsi="Times New Roman"/>
                <w:b/>
                <w:sz w:val="17"/>
              </w:rPr>
              <w:t>Tên người liên quan trong bản chốt cuối</w:t>
            </w:r>
          </w:p>
        </w:tc>
        <w:tc>
          <w:tcPr>
            <w:tcW w:type="dxa" w:w="6236"/>
            <w:vAlign w:val="center"/>
          </w:tcPr>
          <w:p>
            <w:pPr>
              <w:spacing w:after="20"/>
              <w:jc w:val="left"/>
            </w:pPr>
            <w:r/>
            <w:r>
              <w:rPr>
                <w:rFonts w:ascii="Times New Roman" w:hAnsi="Times New Roman"/>
                <w:b w:val="0"/>
                <w:sz w:val="17"/>
              </w:rPr>
              <w:t>Lam, Hào, Thành chủ trì cùng Hiệu, Trường, Luân, Dũng Kho, Hưng, Quý, Ly; Ban TO gồm Hương, Toản, Lâm, C Loan, Trinh.</w:t>
            </w:r>
          </w:p>
        </w:tc>
      </w:tr>
    </w:tbl>
    <w:p>
      <w:pPr>
        <w:pStyle w:val="Heading1"/>
      </w:pPr>
      <w:r>
        <w:rPr>
          <w:rFonts w:ascii="Times New Roman" w:hAnsi="Times New Roman"/>
        </w:rPr>
        <w:t>3. Lớp 2 – Nội dung tư vấn/đề xuất trong luồng chat</w:t>
      </w:r>
    </w:p>
    <w:p>
      <w:pPr>
        <w:spacing w:after="60" w:before="0"/>
      </w:pPr>
      <w:r>
        <w:rPr>
          <w:rFonts w:ascii="Times New Roman" w:hAnsi="Times New Roman"/>
          <w:b w:val="0"/>
          <w:i/>
          <w:sz w:val="20"/>
        </w:rPr>
        <w:t>Đây là phần giải pháp/tư vấn đã xuất hiện trong luồng chat để triển khai dần, không coi là dữ liệu đã chốt nếu chưa được CEO hoặc các đơn vị xác nhận.</w:t>
      </w:r>
    </w:p>
    <w:p>
      <w:pPr>
        <w:pStyle w:val="Heading2"/>
      </w:pPr>
      <w:r>
        <w:rPr>
          <w:rFonts w:ascii="Times New Roman" w:hAnsi="Times New Roman"/>
        </w:rPr>
        <w:t>3.1. Chuyển từ “Tờ trình xin hủy” sang “Loss Management Report (Báo cáo quản trị tổn thất)”</w:t>
      </w:r>
    </w:p>
    <w:p>
      <w:pPr>
        <w:spacing w:after="20" w:before="0"/>
      </w:pPr>
      <w:r>
        <w:rPr>
          <w:rFonts w:ascii="Times New Roman" w:hAnsi="Times New Roman"/>
          <w:b w:val="0"/>
          <w:i w:val="0"/>
          <w:sz w:val="20"/>
        </w:rPr>
        <w:t>• Không dừng ở việc duyệt hủy.</w:t>
      </w:r>
    </w:p>
    <w:p>
      <w:pPr>
        <w:spacing w:after="20" w:before="0"/>
      </w:pPr>
      <w:r>
        <w:rPr>
          <w:rFonts w:ascii="Times New Roman" w:hAnsi="Times New Roman"/>
          <w:b w:val="0"/>
          <w:i w:val="0"/>
          <w:sz w:val="20"/>
        </w:rPr>
        <w:t>• Mọi khoản hủy phải truy được Root Cause (Nguyên nhân gốc).</w:t>
      </w:r>
    </w:p>
    <w:p>
      <w:pPr>
        <w:spacing w:after="20" w:before="0"/>
      </w:pPr>
      <w:r>
        <w:rPr>
          <w:rFonts w:ascii="Times New Roman" w:hAnsi="Times New Roman"/>
          <w:b w:val="0"/>
          <w:i w:val="0"/>
          <w:sz w:val="20"/>
        </w:rPr>
        <w:t>• Mọi Root Cause phải có CAPA (Corrective and Preventive Action/Khắc phục và Phòng ngừa).</w:t>
      </w:r>
    </w:p>
    <w:p>
      <w:pPr>
        <w:spacing w:after="20" w:before="0"/>
      </w:pPr>
      <w:r>
        <w:rPr>
          <w:rFonts w:ascii="Times New Roman" w:hAnsi="Times New Roman"/>
          <w:b w:val="0"/>
          <w:i w:val="0"/>
          <w:sz w:val="20"/>
        </w:rPr>
        <w:t>• Mọi CAPA phải sửa SOP/ERP/APS/KPI.</w:t>
      </w:r>
    </w:p>
    <w:p>
      <w:pPr>
        <w:spacing w:after="20" w:before="0"/>
      </w:pPr>
      <w:r>
        <w:rPr>
          <w:rFonts w:ascii="Times New Roman" w:hAnsi="Times New Roman"/>
          <w:b w:val="0"/>
          <w:i w:val="0"/>
          <w:sz w:val="20"/>
        </w:rPr>
        <w:t>• Không chấp nhận cùng một lỗi lặp lại quá 2 lần.</w:t>
      </w:r>
    </w:p>
    <w:p>
      <w:pPr>
        <w:pStyle w:val="Heading2"/>
      </w:pPr>
      <w:r>
        <w:rPr>
          <w:rFonts w:ascii="Times New Roman" w:hAnsi="Times New Roman"/>
        </w:rPr>
        <w:t>3.2. Bổ sung dữ liệu quản trị vào mẫu hủy hàng hiện tại</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56"/>
        <w:gridCol w:w="5156"/>
      </w:tblGrid>
      <w:tr>
        <w:tc>
          <w:tcPr>
            <w:tcW w:type="dxa" w:w="2438"/>
            <w:vAlign w:val="center"/>
            <w:shd w:fill="006837"/>
          </w:tcPr>
          <w:p>
            <w:pPr>
              <w:spacing w:after="20"/>
              <w:jc w:val="left"/>
            </w:pPr>
            <w:r/>
            <w:r>
              <w:rPr>
                <w:rFonts w:ascii="Times New Roman" w:hAnsi="Times New Roman"/>
                <w:b/>
                <w:color w:val="FFFFFF"/>
                <w:sz w:val="18"/>
              </w:rPr>
              <w:t>Cột mới</w:t>
            </w:r>
          </w:p>
        </w:tc>
        <w:tc>
          <w:tcPr>
            <w:tcW w:type="dxa" w:w="6066"/>
            <w:vAlign w:val="center"/>
            <w:shd w:fill="006837"/>
          </w:tcPr>
          <w:p>
            <w:pPr>
              <w:spacing w:after="20"/>
              <w:jc w:val="left"/>
            </w:pPr>
            <w:r/>
            <w:r>
              <w:rPr>
                <w:rFonts w:ascii="Times New Roman" w:hAnsi="Times New Roman"/>
                <w:b/>
                <w:color w:val="FFFFFF"/>
                <w:sz w:val="18"/>
              </w:rPr>
              <w:t>Ý nghĩa</w:t>
            </w:r>
          </w:p>
        </w:tc>
      </w:tr>
      <w:tr>
        <w:tc>
          <w:tcPr>
            <w:tcW w:type="dxa" w:w="2438"/>
            <w:vAlign w:val="center"/>
            <w:shd w:fill="FFF4D6"/>
          </w:tcPr>
          <w:p>
            <w:pPr>
              <w:spacing w:after="20"/>
              <w:jc w:val="left"/>
            </w:pPr>
            <w:r/>
            <w:r>
              <w:rPr>
                <w:rFonts w:ascii="Times New Roman" w:hAnsi="Times New Roman"/>
                <w:b/>
                <w:sz w:val="17"/>
              </w:rPr>
              <w:t>Nhóm nguyên nhân</w:t>
            </w:r>
          </w:p>
        </w:tc>
        <w:tc>
          <w:tcPr>
            <w:tcW w:type="dxa" w:w="6066"/>
            <w:vAlign w:val="center"/>
          </w:tcPr>
          <w:p>
            <w:pPr>
              <w:spacing w:after="20"/>
              <w:jc w:val="left"/>
            </w:pPr>
            <w:r/>
            <w:r>
              <w:rPr>
                <w:rFonts w:ascii="Times New Roman" w:hAnsi="Times New Roman"/>
                <w:b w:val="0"/>
                <w:sz w:val="17"/>
              </w:rPr>
              <w:t>FC sai, khách hủy, SX dư, lỗi chất lượng, đổi mẫu, tồn kho lâu.</w:t>
            </w:r>
          </w:p>
        </w:tc>
      </w:tr>
      <w:tr>
        <w:tc>
          <w:tcPr>
            <w:tcW w:type="dxa" w:w="2438"/>
            <w:vAlign w:val="center"/>
            <w:shd w:fill="FFF4D6"/>
          </w:tcPr>
          <w:p>
            <w:pPr>
              <w:spacing w:after="20"/>
              <w:jc w:val="left"/>
            </w:pPr>
            <w:r/>
            <w:r>
              <w:rPr>
                <w:rFonts w:ascii="Times New Roman" w:hAnsi="Times New Roman"/>
                <w:b/>
                <w:sz w:val="17"/>
              </w:rPr>
              <w:t>Root Cause sơ bộ</w:t>
            </w:r>
          </w:p>
        </w:tc>
        <w:tc>
          <w:tcPr>
            <w:tcW w:type="dxa" w:w="6066"/>
            <w:vAlign w:val="center"/>
          </w:tcPr>
          <w:p>
            <w:pPr>
              <w:spacing w:after="20"/>
              <w:jc w:val="left"/>
            </w:pPr>
            <w:r/>
            <w:r>
              <w:rPr>
                <w:rFonts w:ascii="Times New Roman" w:hAnsi="Times New Roman"/>
                <w:b w:val="0"/>
                <w:sz w:val="17"/>
              </w:rPr>
              <w:t>Nguyên nhân gốc tạm thời.</w:t>
            </w:r>
          </w:p>
        </w:tc>
      </w:tr>
      <w:tr>
        <w:tc>
          <w:tcPr>
            <w:tcW w:type="dxa" w:w="2438"/>
            <w:vAlign w:val="center"/>
            <w:shd w:fill="FFF4D6"/>
          </w:tcPr>
          <w:p>
            <w:pPr>
              <w:spacing w:after="20"/>
              <w:jc w:val="left"/>
            </w:pPr>
            <w:r/>
            <w:r>
              <w:rPr>
                <w:rFonts w:ascii="Times New Roman" w:hAnsi="Times New Roman"/>
                <w:b/>
                <w:sz w:val="17"/>
              </w:rPr>
              <w:t>Có SLA không</w:t>
            </w:r>
          </w:p>
        </w:tc>
        <w:tc>
          <w:tcPr>
            <w:tcW w:type="dxa" w:w="6066"/>
            <w:vAlign w:val="center"/>
          </w:tcPr>
          <w:p>
            <w:pPr>
              <w:spacing w:after="20"/>
              <w:jc w:val="left"/>
            </w:pPr>
            <w:r/>
            <w:r>
              <w:rPr>
                <w:rFonts w:ascii="Times New Roman" w:hAnsi="Times New Roman"/>
                <w:b w:val="0"/>
                <w:sz w:val="17"/>
              </w:rPr>
              <w:t>Có/Không/Chưa rõ.</w:t>
            </w:r>
          </w:p>
        </w:tc>
      </w:tr>
      <w:tr>
        <w:tc>
          <w:tcPr>
            <w:tcW w:type="dxa" w:w="2438"/>
            <w:vAlign w:val="center"/>
            <w:shd w:fill="FFF4D6"/>
          </w:tcPr>
          <w:p>
            <w:pPr>
              <w:spacing w:after="20"/>
              <w:jc w:val="left"/>
            </w:pPr>
            <w:r/>
            <w:r>
              <w:rPr>
                <w:rFonts w:ascii="Times New Roman" w:hAnsi="Times New Roman"/>
                <w:b/>
                <w:sz w:val="17"/>
              </w:rPr>
              <w:t>Có PO/FC không</w:t>
            </w:r>
          </w:p>
        </w:tc>
        <w:tc>
          <w:tcPr>
            <w:tcW w:type="dxa" w:w="6066"/>
            <w:vAlign w:val="center"/>
          </w:tcPr>
          <w:p>
            <w:pPr>
              <w:spacing w:after="20"/>
              <w:jc w:val="left"/>
            </w:pPr>
            <w:r/>
            <w:r>
              <w:rPr>
                <w:rFonts w:ascii="Times New Roman" w:hAnsi="Times New Roman"/>
                <w:b w:val="0"/>
                <w:sz w:val="17"/>
              </w:rPr>
              <w:t>PO, FC, DO, verbal.</w:t>
            </w:r>
          </w:p>
        </w:tc>
      </w:tr>
      <w:tr>
        <w:tc>
          <w:tcPr>
            <w:tcW w:type="dxa" w:w="2438"/>
            <w:vAlign w:val="center"/>
            <w:shd w:fill="FFF4D6"/>
          </w:tcPr>
          <w:p>
            <w:pPr>
              <w:spacing w:after="20"/>
              <w:jc w:val="left"/>
            </w:pPr>
            <w:r/>
            <w:r>
              <w:rPr>
                <w:rFonts w:ascii="Times New Roman" w:hAnsi="Times New Roman"/>
                <w:b/>
                <w:sz w:val="17"/>
              </w:rPr>
              <w:t>OC chịu trách nhiệm</w:t>
            </w:r>
          </w:p>
        </w:tc>
        <w:tc>
          <w:tcPr>
            <w:tcW w:type="dxa" w:w="6066"/>
            <w:vAlign w:val="center"/>
          </w:tcPr>
          <w:p>
            <w:pPr>
              <w:spacing w:after="20"/>
              <w:jc w:val="left"/>
            </w:pPr>
            <w:r/>
            <w:r>
              <w:rPr>
                <w:rFonts w:ascii="Times New Roman" w:hAnsi="Times New Roman"/>
                <w:b w:val="0"/>
                <w:sz w:val="17"/>
              </w:rPr>
              <w:t>Sale/SCM/KHĐP/SX/QA/Kho.</w:t>
            </w:r>
          </w:p>
        </w:tc>
      </w:tr>
      <w:tr>
        <w:tc>
          <w:tcPr>
            <w:tcW w:type="dxa" w:w="2438"/>
            <w:vAlign w:val="center"/>
            <w:shd w:fill="FFF4D6"/>
          </w:tcPr>
          <w:p>
            <w:pPr>
              <w:spacing w:after="20"/>
              <w:jc w:val="left"/>
            </w:pPr>
            <w:r/>
            <w:r>
              <w:rPr>
                <w:rFonts w:ascii="Times New Roman" w:hAnsi="Times New Roman"/>
                <w:b/>
                <w:sz w:val="17"/>
              </w:rPr>
              <w:t>Hành động khắc phục</w:t>
            </w:r>
          </w:p>
        </w:tc>
        <w:tc>
          <w:tcPr>
            <w:tcW w:type="dxa" w:w="6066"/>
            <w:vAlign w:val="center"/>
          </w:tcPr>
          <w:p>
            <w:pPr>
              <w:spacing w:after="20"/>
              <w:jc w:val="left"/>
            </w:pPr>
            <w:r/>
            <w:r>
              <w:rPr>
                <w:rFonts w:ascii="Times New Roman" w:hAnsi="Times New Roman"/>
                <w:b w:val="0"/>
                <w:sz w:val="17"/>
              </w:rPr>
              <w:t>Xử lý lô hàng hiện tại.</w:t>
            </w:r>
          </w:p>
        </w:tc>
      </w:tr>
      <w:tr>
        <w:tc>
          <w:tcPr>
            <w:tcW w:type="dxa" w:w="2438"/>
            <w:vAlign w:val="center"/>
            <w:shd w:fill="FFF4D6"/>
          </w:tcPr>
          <w:p>
            <w:pPr>
              <w:spacing w:after="20"/>
              <w:jc w:val="left"/>
            </w:pPr>
            <w:r/>
            <w:r>
              <w:rPr>
                <w:rFonts w:ascii="Times New Roman" w:hAnsi="Times New Roman"/>
                <w:b/>
                <w:sz w:val="17"/>
              </w:rPr>
              <w:t>Hành động phòng ngừa</w:t>
            </w:r>
          </w:p>
        </w:tc>
        <w:tc>
          <w:tcPr>
            <w:tcW w:type="dxa" w:w="6066"/>
            <w:vAlign w:val="center"/>
          </w:tcPr>
          <w:p>
            <w:pPr>
              <w:spacing w:after="20"/>
              <w:jc w:val="left"/>
            </w:pPr>
            <w:r/>
            <w:r>
              <w:rPr>
                <w:rFonts w:ascii="Times New Roman" w:hAnsi="Times New Roman"/>
                <w:b w:val="0"/>
                <w:sz w:val="17"/>
              </w:rPr>
              <w:t>Việc phải sửa để không lặp lại.</w:t>
            </w:r>
          </w:p>
        </w:tc>
      </w:tr>
      <w:tr>
        <w:tc>
          <w:tcPr>
            <w:tcW w:type="dxa" w:w="2438"/>
            <w:vAlign w:val="center"/>
            <w:shd w:fill="FFF4D6"/>
          </w:tcPr>
          <w:p>
            <w:pPr>
              <w:spacing w:after="20"/>
              <w:jc w:val="left"/>
            </w:pPr>
            <w:r/>
            <w:r>
              <w:rPr>
                <w:rFonts w:ascii="Times New Roman" w:hAnsi="Times New Roman"/>
                <w:b/>
                <w:sz w:val="17"/>
              </w:rPr>
              <w:t>Deadline &amp; trạng thái</w:t>
            </w:r>
          </w:p>
        </w:tc>
        <w:tc>
          <w:tcPr>
            <w:tcW w:type="dxa" w:w="6066"/>
            <w:vAlign w:val="center"/>
          </w:tcPr>
          <w:p>
            <w:pPr>
              <w:spacing w:after="20"/>
              <w:jc w:val="left"/>
            </w:pPr>
            <w:r/>
            <w:r>
              <w:rPr>
                <w:rFonts w:ascii="Times New Roman" w:hAnsi="Times New Roman"/>
                <w:b w:val="0"/>
                <w:sz w:val="17"/>
              </w:rPr>
              <w:t>Open/Done/Overdue.</w:t>
            </w:r>
          </w:p>
        </w:tc>
      </w:tr>
    </w:tbl>
    <w:p>
      <w:pPr>
        <w:pStyle w:val="Heading2"/>
      </w:pPr>
      <w:r>
        <w:rPr>
          <w:rFonts w:ascii="Times New Roman" w:hAnsi="Times New Roman"/>
        </w:rPr>
        <w:t>3.3. Ngưỡng xử lý theo giá trị khoản hủy</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56"/>
        <w:gridCol w:w="5156"/>
      </w:tblGrid>
      <w:tr>
        <w:tc>
          <w:tcPr>
            <w:tcW w:type="dxa" w:w="2438"/>
            <w:vAlign w:val="center"/>
            <w:shd w:fill="006837"/>
          </w:tcPr>
          <w:p>
            <w:pPr>
              <w:spacing w:after="20"/>
              <w:jc w:val="left"/>
            </w:pPr>
            <w:r/>
            <w:r>
              <w:rPr>
                <w:rFonts w:ascii="Times New Roman" w:hAnsi="Times New Roman"/>
                <w:b/>
                <w:color w:val="FFFFFF"/>
                <w:sz w:val="19"/>
              </w:rPr>
              <w:t>Giá trị khoản hủy</w:t>
            </w:r>
          </w:p>
        </w:tc>
        <w:tc>
          <w:tcPr>
            <w:tcW w:type="dxa" w:w="6066"/>
            <w:vAlign w:val="center"/>
            <w:shd w:fill="006837"/>
          </w:tcPr>
          <w:p>
            <w:pPr>
              <w:spacing w:after="20"/>
              <w:jc w:val="left"/>
            </w:pPr>
            <w:r/>
            <w:r>
              <w:rPr>
                <w:rFonts w:ascii="Times New Roman" w:hAnsi="Times New Roman"/>
                <w:b/>
                <w:color w:val="FFFFFF"/>
                <w:sz w:val="19"/>
              </w:rPr>
              <w:t>Yêu cầu xử lý</w:t>
            </w:r>
          </w:p>
        </w:tc>
      </w:tr>
      <w:tr>
        <w:tc>
          <w:tcPr>
            <w:tcW w:type="dxa" w:w="2438"/>
            <w:vAlign w:val="center"/>
            <w:shd w:fill="FFF4D6"/>
          </w:tcPr>
          <w:p>
            <w:pPr>
              <w:spacing w:after="20"/>
              <w:jc w:val="left"/>
            </w:pPr>
            <w:r/>
            <w:r>
              <w:rPr>
                <w:rFonts w:ascii="Times New Roman" w:hAnsi="Times New Roman"/>
                <w:b/>
                <w:sz w:val="18"/>
              </w:rPr>
              <w:t>Dưới 10 triệu</w:t>
            </w:r>
          </w:p>
        </w:tc>
        <w:tc>
          <w:tcPr>
            <w:tcW w:type="dxa" w:w="6066"/>
            <w:vAlign w:val="center"/>
          </w:tcPr>
          <w:p>
            <w:pPr>
              <w:spacing w:after="20"/>
              <w:jc w:val="left"/>
            </w:pPr>
            <w:r/>
            <w:r>
              <w:rPr>
                <w:rFonts w:ascii="Times New Roman" w:hAnsi="Times New Roman"/>
                <w:b w:val="0"/>
                <w:sz w:val="18"/>
              </w:rPr>
              <w:t>Chỉ phân loại nguyên nhân.</w:t>
            </w:r>
          </w:p>
        </w:tc>
      </w:tr>
      <w:tr>
        <w:tc>
          <w:tcPr>
            <w:tcW w:type="dxa" w:w="2438"/>
            <w:vAlign w:val="center"/>
            <w:shd w:fill="FFF4D6"/>
          </w:tcPr>
          <w:p>
            <w:pPr>
              <w:spacing w:after="20"/>
              <w:jc w:val="left"/>
            </w:pPr>
            <w:r/>
            <w:r>
              <w:rPr>
                <w:rFonts w:ascii="Times New Roman" w:hAnsi="Times New Roman"/>
                <w:b/>
                <w:sz w:val="18"/>
              </w:rPr>
              <w:t>10–50 triệu</w:t>
            </w:r>
          </w:p>
        </w:tc>
        <w:tc>
          <w:tcPr>
            <w:tcW w:type="dxa" w:w="6066"/>
            <w:vAlign w:val="center"/>
          </w:tcPr>
          <w:p>
            <w:pPr>
              <w:spacing w:after="20"/>
              <w:jc w:val="left"/>
            </w:pPr>
            <w:r/>
            <w:r>
              <w:rPr>
                <w:rFonts w:ascii="Times New Roman" w:hAnsi="Times New Roman"/>
                <w:b w:val="0"/>
                <w:sz w:val="18"/>
              </w:rPr>
              <w:t>Có Root Cause sơ bộ + CAPA.</w:t>
            </w:r>
          </w:p>
        </w:tc>
      </w:tr>
      <w:tr>
        <w:tc>
          <w:tcPr>
            <w:tcW w:type="dxa" w:w="2438"/>
            <w:vAlign w:val="center"/>
            <w:shd w:fill="FFF4D6"/>
          </w:tcPr>
          <w:p>
            <w:pPr>
              <w:spacing w:after="20"/>
              <w:jc w:val="left"/>
            </w:pPr>
            <w:r/>
            <w:r>
              <w:rPr>
                <w:rFonts w:ascii="Times New Roman" w:hAnsi="Times New Roman"/>
                <w:b/>
                <w:sz w:val="18"/>
              </w:rPr>
              <w:t>Trên 50 triệu</w:t>
            </w:r>
          </w:p>
        </w:tc>
        <w:tc>
          <w:tcPr>
            <w:tcW w:type="dxa" w:w="6066"/>
            <w:vAlign w:val="center"/>
          </w:tcPr>
          <w:p>
            <w:pPr>
              <w:spacing w:after="20"/>
              <w:jc w:val="left"/>
            </w:pPr>
            <w:r/>
            <w:r>
              <w:rPr>
                <w:rFonts w:ascii="Times New Roman" w:hAnsi="Times New Roman"/>
                <w:b w:val="0"/>
                <w:sz w:val="18"/>
              </w:rPr>
              <w:t>Bắt buộc làm A3 Report (Báo cáo A3).</w:t>
            </w:r>
          </w:p>
        </w:tc>
      </w:tr>
    </w:tbl>
    <w:p>
      <w:pPr>
        <w:pStyle w:val="Heading2"/>
      </w:pPr>
      <w:r>
        <w:rPr>
          <w:rFonts w:ascii="Times New Roman" w:hAnsi="Times New Roman"/>
        </w:rPr>
        <w:t>3.4. Freeze Window (Cửa sổ đóng băng kế hoạch) và SLA</w:t>
      </w:r>
    </w:p>
    <w:p>
      <w:pPr>
        <w:spacing w:after="60" w:before="0"/>
      </w:pPr>
      <w:r>
        <w:rPr>
          <w:rFonts w:ascii="Times New Roman" w:hAnsi="Times New Roman"/>
          <w:b w:val="0"/>
          <w:i w:val="0"/>
          <w:sz w:val="20"/>
        </w:rPr>
        <w:t>Trong luồng chat, Freeze Window (Cửa sổ đóng băng kế hoạch) được nêu là cơ chế hạn chế thay đổi lệnh sản xuất, mua hàng và vật tư trong một khoảng thời gian trước ngày sản xuất/giao hàng. Nội dung này được gắn với APS (Advanced Planning &amp; Scheduling/Lập kế hoạch và điều độ nâng cao) và S&amp;OP (Sales &amp; Operations Planning/Hoạch định bán hàng và vận hành).</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37"/>
        <w:gridCol w:w="3437"/>
        <w:gridCol w:w="3437"/>
      </w:tblGrid>
      <w:tr>
        <w:tc>
          <w:tcPr>
            <w:tcW w:type="dxa" w:w="3118"/>
            <w:vAlign w:val="center"/>
            <w:shd w:fill="006837"/>
          </w:tcPr>
          <w:p>
            <w:pPr>
              <w:spacing w:after="20"/>
              <w:jc w:val="left"/>
            </w:pPr>
            <w:r/>
            <w:r>
              <w:rPr>
                <w:rFonts w:ascii="Times New Roman" w:hAnsi="Times New Roman"/>
                <w:b/>
                <w:color w:val="FFFFFF"/>
                <w:sz w:val="18"/>
              </w:rPr>
              <w:t>Vùng</w:t>
            </w:r>
          </w:p>
        </w:tc>
        <w:tc>
          <w:tcPr>
            <w:tcW w:type="dxa" w:w="1814"/>
            <w:vAlign w:val="center"/>
            <w:shd w:fill="006837"/>
          </w:tcPr>
          <w:p>
            <w:pPr>
              <w:spacing w:after="20"/>
              <w:jc w:val="left"/>
            </w:pPr>
            <w:r/>
            <w:r>
              <w:rPr>
                <w:rFonts w:ascii="Times New Roman" w:hAnsi="Times New Roman"/>
                <w:b/>
                <w:color w:val="FFFFFF"/>
                <w:sz w:val="18"/>
              </w:rPr>
              <w:t>Khoảng thời gian</w:t>
            </w:r>
          </w:p>
        </w:tc>
        <w:tc>
          <w:tcPr>
            <w:tcW w:type="dxa" w:w="3572"/>
            <w:vAlign w:val="center"/>
            <w:shd w:fill="006837"/>
          </w:tcPr>
          <w:p>
            <w:pPr>
              <w:spacing w:after="20"/>
              <w:jc w:val="left"/>
            </w:pPr>
            <w:r/>
            <w:r>
              <w:rPr>
                <w:rFonts w:ascii="Times New Roman" w:hAnsi="Times New Roman"/>
                <w:b/>
                <w:color w:val="FFFFFF"/>
                <w:sz w:val="18"/>
              </w:rPr>
              <w:t>Cách kiểm soát đề xuất</w:t>
            </w:r>
          </w:p>
        </w:tc>
      </w:tr>
      <w:tr>
        <w:tc>
          <w:tcPr>
            <w:tcW w:type="dxa" w:w="3118"/>
            <w:vAlign w:val="center"/>
            <w:shd w:fill="FFF4D6"/>
          </w:tcPr>
          <w:p>
            <w:pPr>
              <w:spacing w:after="20"/>
              <w:jc w:val="left"/>
            </w:pPr>
            <w:r/>
            <w:r>
              <w:rPr>
                <w:rFonts w:ascii="Times New Roman" w:hAnsi="Times New Roman"/>
                <w:b/>
                <w:sz w:val="17"/>
              </w:rPr>
              <w:t>Frozen Zone (Vùng đóng băng)</w:t>
            </w:r>
          </w:p>
        </w:tc>
        <w:tc>
          <w:tcPr>
            <w:tcW w:type="dxa" w:w="1814"/>
            <w:vAlign w:val="center"/>
          </w:tcPr>
          <w:p>
            <w:pPr>
              <w:spacing w:after="20"/>
              <w:jc w:val="left"/>
            </w:pPr>
            <w:r/>
            <w:r>
              <w:rPr>
                <w:rFonts w:ascii="Times New Roman" w:hAnsi="Times New Roman"/>
                <w:b w:val="0"/>
                <w:sz w:val="17"/>
              </w:rPr>
              <w:t>0–14 ngày</w:t>
            </w:r>
          </w:p>
        </w:tc>
        <w:tc>
          <w:tcPr>
            <w:tcW w:type="dxa" w:w="3572"/>
            <w:vAlign w:val="center"/>
          </w:tcPr>
          <w:p>
            <w:pPr>
              <w:spacing w:after="20"/>
              <w:jc w:val="left"/>
            </w:pPr>
            <w:r/>
            <w:r>
              <w:rPr>
                <w:rFonts w:ascii="Times New Roman" w:hAnsi="Times New Roman"/>
                <w:b w:val="0"/>
                <w:sz w:val="17"/>
              </w:rPr>
              <w:t>Không thay đổi hoặc chỉ tăng, không giảm.</w:t>
            </w:r>
          </w:p>
        </w:tc>
      </w:tr>
      <w:tr>
        <w:tc>
          <w:tcPr>
            <w:tcW w:type="dxa" w:w="3118"/>
            <w:vAlign w:val="center"/>
            <w:shd w:fill="FFF4D6"/>
          </w:tcPr>
          <w:p>
            <w:pPr>
              <w:spacing w:after="20"/>
              <w:jc w:val="left"/>
            </w:pPr>
            <w:r/>
            <w:r>
              <w:rPr>
                <w:rFonts w:ascii="Times New Roman" w:hAnsi="Times New Roman"/>
                <w:b/>
                <w:sz w:val="17"/>
              </w:rPr>
              <w:t>Slushy Zone (Vùng hạn chế)</w:t>
            </w:r>
          </w:p>
        </w:tc>
        <w:tc>
          <w:tcPr>
            <w:tcW w:type="dxa" w:w="1814"/>
            <w:vAlign w:val="center"/>
          </w:tcPr>
          <w:p>
            <w:pPr>
              <w:spacing w:after="20"/>
              <w:jc w:val="left"/>
            </w:pPr>
            <w:r/>
            <w:r>
              <w:rPr>
                <w:rFonts w:ascii="Times New Roman" w:hAnsi="Times New Roman"/>
                <w:b w:val="0"/>
                <w:sz w:val="17"/>
              </w:rPr>
              <w:t>15–30 ngày</w:t>
            </w:r>
          </w:p>
        </w:tc>
        <w:tc>
          <w:tcPr>
            <w:tcW w:type="dxa" w:w="3572"/>
            <w:vAlign w:val="center"/>
          </w:tcPr>
          <w:p>
            <w:pPr>
              <w:spacing w:after="20"/>
              <w:jc w:val="left"/>
            </w:pPr>
            <w:r/>
            <w:r>
              <w:rPr>
                <w:rFonts w:ascii="Times New Roman" w:hAnsi="Times New Roman"/>
                <w:b w:val="0"/>
                <w:sz w:val="17"/>
              </w:rPr>
              <w:t>Được thay đổi ±20%.</w:t>
            </w:r>
          </w:p>
        </w:tc>
      </w:tr>
      <w:tr>
        <w:tc>
          <w:tcPr>
            <w:tcW w:type="dxa" w:w="3118"/>
            <w:vAlign w:val="center"/>
            <w:shd w:fill="FFF4D6"/>
          </w:tcPr>
          <w:p>
            <w:pPr>
              <w:spacing w:after="20"/>
              <w:jc w:val="left"/>
            </w:pPr>
            <w:r/>
            <w:r>
              <w:rPr>
                <w:rFonts w:ascii="Times New Roman" w:hAnsi="Times New Roman"/>
                <w:b/>
                <w:sz w:val="17"/>
              </w:rPr>
              <w:t>Liquid Zone (Vùng linh hoạt)</w:t>
            </w:r>
          </w:p>
        </w:tc>
        <w:tc>
          <w:tcPr>
            <w:tcW w:type="dxa" w:w="1814"/>
            <w:vAlign w:val="center"/>
          </w:tcPr>
          <w:p>
            <w:pPr>
              <w:spacing w:after="20"/>
              <w:jc w:val="left"/>
            </w:pPr>
            <w:r/>
            <w:r>
              <w:rPr>
                <w:rFonts w:ascii="Times New Roman" w:hAnsi="Times New Roman"/>
                <w:b w:val="0"/>
                <w:sz w:val="17"/>
              </w:rPr>
              <w:t>31–90 ngày</w:t>
            </w:r>
          </w:p>
        </w:tc>
        <w:tc>
          <w:tcPr>
            <w:tcW w:type="dxa" w:w="3572"/>
            <w:vAlign w:val="center"/>
          </w:tcPr>
          <w:p>
            <w:pPr>
              <w:spacing w:after="20"/>
              <w:jc w:val="left"/>
            </w:pPr>
            <w:r/>
            <w:r>
              <w:rPr>
                <w:rFonts w:ascii="Times New Roman" w:hAnsi="Times New Roman"/>
                <w:b w:val="0"/>
                <w:sz w:val="17"/>
              </w:rPr>
              <w:t>Cho phép thay đổi tự do, dùng để dự báo FC.</w:t>
            </w:r>
          </w:p>
        </w:tc>
      </w:tr>
    </w:tbl>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56"/>
        <w:gridCol w:w="5156"/>
      </w:tblGrid>
      <w:tr>
        <w:tc>
          <w:tcPr>
            <w:tcW w:type="dxa" w:w="4252"/>
            <w:vAlign w:val="center"/>
            <w:shd w:fill="ECBE18"/>
          </w:tcPr>
          <w:p>
            <w:pPr>
              <w:spacing w:after="20"/>
              <w:jc w:val="left"/>
            </w:pPr>
            <w:r/>
            <w:r>
              <w:rPr>
                <w:rFonts w:ascii="Times New Roman" w:hAnsi="Times New Roman"/>
                <w:b/>
                <w:color w:val="FFFFFF"/>
                <w:sz w:val="18"/>
              </w:rPr>
              <w:t>Loại hàng/khách hàng</w:t>
            </w:r>
          </w:p>
        </w:tc>
        <w:tc>
          <w:tcPr>
            <w:tcW w:type="dxa" w:w="4252"/>
            <w:vAlign w:val="center"/>
            <w:shd w:fill="ECBE18"/>
          </w:tcPr>
          <w:p>
            <w:pPr>
              <w:spacing w:after="20"/>
              <w:jc w:val="left"/>
            </w:pPr>
            <w:r/>
            <w:r>
              <w:rPr>
                <w:rFonts w:ascii="Times New Roman" w:hAnsi="Times New Roman"/>
                <w:b/>
                <w:color w:val="FFFFFF"/>
                <w:sz w:val="18"/>
              </w:rPr>
              <w:t>Freeze Window đề xuất trong luồng</w:t>
            </w:r>
          </w:p>
        </w:tc>
      </w:tr>
      <w:tr>
        <w:tc>
          <w:tcPr>
            <w:tcW w:type="dxa" w:w="4252"/>
            <w:vAlign w:val="center"/>
          </w:tcPr>
          <w:p>
            <w:pPr>
              <w:spacing w:after="20"/>
              <w:jc w:val="left"/>
            </w:pPr>
            <w:r/>
            <w:r>
              <w:rPr>
                <w:rFonts w:ascii="Times New Roman" w:hAnsi="Times New Roman"/>
                <w:b/>
                <w:sz w:val="17"/>
              </w:rPr>
              <w:t>Samsung carton</w:t>
            </w:r>
          </w:p>
        </w:tc>
        <w:tc>
          <w:tcPr>
            <w:tcW w:type="dxa" w:w="4252"/>
            <w:vAlign w:val="center"/>
          </w:tcPr>
          <w:p>
            <w:pPr>
              <w:spacing w:after="20"/>
              <w:jc w:val="left"/>
            </w:pPr>
            <w:r/>
            <w:r>
              <w:rPr>
                <w:rFonts w:ascii="Times New Roman" w:hAnsi="Times New Roman"/>
                <w:b w:val="0"/>
                <w:sz w:val="17"/>
              </w:rPr>
              <w:t>14 ngày</w:t>
            </w:r>
          </w:p>
        </w:tc>
      </w:tr>
      <w:tr>
        <w:tc>
          <w:tcPr>
            <w:tcW w:type="dxa" w:w="4252"/>
            <w:vAlign w:val="center"/>
          </w:tcPr>
          <w:p>
            <w:pPr>
              <w:spacing w:after="20"/>
              <w:jc w:val="left"/>
            </w:pPr>
            <w:r/>
            <w:r>
              <w:rPr>
                <w:rFonts w:ascii="Times New Roman" w:hAnsi="Times New Roman"/>
                <w:b/>
                <w:sz w:val="17"/>
              </w:rPr>
              <w:t>Canon</w:t>
            </w:r>
          </w:p>
        </w:tc>
        <w:tc>
          <w:tcPr>
            <w:tcW w:type="dxa" w:w="4252"/>
            <w:vAlign w:val="center"/>
          </w:tcPr>
          <w:p>
            <w:pPr>
              <w:spacing w:after="20"/>
              <w:jc w:val="left"/>
            </w:pPr>
            <w:r/>
            <w:r>
              <w:rPr>
                <w:rFonts w:ascii="Times New Roman" w:hAnsi="Times New Roman"/>
                <w:b w:val="0"/>
                <w:sz w:val="17"/>
              </w:rPr>
              <w:t>21 ngày</w:t>
            </w:r>
          </w:p>
        </w:tc>
      </w:tr>
      <w:tr>
        <w:tc>
          <w:tcPr>
            <w:tcW w:type="dxa" w:w="4252"/>
            <w:vAlign w:val="center"/>
          </w:tcPr>
          <w:p>
            <w:pPr>
              <w:spacing w:after="20"/>
              <w:jc w:val="left"/>
            </w:pPr>
            <w:r/>
            <w:r>
              <w:rPr>
                <w:rFonts w:ascii="Times New Roman" w:hAnsi="Times New Roman"/>
                <w:b/>
                <w:sz w:val="17"/>
              </w:rPr>
              <w:t>Hanwa</w:t>
            </w:r>
          </w:p>
        </w:tc>
        <w:tc>
          <w:tcPr>
            <w:tcW w:type="dxa" w:w="4252"/>
            <w:vAlign w:val="center"/>
          </w:tcPr>
          <w:p>
            <w:pPr>
              <w:spacing w:after="20"/>
              <w:jc w:val="left"/>
            </w:pPr>
            <w:r/>
            <w:r>
              <w:rPr>
                <w:rFonts w:ascii="Times New Roman" w:hAnsi="Times New Roman"/>
                <w:b w:val="0"/>
                <w:sz w:val="17"/>
              </w:rPr>
              <w:t>14 ngày</w:t>
            </w:r>
          </w:p>
        </w:tc>
      </w:tr>
      <w:tr>
        <w:tc>
          <w:tcPr>
            <w:tcW w:type="dxa" w:w="4252"/>
            <w:vAlign w:val="center"/>
          </w:tcPr>
          <w:p>
            <w:pPr>
              <w:spacing w:after="20"/>
              <w:jc w:val="left"/>
            </w:pPr>
            <w:r/>
            <w:r>
              <w:rPr>
                <w:rFonts w:ascii="Times New Roman" w:hAnsi="Times New Roman"/>
                <w:b/>
                <w:sz w:val="17"/>
              </w:rPr>
              <w:t>Nội địa</w:t>
            </w:r>
          </w:p>
        </w:tc>
        <w:tc>
          <w:tcPr>
            <w:tcW w:type="dxa" w:w="4252"/>
            <w:vAlign w:val="center"/>
          </w:tcPr>
          <w:p>
            <w:pPr>
              <w:spacing w:after="20"/>
              <w:jc w:val="left"/>
            </w:pPr>
            <w:r/>
            <w:r>
              <w:rPr>
                <w:rFonts w:ascii="Times New Roman" w:hAnsi="Times New Roman"/>
                <w:b w:val="0"/>
                <w:sz w:val="17"/>
              </w:rPr>
              <w:t>7 ngày</w:t>
            </w:r>
          </w:p>
        </w:tc>
      </w:tr>
      <w:tr>
        <w:tc>
          <w:tcPr>
            <w:tcW w:type="dxa" w:w="4252"/>
            <w:vAlign w:val="center"/>
          </w:tcPr>
          <w:p>
            <w:pPr>
              <w:spacing w:after="20"/>
              <w:jc w:val="left"/>
            </w:pPr>
            <w:r/>
            <w:r>
              <w:rPr>
                <w:rFonts w:ascii="Times New Roman" w:hAnsi="Times New Roman"/>
                <w:b/>
                <w:sz w:val="17"/>
              </w:rPr>
              <w:t>Túi giấy GS6</w:t>
            </w:r>
          </w:p>
        </w:tc>
        <w:tc>
          <w:tcPr>
            <w:tcW w:type="dxa" w:w="4252"/>
            <w:vAlign w:val="center"/>
          </w:tcPr>
          <w:p>
            <w:pPr>
              <w:spacing w:after="20"/>
              <w:jc w:val="left"/>
            </w:pPr>
            <w:r/>
            <w:r>
              <w:rPr>
                <w:rFonts w:ascii="Times New Roman" w:hAnsi="Times New Roman"/>
                <w:b w:val="0"/>
                <w:sz w:val="17"/>
              </w:rPr>
              <w:t>21 ngày</w:t>
            </w:r>
          </w:p>
        </w:tc>
      </w:tr>
    </w:tbl>
    <w:p>
      <w:pPr>
        <w:spacing w:after="60" w:before="0"/>
      </w:pPr>
      <w:r>
        <w:rPr>
          <w:rFonts w:ascii="Times New Roman" w:hAnsi="Times New Roman"/>
          <w:b/>
          <w:i w:val="0"/>
          <w:color w:val="006837"/>
          <w:sz w:val="20"/>
        </w:rPr>
        <w:t>Lưu ý trong luồng chat: Freeze Window không chỉ là quy định nội bộ nhà máy, mà nên gắn với SLA (Service Level Agreement/Thỏa thuận mức độ dịch vụ) hoặc Commercial Agreement (Thỏa thuận thương mại).</w:t>
      </w:r>
    </w:p>
    <w:p>
      <w:pPr>
        <w:pStyle w:val="Heading2"/>
      </w:pPr>
      <w:r>
        <w:rPr>
          <w:rFonts w:ascii="Times New Roman" w:hAnsi="Times New Roman"/>
        </w:rPr>
        <w:t>3.5. Phân nhóm khách hàng theo SLA/FC/PO</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37"/>
        <w:gridCol w:w="3437"/>
        <w:gridCol w:w="3437"/>
      </w:tblGrid>
      <w:tr>
        <w:tc>
          <w:tcPr>
            <w:tcW w:type="dxa" w:w="1020"/>
            <w:vAlign w:val="center"/>
            <w:shd w:fill="006837"/>
          </w:tcPr>
          <w:p>
            <w:pPr>
              <w:spacing w:after="20"/>
              <w:jc w:val="left"/>
            </w:pPr>
            <w:r/>
            <w:r>
              <w:rPr>
                <w:rFonts w:ascii="Times New Roman" w:hAnsi="Times New Roman"/>
                <w:b/>
                <w:color w:val="FFFFFF"/>
                <w:sz w:val="18"/>
              </w:rPr>
              <w:t>Nhóm</w:t>
            </w:r>
          </w:p>
        </w:tc>
        <w:tc>
          <w:tcPr>
            <w:tcW w:type="dxa" w:w="3402"/>
            <w:vAlign w:val="center"/>
            <w:shd w:fill="006837"/>
          </w:tcPr>
          <w:p>
            <w:pPr>
              <w:spacing w:after="20"/>
              <w:jc w:val="left"/>
            </w:pPr>
            <w:r/>
            <w:r>
              <w:rPr>
                <w:rFonts w:ascii="Times New Roman" w:hAnsi="Times New Roman"/>
                <w:b/>
                <w:color w:val="FFFFFF"/>
                <w:sz w:val="18"/>
              </w:rPr>
              <w:t>Mô hình trong luồng</w:t>
            </w:r>
          </w:p>
        </w:tc>
        <w:tc>
          <w:tcPr>
            <w:tcW w:type="dxa" w:w="4082"/>
            <w:vAlign w:val="center"/>
            <w:shd w:fill="006837"/>
          </w:tcPr>
          <w:p>
            <w:pPr>
              <w:spacing w:after="20"/>
              <w:jc w:val="left"/>
            </w:pPr>
            <w:r/>
            <w:r>
              <w:rPr>
                <w:rFonts w:ascii="Times New Roman" w:hAnsi="Times New Roman"/>
                <w:b/>
                <w:color w:val="FFFFFF"/>
                <w:sz w:val="18"/>
              </w:rPr>
              <w:t>Cách vận hành đề xuất</w:t>
            </w:r>
          </w:p>
        </w:tc>
      </w:tr>
      <w:tr>
        <w:tc>
          <w:tcPr>
            <w:tcW w:type="dxa" w:w="1020"/>
            <w:vAlign w:val="center"/>
            <w:shd w:fill="FFF4D6"/>
          </w:tcPr>
          <w:p>
            <w:pPr>
              <w:spacing w:after="20"/>
              <w:jc w:val="left"/>
            </w:pPr>
            <w:r/>
            <w:r>
              <w:rPr>
                <w:rFonts w:ascii="Times New Roman" w:hAnsi="Times New Roman"/>
                <w:b/>
                <w:sz w:val="17"/>
              </w:rPr>
              <w:t>A</w:t>
            </w:r>
          </w:p>
        </w:tc>
        <w:tc>
          <w:tcPr>
            <w:tcW w:type="dxa" w:w="3402"/>
            <w:vAlign w:val="center"/>
          </w:tcPr>
          <w:p>
            <w:pPr>
              <w:spacing w:after="20"/>
              <w:jc w:val="left"/>
            </w:pPr>
            <w:r/>
            <w:r>
              <w:rPr>
                <w:rFonts w:ascii="Times New Roman" w:hAnsi="Times New Roman"/>
                <w:b w:val="0"/>
                <w:sz w:val="17"/>
              </w:rPr>
              <w:t>Có SLA + Freeze Window</w:t>
            </w:r>
          </w:p>
        </w:tc>
        <w:tc>
          <w:tcPr>
            <w:tcW w:type="dxa" w:w="4082"/>
            <w:vAlign w:val="center"/>
          </w:tcPr>
          <w:p>
            <w:pPr>
              <w:spacing w:after="20"/>
              <w:jc w:val="left"/>
            </w:pPr>
            <w:r/>
            <w:r>
              <w:rPr>
                <w:rFonts w:ascii="Times New Roman" w:hAnsi="Times New Roman"/>
                <w:b w:val="0"/>
                <w:sz w:val="17"/>
              </w:rPr>
              <w:t>APS đầy đủ, Freeze Window, S&amp;OP.</w:t>
            </w:r>
          </w:p>
        </w:tc>
      </w:tr>
      <w:tr>
        <w:tc>
          <w:tcPr>
            <w:tcW w:type="dxa" w:w="1020"/>
            <w:vAlign w:val="center"/>
            <w:shd w:fill="FFF4D6"/>
          </w:tcPr>
          <w:p>
            <w:pPr>
              <w:spacing w:after="20"/>
              <w:jc w:val="left"/>
            </w:pPr>
            <w:r/>
            <w:r>
              <w:rPr>
                <w:rFonts w:ascii="Times New Roman" w:hAnsi="Times New Roman"/>
                <w:b/>
                <w:sz w:val="17"/>
              </w:rPr>
              <w:t>B</w:t>
            </w:r>
          </w:p>
        </w:tc>
        <w:tc>
          <w:tcPr>
            <w:tcW w:type="dxa" w:w="3402"/>
            <w:vAlign w:val="center"/>
          </w:tcPr>
          <w:p>
            <w:pPr>
              <w:spacing w:after="20"/>
              <w:jc w:val="left"/>
            </w:pPr>
            <w:r/>
            <w:r>
              <w:rPr>
                <w:rFonts w:ascii="Times New Roman" w:hAnsi="Times New Roman"/>
                <w:b w:val="0"/>
                <w:sz w:val="17"/>
              </w:rPr>
              <w:t>Có FC nhưng chưa có SLA</w:t>
            </w:r>
          </w:p>
        </w:tc>
        <w:tc>
          <w:tcPr>
            <w:tcW w:type="dxa" w:w="4082"/>
            <w:vAlign w:val="center"/>
          </w:tcPr>
          <w:p>
            <w:pPr>
              <w:spacing w:after="20"/>
              <w:jc w:val="left"/>
            </w:pPr>
            <w:r/>
            <w:r>
              <w:rPr>
                <w:rFonts w:ascii="Times New Roman" w:hAnsi="Times New Roman"/>
                <w:b w:val="0"/>
                <w:sz w:val="17"/>
              </w:rPr>
              <w:t>Yêu cầu ký SLA trong 90 ngày; BD + SCM + Sale làm.</w:t>
            </w:r>
          </w:p>
        </w:tc>
      </w:tr>
      <w:tr>
        <w:tc>
          <w:tcPr>
            <w:tcW w:type="dxa" w:w="1020"/>
            <w:vAlign w:val="center"/>
            <w:shd w:fill="FFF4D6"/>
          </w:tcPr>
          <w:p>
            <w:pPr>
              <w:spacing w:after="20"/>
              <w:jc w:val="left"/>
            </w:pPr>
            <w:r/>
            <w:r>
              <w:rPr>
                <w:rFonts w:ascii="Times New Roman" w:hAnsi="Times New Roman"/>
                <w:b/>
                <w:sz w:val="17"/>
              </w:rPr>
              <w:t>C</w:t>
            </w:r>
          </w:p>
        </w:tc>
        <w:tc>
          <w:tcPr>
            <w:tcW w:type="dxa" w:w="3402"/>
            <w:vAlign w:val="center"/>
          </w:tcPr>
          <w:p>
            <w:pPr>
              <w:spacing w:after="20"/>
              <w:jc w:val="left"/>
            </w:pPr>
            <w:r/>
            <w:r>
              <w:rPr>
                <w:rFonts w:ascii="Times New Roman" w:hAnsi="Times New Roman"/>
                <w:b w:val="0"/>
                <w:sz w:val="17"/>
              </w:rPr>
              <w:t>Chỉ có PO</w:t>
            </w:r>
          </w:p>
        </w:tc>
        <w:tc>
          <w:tcPr>
            <w:tcW w:type="dxa" w:w="4082"/>
            <w:vAlign w:val="center"/>
          </w:tcPr>
          <w:p>
            <w:pPr>
              <w:spacing w:after="20"/>
              <w:jc w:val="left"/>
            </w:pPr>
            <w:r/>
            <w:r>
              <w:rPr>
                <w:rFonts w:ascii="Times New Roman" w:hAnsi="Times New Roman"/>
                <w:b w:val="0"/>
                <w:sz w:val="17"/>
              </w:rPr>
              <w:t>Make To Order (Sản xuất theo đơn), không sản xuất theo FC.</w:t>
            </w:r>
          </w:p>
        </w:tc>
      </w:tr>
      <w:tr>
        <w:tc>
          <w:tcPr>
            <w:tcW w:type="dxa" w:w="1020"/>
            <w:vAlign w:val="center"/>
            <w:shd w:fill="FFF4D6"/>
          </w:tcPr>
          <w:p>
            <w:pPr>
              <w:spacing w:after="20"/>
              <w:jc w:val="left"/>
            </w:pPr>
            <w:r/>
            <w:r>
              <w:rPr>
                <w:rFonts w:ascii="Times New Roman" w:hAnsi="Times New Roman"/>
                <w:b/>
                <w:sz w:val="17"/>
              </w:rPr>
              <w:t>D</w:t>
            </w:r>
          </w:p>
        </w:tc>
        <w:tc>
          <w:tcPr>
            <w:tcW w:type="dxa" w:w="3402"/>
            <w:vAlign w:val="center"/>
          </w:tcPr>
          <w:p>
            <w:pPr>
              <w:spacing w:after="20"/>
              <w:jc w:val="left"/>
            </w:pPr>
            <w:r/>
            <w:r>
              <w:rPr>
                <w:rFonts w:ascii="Times New Roman" w:hAnsi="Times New Roman"/>
                <w:b w:val="0"/>
                <w:sz w:val="17"/>
              </w:rPr>
              <w:t>Không FC, không PO ổn định</w:t>
            </w:r>
          </w:p>
        </w:tc>
        <w:tc>
          <w:tcPr>
            <w:tcW w:type="dxa" w:w="4082"/>
            <w:vAlign w:val="center"/>
          </w:tcPr>
          <w:p>
            <w:pPr>
              <w:spacing w:after="20"/>
              <w:jc w:val="left"/>
            </w:pPr>
            <w:r/>
            <w:r>
              <w:rPr>
                <w:rFonts w:ascii="Times New Roman" w:hAnsi="Times New Roman"/>
                <w:b w:val="0"/>
                <w:sz w:val="17"/>
              </w:rPr>
              <w:t>Báo giá cao hơn hoặc loại bỏ dần.</w:t>
            </w:r>
          </w:p>
        </w:tc>
      </w:tr>
    </w:tbl>
    <w:p>
      <w:pPr>
        <w:pStyle w:val="Heading1"/>
      </w:pPr>
      <w:r>
        <w:rPr>
          <w:rFonts w:ascii="Times New Roman" w:hAnsi="Times New Roman"/>
        </w:rPr>
        <w:t>4. Lộ trình triển khai theo thời gian</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78"/>
        <w:gridCol w:w="2578"/>
        <w:gridCol w:w="2578"/>
        <w:gridCol w:w="2578"/>
      </w:tblGrid>
      <w:tr>
        <w:tc>
          <w:tcPr>
            <w:tcW w:type="dxa" w:w="1361"/>
            <w:vAlign w:val="center"/>
            <w:shd w:fill="006837"/>
          </w:tcPr>
          <w:p>
            <w:pPr>
              <w:spacing w:after="20"/>
              <w:jc w:val="left"/>
            </w:pPr>
            <w:r/>
            <w:r>
              <w:rPr>
                <w:rFonts w:ascii="Times New Roman" w:hAnsi="Times New Roman"/>
                <w:b/>
                <w:color w:val="FFFFFF"/>
                <w:sz w:val="16"/>
              </w:rPr>
              <w:t>Mốc</w:t>
            </w:r>
          </w:p>
        </w:tc>
        <w:tc>
          <w:tcPr>
            <w:tcW w:type="dxa" w:w="1928"/>
            <w:vAlign w:val="center"/>
            <w:shd w:fill="006837"/>
          </w:tcPr>
          <w:p>
            <w:pPr>
              <w:spacing w:after="20"/>
              <w:jc w:val="left"/>
            </w:pPr>
            <w:r/>
            <w:r>
              <w:rPr>
                <w:rFonts w:ascii="Times New Roman" w:hAnsi="Times New Roman"/>
                <w:b/>
                <w:color w:val="FFFFFF"/>
                <w:sz w:val="16"/>
              </w:rPr>
              <w:t>Mục tiêu</w:t>
            </w:r>
          </w:p>
        </w:tc>
        <w:tc>
          <w:tcPr>
            <w:tcW w:type="dxa" w:w="2835"/>
            <w:vAlign w:val="center"/>
            <w:shd w:fill="006837"/>
          </w:tcPr>
          <w:p>
            <w:pPr>
              <w:spacing w:after="20"/>
              <w:jc w:val="left"/>
            </w:pPr>
            <w:r/>
            <w:r>
              <w:rPr>
                <w:rFonts w:ascii="Times New Roman" w:hAnsi="Times New Roman"/>
                <w:b/>
                <w:color w:val="FFFFFF"/>
                <w:sz w:val="16"/>
              </w:rPr>
              <w:t>Việc cần làm</w:t>
            </w:r>
          </w:p>
        </w:tc>
        <w:tc>
          <w:tcPr>
            <w:tcW w:type="dxa" w:w="2494"/>
            <w:vAlign w:val="center"/>
            <w:shd w:fill="006837"/>
          </w:tcPr>
          <w:p>
            <w:pPr>
              <w:spacing w:after="20"/>
              <w:jc w:val="left"/>
            </w:pPr>
            <w:r/>
            <w:r>
              <w:rPr>
                <w:rFonts w:ascii="Times New Roman" w:hAnsi="Times New Roman"/>
                <w:b/>
                <w:color w:val="FFFFFF"/>
                <w:sz w:val="16"/>
              </w:rPr>
              <w:t>Đầu ra/KPI trong luồng</w:t>
            </w:r>
          </w:p>
        </w:tc>
      </w:tr>
      <w:tr>
        <w:tc>
          <w:tcPr>
            <w:tcW w:type="dxa" w:w="1361"/>
            <w:vAlign w:val="center"/>
            <w:shd w:fill="FFF4D6"/>
          </w:tcPr>
          <w:p>
            <w:pPr>
              <w:spacing w:after="20"/>
              <w:jc w:val="left"/>
            </w:pPr>
            <w:r/>
            <w:r>
              <w:rPr>
                <w:rFonts w:ascii="Times New Roman" w:hAnsi="Times New Roman"/>
                <w:b/>
                <w:sz w:val="15"/>
              </w:rPr>
              <w:t>07 ngày đầu</w:t>
            </w:r>
          </w:p>
        </w:tc>
        <w:tc>
          <w:tcPr>
            <w:tcW w:type="dxa" w:w="1928"/>
            <w:vAlign w:val="center"/>
          </w:tcPr>
          <w:p>
            <w:pPr>
              <w:spacing w:after="20"/>
              <w:jc w:val="left"/>
            </w:pPr>
            <w:r/>
            <w:r>
              <w:rPr>
                <w:rFonts w:ascii="Times New Roman" w:hAnsi="Times New Roman"/>
                <w:b w:val="0"/>
                <w:sz w:val="15"/>
              </w:rPr>
              <w:t>Dừng tạo thêm hàng hủy mới; không phân tích hết 925 triệu đã hủy.</w:t>
            </w:r>
          </w:p>
        </w:tc>
        <w:tc>
          <w:tcPr>
            <w:tcW w:type="dxa" w:w="2835"/>
            <w:vAlign w:val="center"/>
          </w:tcPr>
          <w:p>
            <w:pPr>
              <w:spacing w:after="20"/>
              <w:jc w:val="left"/>
            </w:pPr>
            <w:r/>
            <w:r>
              <w:rPr>
                <w:rFonts w:ascii="Times New Roman" w:hAnsi="Times New Roman"/>
                <w:b w:val="0"/>
                <w:sz w:val="15"/>
              </w:rPr>
              <w:t>Phân loại nhanh: Nhóm A đã hủy/đóng hồ sơ; Nhóm B còn tồn kho có thể bán/tái sử dụng; Nhóm C nguy cơ thành Aging. Rà soát quy định Aging Inventory, FC/PO/DO, layout kho, biểu mẫu dữ liệu.</w:t>
            </w:r>
          </w:p>
        </w:tc>
        <w:tc>
          <w:tcPr>
            <w:tcW w:type="dxa" w:w="2494"/>
            <w:vAlign w:val="center"/>
          </w:tcPr>
          <w:p>
            <w:pPr>
              <w:spacing w:after="20"/>
              <w:jc w:val="left"/>
            </w:pPr>
            <w:r/>
            <w:r>
              <w:rPr>
                <w:rFonts w:ascii="Times New Roman" w:hAnsi="Times New Roman"/>
                <w:b w:val="0"/>
                <w:sz w:val="15"/>
              </w:rPr>
              <w:t>Quy trình/quy định/hướng dẫn; layout hiện trạng và mục tiêu; danh mục biểu mẫu/dữ liệu; Owner/Deadline/Kết quả đầu ra.</w:t>
            </w:r>
          </w:p>
        </w:tc>
      </w:tr>
      <w:tr>
        <w:tc>
          <w:tcPr>
            <w:tcW w:type="dxa" w:w="1361"/>
            <w:vAlign w:val="center"/>
            <w:shd w:fill="FFF4D6"/>
          </w:tcPr>
          <w:p>
            <w:pPr>
              <w:spacing w:after="20"/>
              <w:jc w:val="left"/>
            </w:pPr>
            <w:r/>
            <w:r>
              <w:rPr>
                <w:rFonts w:ascii="Times New Roman" w:hAnsi="Times New Roman"/>
                <w:b/>
                <w:sz w:val="15"/>
              </w:rPr>
              <w:t>Hàng tuần</w:t>
            </w:r>
          </w:p>
        </w:tc>
        <w:tc>
          <w:tcPr>
            <w:tcW w:type="dxa" w:w="1928"/>
            <w:vAlign w:val="center"/>
          </w:tcPr>
          <w:p>
            <w:pPr>
              <w:spacing w:after="20"/>
              <w:jc w:val="left"/>
            </w:pPr>
            <w:r/>
            <w:r>
              <w:rPr>
                <w:rFonts w:ascii="Times New Roman" w:hAnsi="Times New Roman"/>
                <w:b w:val="0"/>
                <w:sz w:val="15"/>
              </w:rPr>
              <w:t>Weekly Inventory Review (Họp rà soát tồn kho tuần).</w:t>
            </w:r>
          </w:p>
        </w:tc>
        <w:tc>
          <w:tcPr>
            <w:tcW w:type="dxa" w:w="2835"/>
            <w:vAlign w:val="center"/>
          </w:tcPr>
          <w:p>
            <w:pPr>
              <w:spacing w:after="20"/>
              <w:jc w:val="left"/>
            </w:pPr>
            <w:r/>
            <w:r>
              <w:rPr>
                <w:rFonts w:ascii="Times New Roman" w:hAnsi="Times New Roman"/>
                <w:b w:val="0"/>
                <w:sz w:val="15"/>
              </w:rPr>
              <w:t>Xem hàng &gt;60 ngày, hàng nguy cơ &gt;90 ngày, hàng phát sinh mới trong tuần, kế hoạch xử lý và Owner.</w:t>
            </w:r>
          </w:p>
        </w:tc>
        <w:tc>
          <w:tcPr>
            <w:tcW w:type="dxa" w:w="2494"/>
            <w:vAlign w:val="center"/>
          </w:tcPr>
          <w:p>
            <w:pPr>
              <w:spacing w:after="20"/>
              <w:jc w:val="left"/>
            </w:pPr>
            <w:r/>
            <w:r>
              <w:rPr>
                <w:rFonts w:ascii="Times New Roman" w:hAnsi="Times New Roman"/>
                <w:b w:val="0"/>
                <w:sz w:val="15"/>
              </w:rPr>
              <w:t>100% Aging được cảnh báo; 100% Aging có Owner; CAPA quá hạn được theo dõi.</w:t>
            </w:r>
          </w:p>
        </w:tc>
      </w:tr>
      <w:tr>
        <w:tc>
          <w:tcPr>
            <w:tcW w:type="dxa" w:w="1361"/>
            <w:vAlign w:val="center"/>
            <w:shd w:fill="FFF4D6"/>
          </w:tcPr>
          <w:p>
            <w:pPr>
              <w:spacing w:after="20"/>
              <w:jc w:val="left"/>
            </w:pPr>
            <w:r/>
            <w:r>
              <w:rPr>
                <w:rFonts w:ascii="Times New Roman" w:hAnsi="Times New Roman"/>
                <w:b/>
                <w:sz w:val="15"/>
              </w:rPr>
              <w:t>Tháng 6–7</w:t>
            </w:r>
          </w:p>
        </w:tc>
        <w:tc>
          <w:tcPr>
            <w:tcW w:type="dxa" w:w="1928"/>
            <w:vAlign w:val="center"/>
          </w:tcPr>
          <w:p>
            <w:pPr>
              <w:spacing w:after="20"/>
              <w:jc w:val="left"/>
            </w:pPr>
            <w:r/>
            <w:r>
              <w:rPr>
                <w:rFonts w:ascii="Times New Roman" w:hAnsi="Times New Roman"/>
                <w:b w:val="0"/>
                <w:sz w:val="15"/>
              </w:rPr>
              <w:t>KPI tập trung vào kiểm soát phát sinh mới, chưa KPI theo tiền hủy.</w:t>
            </w:r>
          </w:p>
        </w:tc>
        <w:tc>
          <w:tcPr>
            <w:tcW w:type="dxa" w:w="2835"/>
            <w:vAlign w:val="center"/>
          </w:tcPr>
          <w:p>
            <w:pPr>
              <w:spacing w:after="20"/>
              <w:jc w:val="left"/>
            </w:pPr>
            <w:r/>
            <w:r>
              <w:rPr>
                <w:rFonts w:ascii="Times New Roman" w:hAnsi="Times New Roman"/>
                <w:b w:val="0"/>
                <w:sz w:val="15"/>
              </w:rPr>
              <w:t>Sale theo Aging theo khách hàng và Forecast Accuracy. KHĐP không phát hành lệnh vượt PO/FC được duyệt. GĐNM không sản xuất dư ngoài kế hoạch. Kho cảnh báo Aging và gắn Owner.</w:t>
            </w:r>
          </w:p>
        </w:tc>
        <w:tc>
          <w:tcPr>
            <w:tcW w:type="dxa" w:w="2494"/>
            <w:vAlign w:val="center"/>
          </w:tcPr>
          <w:p>
            <w:pPr>
              <w:spacing w:after="20"/>
              <w:jc w:val="left"/>
            </w:pPr>
            <w:r/>
            <w:r>
              <w:rPr>
                <w:rFonts w:ascii="Times New Roman" w:hAnsi="Times New Roman"/>
                <w:b w:val="0"/>
                <w:sz w:val="15"/>
              </w:rPr>
              <w:t>Không phát sinh hàng tồn tuổi không có Owner; không sản xuất ngoài kiểm soát.</w:t>
            </w:r>
          </w:p>
        </w:tc>
      </w:tr>
      <w:tr>
        <w:tc>
          <w:tcPr>
            <w:tcW w:type="dxa" w:w="1361"/>
            <w:vAlign w:val="center"/>
            <w:shd w:fill="FFF4D6"/>
          </w:tcPr>
          <w:p>
            <w:pPr>
              <w:spacing w:after="20"/>
              <w:jc w:val="left"/>
            </w:pPr>
            <w:r/>
            <w:r>
              <w:rPr>
                <w:rFonts w:ascii="Times New Roman" w:hAnsi="Times New Roman"/>
                <w:b/>
                <w:sz w:val="15"/>
              </w:rPr>
              <w:t>Tháng 7</w:t>
            </w:r>
          </w:p>
        </w:tc>
        <w:tc>
          <w:tcPr>
            <w:tcW w:type="dxa" w:w="1928"/>
            <w:vAlign w:val="center"/>
          </w:tcPr>
          <w:p>
            <w:pPr>
              <w:spacing w:after="20"/>
              <w:jc w:val="left"/>
            </w:pPr>
            <w:r/>
            <w:r>
              <w:rPr>
                <w:rFonts w:ascii="Times New Roman" w:hAnsi="Times New Roman"/>
                <w:b w:val="0"/>
                <w:sz w:val="15"/>
              </w:rPr>
              <w:t>Pareto và chọn vấn đề lớn.</w:t>
            </w:r>
          </w:p>
        </w:tc>
        <w:tc>
          <w:tcPr>
            <w:tcW w:type="dxa" w:w="2835"/>
            <w:vAlign w:val="center"/>
          </w:tcPr>
          <w:p>
            <w:pPr>
              <w:spacing w:after="20"/>
              <w:jc w:val="left"/>
            </w:pPr>
            <w:r/>
            <w:r>
              <w:rPr>
                <w:rFonts w:ascii="Times New Roman" w:hAnsi="Times New Roman"/>
                <w:b w:val="0"/>
                <w:sz w:val="15"/>
              </w:rPr>
              <w:t>Top 10 khoản hủy, Top 10 Aging, Top 10 khách hàng, Top 5 Root Cause; chọn 5 case lớn để làm A3.</w:t>
            </w:r>
          </w:p>
        </w:tc>
        <w:tc>
          <w:tcPr>
            <w:tcW w:type="dxa" w:w="2494"/>
            <w:vAlign w:val="center"/>
          </w:tcPr>
          <w:p>
            <w:pPr>
              <w:spacing w:after="20"/>
              <w:jc w:val="left"/>
            </w:pPr>
            <w:r/>
            <w:r>
              <w:rPr>
                <w:rFonts w:ascii="Times New Roman" w:hAnsi="Times New Roman"/>
                <w:b w:val="0"/>
                <w:sz w:val="15"/>
              </w:rPr>
              <w:t>Có 5 case lớn được làm sâu theo A3 Report.</w:t>
            </w:r>
          </w:p>
        </w:tc>
      </w:tr>
      <w:tr>
        <w:tc>
          <w:tcPr>
            <w:tcW w:type="dxa" w:w="1361"/>
            <w:vAlign w:val="center"/>
            <w:shd w:fill="FFF4D6"/>
          </w:tcPr>
          <w:p>
            <w:pPr>
              <w:spacing w:after="20"/>
              <w:jc w:val="left"/>
            </w:pPr>
            <w:r/>
            <w:r>
              <w:rPr>
                <w:rFonts w:ascii="Times New Roman" w:hAnsi="Times New Roman"/>
                <w:b/>
                <w:sz w:val="15"/>
              </w:rPr>
              <w:t>Tháng 8</w:t>
            </w:r>
          </w:p>
        </w:tc>
        <w:tc>
          <w:tcPr>
            <w:tcW w:type="dxa" w:w="1928"/>
            <w:vAlign w:val="center"/>
          </w:tcPr>
          <w:p>
            <w:pPr>
              <w:spacing w:after="20"/>
              <w:jc w:val="left"/>
            </w:pPr>
            <w:r/>
            <w:r>
              <w:rPr>
                <w:rFonts w:ascii="Times New Roman" w:hAnsi="Times New Roman"/>
                <w:b w:val="0"/>
                <w:sz w:val="15"/>
              </w:rPr>
              <w:t>Sửa hệ thống thật.</w:t>
            </w:r>
          </w:p>
        </w:tc>
        <w:tc>
          <w:tcPr>
            <w:tcW w:type="dxa" w:w="2835"/>
            <w:vAlign w:val="center"/>
          </w:tcPr>
          <w:p>
            <w:pPr>
              <w:spacing w:after="20"/>
              <w:jc w:val="left"/>
            </w:pPr>
            <w:r/>
            <w:r>
              <w:rPr>
                <w:rFonts w:ascii="Times New Roman" w:hAnsi="Times New Roman"/>
                <w:b w:val="0"/>
                <w:sz w:val="15"/>
              </w:rPr>
              <w:t>Từ Root Cause dẫn đến sửa SOP, ERP/Bravo, APS, Dashboard, KPI.</w:t>
            </w:r>
          </w:p>
        </w:tc>
        <w:tc>
          <w:tcPr>
            <w:tcW w:type="dxa" w:w="2494"/>
            <w:vAlign w:val="center"/>
          </w:tcPr>
          <w:p>
            <w:pPr>
              <w:spacing w:after="20"/>
              <w:jc w:val="left"/>
            </w:pPr>
            <w:r/>
            <w:r>
              <w:rPr>
                <w:rFonts w:ascii="Times New Roman" w:hAnsi="Times New Roman"/>
                <w:b w:val="0"/>
                <w:sz w:val="15"/>
              </w:rPr>
              <w:t>Mỗi nguyên nhân gốc có hành động sửa hệ thống cụ thể.</w:t>
            </w:r>
          </w:p>
        </w:tc>
      </w:tr>
      <w:tr>
        <w:tc>
          <w:tcPr>
            <w:tcW w:type="dxa" w:w="1361"/>
            <w:vAlign w:val="center"/>
            <w:shd w:fill="FFF4D6"/>
          </w:tcPr>
          <w:p>
            <w:pPr>
              <w:spacing w:after="20"/>
              <w:jc w:val="left"/>
            </w:pPr>
            <w:r/>
            <w:r>
              <w:rPr>
                <w:rFonts w:ascii="Times New Roman" w:hAnsi="Times New Roman"/>
                <w:b/>
                <w:sz w:val="15"/>
              </w:rPr>
              <w:t>Tháng 9</w:t>
            </w:r>
          </w:p>
        </w:tc>
        <w:tc>
          <w:tcPr>
            <w:tcW w:type="dxa" w:w="1928"/>
            <w:vAlign w:val="center"/>
          </w:tcPr>
          <w:p>
            <w:pPr>
              <w:spacing w:after="20"/>
              <w:jc w:val="left"/>
            </w:pPr>
            <w:r/>
            <w:r>
              <w:rPr>
                <w:rFonts w:ascii="Times New Roman" w:hAnsi="Times New Roman"/>
                <w:b w:val="0"/>
                <w:sz w:val="15"/>
              </w:rPr>
              <w:t>Gắn KPI sau khi có dữ liệu 3 tháng.</w:t>
            </w:r>
          </w:p>
        </w:tc>
        <w:tc>
          <w:tcPr>
            <w:tcW w:type="dxa" w:w="2835"/>
            <w:vAlign w:val="center"/>
          </w:tcPr>
          <w:p>
            <w:pPr>
              <w:spacing w:after="20"/>
              <w:jc w:val="left"/>
            </w:pPr>
            <w:r/>
            <w:r>
              <w:rPr>
                <w:rFonts w:ascii="Times New Roman" w:hAnsi="Times New Roman"/>
                <w:b w:val="0"/>
                <w:sz w:val="15"/>
              </w:rPr>
              <w:t>Gắn KPI theo CAPA đúng hạn, lỗi lặp lại, Aging &gt;90 ngày, SX không PO/FC, khách không SLA.</w:t>
            </w:r>
          </w:p>
        </w:tc>
        <w:tc>
          <w:tcPr>
            <w:tcW w:type="dxa" w:w="2494"/>
            <w:vAlign w:val="center"/>
          </w:tcPr>
          <w:p>
            <w:pPr>
              <w:spacing w:after="20"/>
              <w:jc w:val="left"/>
            </w:pPr>
            <w:r/>
            <w:r>
              <w:rPr>
                <w:rFonts w:ascii="Times New Roman" w:hAnsi="Times New Roman"/>
                <w:b w:val="0"/>
                <w:sz w:val="15"/>
              </w:rPr>
              <w:t>Không cho lỗi lặp lại lần 3.</w:t>
            </w:r>
          </w:p>
        </w:tc>
      </w:tr>
    </w:tbl>
    <w:p>
      <w:pPr>
        <w:pStyle w:val="Heading1"/>
      </w:pPr>
      <w:r>
        <w:rPr>
          <w:rFonts w:ascii="Times New Roman" w:hAnsi="Times New Roman"/>
        </w:rPr>
        <w:t>5. Gói việc bắt buộc trong 07 ngày</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78"/>
        <w:gridCol w:w="2578"/>
        <w:gridCol w:w="2578"/>
        <w:gridCol w:w="2578"/>
      </w:tblGrid>
      <w:tr>
        <w:tc>
          <w:tcPr>
            <w:tcW w:type="dxa" w:w="1701"/>
            <w:vAlign w:val="center"/>
            <w:shd w:fill="006837"/>
          </w:tcPr>
          <w:p>
            <w:pPr>
              <w:spacing w:after="20"/>
              <w:jc w:val="left"/>
            </w:pPr>
            <w:r/>
            <w:r>
              <w:rPr>
                <w:rFonts w:ascii="Times New Roman" w:hAnsi="Times New Roman"/>
                <w:b/>
                <w:color w:val="FFFFFF"/>
                <w:sz w:val="16"/>
              </w:rPr>
              <w:t>Nhóm việc</w:t>
            </w:r>
          </w:p>
        </w:tc>
        <w:tc>
          <w:tcPr>
            <w:tcW w:type="dxa" w:w="2154"/>
            <w:vAlign w:val="center"/>
            <w:shd w:fill="006837"/>
          </w:tcPr>
          <w:p>
            <w:pPr>
              <w:spacing w:after="20"/>
              <w:jc w:val="left"/>
            </w:pPr>
            <w:r/>
            <w:r>
              <w:rPr>
                <w:rFonts w:ascii="Times New Roman" w:hAnsi="Times New Roman"/>
                <w:b/>
                <w:color w:val="FFFFFF"/>
                <w:sz w:val="16"/>
              </w:rPr>
              <w:t>Owner/OC nêu trong bản chốt</w:t>
            </w:r>
          </w:p>
        </w:tc>
        <w:tc>
          <w:tcPr>
            <w:tcW w:type="dxa" w:w="2268"/>
            <w:vAlign w:val="center"/>
            <w:shd w:fill="006837"/>
          </w:tcPr>
          <w:p>
            <w:pPr>
              <w:spacing w:after="20"/>
              <w:jc w:val="left"/>
            </w:pPr>
            <w:r/>
            <w:r>
              <w:rPr>
                <w:rFonts w:ascii="Times New Roman" w:hAnsi="Times New Roman"/>
                <w:b/>
                <w:color w:val="FFFFFF"/>
                <w:sz w:val="16"/>
              </w:rPr>
              <w:t>Phạm vi rà soát</w:t>
            </w:r>
          </w:p>
        </w:tc>
        <w:tc>
          <w:tcPr>
            <w:tcW w:type="dxa" w:w="2665"/>
            <w:vAlign w:val="center"/>
            <w:shd w:fill="006837"/>
          </w:tcPr>
          <w:p>
            <w:pPr>
              <w:spacing w:after="20"/>
              <w:jc w:val="left"/>
            </w:pPr>
            <w:r/>
            <w:r>
              <w:rPr>
                <w:rFonts w:ascii="Times New Roman" w:hAnsi="Times New Roman"/>
                <w:b/>
                <w:color w:val="FFFFFF"/>
                <w:sz w:val="16"/>
              </w:rPr>
              <w:t>Đầu ra yêu cầu</w:t>
            </w:r>
          </w:p>
        </w:tc>
      </w:tr>
      <w:tr>
        <w:tc>
          <w:tcPr>
            <w:tcW w:type="dxa" w:w="1701"/>
            <w:vAlign w:val="center"/>
            <w:shd w:fill="FFF4D6"/>
          </w:tcPr>
          <w:p>
            <w:pPr>
              <w:spacing w:after="20"/>
              <w:jc w:val="left"/>
            </w:pPr>
            <w:r/>
            <w:r>
              <w:rPr>
                <w:rFonts w:ascii="Times New Roman" w:hAnsi="Times New Roman"/>
                <w:b/>
                <w:sz w:val="15"/>
              </w:rPr>
              <w:t>Quy trình/quy định/hướng dẫn</w:t>
            </w:r>
          </w:p>
        </w:tc>
        <w:tc>
          <w:tcPr>
            <w:tcW w:type="dxa" w:w="2154"/>
            <w:vAlign w:val="center"/>
          </w:tcPr>
          <w:p>
            <w:pPr>
              <w:spacing w:after="20"/>
              <w:jc w:val="left"/>
            </w:pPr>
            <w:r/>
            <w:r>
              <w:rPr>
                <w:rFonts w:ascii="Times New Roman" w:hAnsi="Times New Roman"/>
                <w:b w:val="0"/>
                <w:sz w:val="15"/>
              </w:rPr>
              <w:t>Lam, Hào, Thành chủ trì cùng Hiệu, Trường, Luân, Dũng Kho, Hưng, Quý, Ly.</w:t>
            </w:r>
          </w:p>
        </w:tc>
        <w:tc>
          <w:tcPr>
            <w:tcW w:type="dxa" w:w="2268"/>
            <w:vAlign w:val="center"/>
          </w:tcPr>
          <w:p>
            <w:pPr>
              <w:spacing w:after="20"/>
              <w:jc w:val="left"/>
            </w:pPr>
            <w:r/>
            <w:r>
              <w:rPr>
                <w:rFonts w:ascii="Times New Roman" w:hAnsi="Times New Roman"/>
                <w:b w:val="0"/>
                <w:sz w:val="15"/>
              </w:rPr>
              <w:t>Aging Inventory, FC, PO, DO, lập kế hoạch, sản xuất, quản lý tồn kho, xử lý hàng chậm luân chuyển, xử lý hàng hủy.</w:t>
            </w:r>
          </w:p>
        </w:tc>
        <w:tc>
          <w:tcPr>
            <w:tcW w:type="dxa" w:w="2665"/>
            <w:vAlign w:val="center"/>
          </w:tcPr>
          <w:p>
            <w:pPr>
              <w:spacing w:after="20"/>
              <w:jc w:val="left"/>
            </w:pPr>
            <w:r/>
            <w:r>
              <w:rPr>
                <w:rFonts w:ascii="Times New Roman" w:hAnsi="Times New Roman"/>
                <w:b w:val="0"/>
                <w:sz w:val="15"/>
              </w:rPr>
              <w:t>SOP (Quy trình), Regulation (Quy định), Work Instruction (Hướng dẫn công việc) được sửa đổi hoặc ban hành mới nếu thiếu/không phù hợp.</w:t>
            </w:r>
          </w:p>
        </w:tc>
      </w:tr>
      <w:tr>
        <w:tc>
          <w:tcPr>
            <w:tcW w:type="dxa" w:w="1701"/>
            <w:vAlign w:val="center"/>
            <w:shd w:fill="FFF4D6"/>
          </w:tcPr>
          <w:p>
            <w:pPr>
              <w:spacing w:after="20"/>
              <w:jc w:val="left"/>
            </w:pPr>
            <w:r/>
            <w:r>
              <w:rPr>
                <w:rFonts w:ascii="Times New Roman" w:hAnsi="Times New Roman"/>
                <w:b/>
                <w:sz w:val="15"/>
              </w:rPr>
              <w:t>Layout kho</w:t>
            </w:r>
          </w:p>
        </w:tc>
        <w:tc>
          <w:tcPr>
            <w:tcW w:type="dxa" w:w="2154"/>
            <w:vAlign w:val="center"/>
          </w:tcPr>
          <w:p>
            <w:pPr>
              <w:spacing w:after="20"/>
              <w:jc w:val="left"/>
            </w:pPr>
            <w:r/>
            <w:r>
              <w:rPr>
                <w:rFonts w:ascii="Times New Roman" w:hAnsi="Times New Roman"/>
                <w:b w:val="0"/>
                <w:sz w:val="15"/>
              </w:rPr>
              <w:t>Luân, Dũng Kho chủ trì cùng Hiệu, Trường, Lam, Hào và các bộ phận liên quan.</w:t>
            </w:r>
          </w:p>
        </w:tc>
        <w:tc>
          <w:tcPr>
            <w:tcW w:type="dxa" w:w="2268"/>
            <w:vAlign w:val="center"/>
          </w:tcPr>
          <w:p>
            <w:pPr>
              <w:spacing w:after="20"/>
              <w:jc w:val="left"/>
            </w:pPr>
            <w:r/>
            <w:r>
              <w:rPr>
                <w:rFonts w:ascii="Times New Roman" w:hAnsi="Times New Roman"/>
                <w:b w:val="0"/>
                <w:sz w:val="15"/>
              </w:rPr>
              <w:t>Layout kho, phân khu, mã vị trí, khu NVL, BTP, TP, Aging, NG, chờ xử lý.</w:t>
            </w:r>
          </w:p>
        </w:tc>
        <w:tc>
          <w:tcPr>
            <w:tcW w:type="dxa" w:w="2665"/>
            <w:vAlign w:val="center"/>
          </w:tcPr>
          <w:p>
            <w:pPr>
              <w:spacing w:after="20"/>
              <w:jc w:val="left"/>
            </w:pPr>
            <w:r/>
            <w:r>
              <w:rPr>
                <w:rFonts w:ascii="Times New Roman" w:hAnsi="Times New Roman"/>
                <w:b w:val="0"/>
                <w:sz w:val="15"/>
              </w:rPr>
              <w:t>Layout hiện trạng, layout mục tiêu, kế hoạch triển khai, danh sách bất cập cần xử lý.</w:t>
            </w:r>
          </w:p>
        </w:tc>
      </w:tr>
      <w:tr>
        <w:tc>
          <w:tcPr>
            <w:tcW w:type="dxa" w:w="1701"/>
            <w:vAlign w:val="center"/>
            <w:shd w:fill="FFF4D6"/>
          </w:tcPr>
          <w:p>
            <w:pPr>
              <w:spacing w:after="20"/>
              <w:jc w:val="left"/>
            </w:pPr>
            <w:r/>
            <w:r>
              <w:rPr>
                <w:rFonts w:ascii="Times New Roman" w:hAnsi="Times New Roman"/>
                <w:b/>
                <w:sz w:val="15"/>
              </w:rPr>
              <w:t>Biểu mẫu/dữ liệu/báo cáo</w:t>
            </w:r>
          </w:p>
        </w:tc>
        <w:tc>
          <w:tcPr>
            <w:tcW w:type="dxa" w:w="2154"/>
            <w:vAlign w:val="center"/>
          </w:tcPr>
          <w:p>
            <w:pPr>
              <w:spacing w:after="20"/>
              <w:jc w:val="left"/>
            </w:pPr>
            <w:r/>
            <w:r>
              <w:rPr>
                <w:rFonts w:ascii="Times New Roman" w:hAnsi="Times New Roman"/>
                <w:b w:val="0"/>
                <w:sz w:val="15"/>
              </w:rPr>
              <w:t>Các đơn vị quản lý liên quan; mọi báo cáo phải có Owner.</w:t>
            </w:r>
          </w:p>
        </w:tc>
        <w:tc>
          <w:tcPr>
            <w:tcW w:type="dxa" w:w="2268"/>
            <w:vAlign w:val="center"/>
          </w:tcPr>
          <w:p>
            <w:pPr>
              <w:spacing w:after="20"/>
              <w:jc w:val="left"/>
            </w:pPr>
            <w:r/>
            <w:r>
              <w:rPr>
                <w:rFonts w:ascii="Times New Roman" w:hAnsi="Times New Roman"/>
                <w:b w:val="0"/>
                <w:sz w:val="15"/>
              </w:rPr>
              <w:t>Biểu mẫu thu thập dữ liệu, checklist, dashboard, báo cáo ngày/tuần/tháng.</w:t>
            </w:r>
          </w:p>
        </w:tc>
        <w:tc>
          <w:tcPr>
            <w:tcW w:type="dxa" w:w="2665"/>
            <w:vAlign w:val="center"/>
          </w:tcPr>
          <w:p>
            <w:pPr>
              <w:spacing w:after="20"/>
              <w:jc w:val="left"/>
            </w:pPr>
            <w:r/>
            <w:r>
              <w:rPr>
                <w:rFonts w:ascii="Times New Roman" w:hAnsi="Times New Roman"/>
                <w:b w:val="0"/>
                <w:sz w:val="15"/>
              </w:rPr>
              <w:t>Danh mục quản trị và kế hoạch xây dựng trong 07 ngày.</w:t>
            </w:r>
          </w:p>
        </w:tc>
      </w:tr>
      <w:tr>
        <w:tc>
          <w:tcPr>
            <w:tcW w:type="dxa" w:w="1701"/>
            <w:vAlign w:val="center"/>
            <w:shd w:fill="FFF4D6"/>
          </w:tcPr>
          <w:p>
            <w:pPr>
              <w:spacing w:after="20"/>
              <w:jc w:val="left"/>
            </w:pPr>
            <w:r/>
            <w:r>
              <w:rPr>
                <w:rFonts w:ascii="Times New Roman" w:hAnsi="Times New Roman"/>
                <w:b/>
                <w:sz w:val="15"/>
              </w:rPr>
              <w:t>Owner/OC</w:t>
            </w:r>
          </w:p>
        </w:tc>
        <w:tc>
          <w:tcPr>
            <w:tcW w:type="dxa" w:w="2154"/>
            <w:vAlign w:val="center"/>
          </w:tcPr>
          <w:p>
            <w:pPr>
              <w:spacing w:after="20"/>
              <w:jc w:val="left"/>
            </w:pPr>
            <w:r/>
            <w:r>
              <w:rPr>
                <w:rFonts w:ascii="Times New Roman" w:hAnsi="Times New Roman"/>
                <w:b w:val="0"/>
                <w:sz w:val="15"/>
              </w:rPr>
              <w:t>GĐNM, KHĐP, Sale, SCM, Kho.</w:t>
            </w:r>
          </w:p>
        </w:tc>
        <w:tc>
          <w:tcPr>
            <w:tcW w:type="dxa" w:w="2268"/>
            <w:vAlign w:val="center"/>
          </w:tcPr>
          <w:p>
            <w:pPr>
              <w:spacing w:after="20"/>
              <w:jc w:val="left"/>
            </w:pPr>
            <w:r/>
            <w:r>
              <w:rPr>
                <w:rFonts w:ascii="Times New Roman" w:hAnsi="Times New Roman"/>
                <w:b w:val="0"/>
                <w:sz w:val="15"/>
              </w:rPr>
              <w:t>Toàn bộ công việc thuộc phạm vi phụ trách.</w:t>
            </w:r>
          </w:p>
        </w:tc>
        <w:tc>
          <w:tcPr>
            <w:tcW w:type="dxa" w:w="2665"/>
            <w:vAlign w:val="center"/>
          </w:tcPr>
          <w:p>
            <w:pPr>
              <w:spacing w:after="20"/>
              <w:jc w:val="left"/>
            </w:pPr>
            <w:r/>
            <w:r>
              <w:rPr>
                <w:rFonts w:ascii="Times New Roman" w:hAnsi="Times New Roman"/>
                <w:b w:val="0"/>
                <w:sz w:val="15"/>
              </w:rPr>
              <w:t>Owner/OC, Co-Owner nếu cần, Deadline, kết quả đầu ra.</w:t>
            </w:r>
          </w:p>
        </w:tc>
      </w:tr>
      <w:tr>
        <w:tc>
          <w:tcPr>
            <w:tcW w:type="dxa" w:w="1701"/>
            <w:vAlign w:val="center"/>
            <w:shd w:fill="FFF4D6"/>
          </w:tcPr>
          <w:p>
            <w:pPr>
              <w:spacing w:after="20"/>
              <w:jc w:val="left"/>
            </w:pPr>
            <w:r/>
            <w:r>
              <w:rPr>
                <w:rFonts w:ascii="Times New Roman" w:hAnsi="Times New Roman"/>
                <w:b/>
                <w:sz w:val="15"/>
              </w:rPr>
              <w:t>Ban TO</w:t>
            </w:r>
          </w:p>
        </w:tc>
        <w:tc>
          <w:tcPr>
            <w:tcW w:type="dxa" w:w="2154"/>
            <w:vAlign w:val="center"/>
          </w:tcPr>
          <w:p>
            <w:pPr>
              <w:spacing w:after="20"/>
              <w:jc w:val="left"/>
            </w:pPr>
            <w:r/>
            <w:r>
              <w:rPr>
                <w:rFonts w:ascii="Times New Roman" w:hAnsi="Times New Roman"/>
                <w:b w:val="0"/>
                <w:sz w:val="15"/>
              </w:rPr>
              <w:t>Hương, Toản, Lâm, C Loan, Trinh.</w:t>
            </w:r>
          </w:p>
        </w:tc>
        <w:tc>
          <w:tcPr>
            <w:tcW w:type="dxa" w:w="2268"/>
            <w:vAlign w:val="center"/>
          </w:tcPr>
          <w:p>
            <w:pPr>
              <w:spacing w:after="20"/>
              <w:jc w:val="left"/>
            </w:pPr>
            <w:r/>
            <w:r>
              <w:rPr>
                <w:rFonts w:ascii="Times New Roman" w:hAnsi="Times New Roman"/>
                <w:b w:val="0"/>
                <w:sz w:val="15"/>
              </w:rPr>
              <w:t>Hỗ trợ, giám sát, phản biện, thúc đẩy thực hiện.</w:t>
            </w:r>
          </w:p>
        </w:tc>
        <w:tc>
          <w:tcPr>
            <w:tcW w:type="dxa" w:w="2665"/>
            <w:vAlign w:val="center"/>
          </w:tcPr>
          <w:p>
            <w:pPr>
              <w:spacing w:after="20"/>
              <w:jc w:val="left"/>
            </w:pPr>
            <w:r/>
            <w:r>
              <w:rPr>
                <w:rFonts w:ascii="Times New Roman" w:hAnsi="Times New Roman"/>
                <w:b w:val="0"/>
                <w:sz w:val="15"/>
              </w:rPr>
              <w:t>Action Log, review chất lượng đầu ra, kiểm tra hiện trường, báo cáo PMO và CEO trường hợp chậm/không thực hiện.</w:t>
            </w:r>
          </w:p>
        </w:tc>
      </w:tr>
    </w:tbl>
    <w:p>
      <w:pPr>
        <w:pStyle w:val="Heading1"/>
      </w:pPr>
      <w:r>
        <w:rPr>
          <w:rFonts w:ascii="Times New Roman" w:hAnsi="Times New Roman"/>
        </w:rPr>
        <w:t>6. KPI và nguyên tắc thưởng tháng 6</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37"/>
        <w:gridCol w:w="3437"/>
        <w:gridCol w:w="3437"/>
      </w:tblGrid>
      <w:tr>
        <w:tc>
          <w:tcPr>
            <w:tcW w:type="dxa" w:w="1984"/>
            <w:vAlign w:val="center"/>
            <w:shd w:fill="006837"/>
          </w:tcPr>
          <w:p>
            <w:pPr>
              <w:spacing w:after="20"/>
              <w:jc w:val="left"/>
            </w:pPr>
            <w:r/>
            <w:r>
              <w:rPr>
                <w:rFonts w:ascii="Times New Roman" w:hAnsi="Times New Roman"/>
                <w:b/>
                <w:color w:val="FFFFFF"/>
                <w:sz w:val="18"/>
              </w:rPr>
              <w:t>Đối tượng</w:t>
            </w:r>
          </w:p>
        </w:tc>
        <w:tc>
          <w:tcPr>
            <w:tcW w:type="dxa" w:w="3969"/>
            <w:vAlign w:val="center"/>
            <w:shd w:fill="006837"/>
          </w:tcPr>
          <w:p>
            <w:pPr>
              <w:spacing w:after="20"/>
              <w:jc w:val="left"/>
            </w:pPr>
            <w:r/>
            <w:r>
              <w:rPr>
                <w:rFonts w:ascii="Times New Roman" w:hAnsi="Times New Roman"/>
                <w:b/>
                <w:color w:val="FFFFFF"/>
                <w:sz w:val="18"/>
              </w:rPr>
              <w:t>KPI/hành vi cần kiểm soát</w:t>
            </w:r>
          </w:p>
        </w:tc>
        <w:tc>
          <w:tcPr>
            <w:tcW w:type="dxa" w:w="2551"/>
            <w:vAlign w:val="center"/>
            <w:shd w:fill="006837"/>
          </w:tcPr>
          <w:p>
            <w:pPr>
              <w:spacing w:after="20"/>
              <w:jc w:val="left"/>
            </w:pPr>
            <w:r/>
            <w:r>
              <w:rPr>
                <w:rFonts w:ascii="Times New Roman" w:hAnsi="Times New Roman"/>
                <w:b/>
                <w:color w:val="FFFFFF"/>
                <w:sz w:val="18"/>
              </w:rPr>
              <w:t>Ghi chú trong luồng</w:t>
            </w:r>
          </w:p>
        </w:tc>
      </w:tr>
      <w:tr>
        <w:tc>
          <w:tcPr>
            <w:tcW w:type="dxa" w:w="1984"/>
            <w:vAlign w:val="center"/>
            <w:shd w:fill="FFF4D6"/>
          </w:tcPr>
          <w:p>
            <w:pPr>
              <w:spacing w:after="20"/>
              <w:jc w:val="left"/>
            </w:pPr>
            <w:r/>
            <w:r>
              <w:rPr>
                <w:rFonts w:ascii="Times New Roman" w:hAnsi="Times New Roman"/>
                <w:b/>
                <w:sz w:val="17"/>
              </w:rPr>
              <w:t>Sale</w:t>
            </w:r>
          </w:p>
        </w:tc>
        <w:tc>
          <w:tcPr>
            <w:tcW w:type="dxa" w:w="3969"/>
            <w:vAlign w:val="center"/>
          </w:tcPr>
          <w:p>
            <w:pPr>
              <w:spacing w:after="20"/>
              <w:jc w:val="left"/>
            </w:pPr>
            <w:r/>
            <w:r>
              <w:rPr>
                <w:rFonts w:ascii="Times New Roman" w:hAnsi="Times New Roman"/>
                <w:b w:val="0"/>
                <w:sz w:val="17"/>
              </w:rPr>
              <w:t>Aging Inventory (Tồn kho tuổi) theo khách hàng phụ trách; Forecast Accuracy (Độ chính xác dự báo).</w:t>
            </w:r>
          </w:p>
        </w:tc>
        <w:tc>
          <w:tcPr>
            <w:tcW w:type="dxa" w:w="2551"/>
            <w:vAlign w:val="center"/>
          </w:tcPr>
          <w:p>
            <w:pPr>
              <w:spacing w:after="20"/>
              <w:jc w:val="left"/>
            </w:pPr>
            <w:r/>
            <w:r>
              <w:rPr>
                <w:rFonts w:ascii="Times New Roman" w:hAnsi="Times New Roman"/>
                <w:b w:val="0"/>
                <w:sz w:val="17"/>
              </w:rPr>
              <w:t>Tập trung kiểm soát phát sinh mới.</w:t>
            </w:r>
          </w:p>
        </w:tc>
      </w:tr>
      <w:tr>
        <w:tc>
          <w:tcPr>
            <w:tcW w:type="dxa" w:w="1984"/>
            <w:vAlign w:val="center"/>
            <w:shd w:fill="FFF4D6"/>
          </w:tcPr>
          <w:p>
            <w:pPr>
              <w:spacing w:after="20"/>
              <w:jc w:val="left"/>
            </w:pPr>
            <w:r/>
            <w:r>
              <w:rPr>
                <w:rFonts w:ascii="Times New Roman" w:hAnsi="Times New Roman"/>
                <w:b/>
                <w:sz w:val="17"/>
              </w:rPr>
              <w:t>KHĐP</w:t>
            </w:r>
          </w:p>
        </w:tc>
        <w:tc>
          <w:tcPr>
            <w:tcW w:type="dxa" w:w="3969"/>
            <w:vAlign w:val="center"/>
          </w:tcPr>
          <w:p>
            <w:pPr>
              <w:spacing w:after="20"/>
              <w:jc w:val="left"/>
            </w:pPr>
            <w:r/>
            <w:r>
              <w:rPr>
                <w:rFonts w:ascii="Times New Roman" w:hAnsi="Times New Roman"/>
                <w:b w:val="0"/>
                <w:sz w:val="17"/>
              </w:rPr>
              <w:t>Không phát hành lệnh vượt PO/FC được duyệt; Aging phát sinh mới.</w:t>
            </w:r>
          </w:p>
        </w:tc>
        <w:tc>
          <w:tcPr>
            <w:tcW w:type="dxa" w:w="2551"/>
            <w:vAlign w:val="center"/>
          </w:tcPr>
          <w:p>
            <w:pPr>
              <w:spacing w:after="20"/>
              <w:jc w:val="left"/>
            </w:pPr>
            <w:r/>
            <w:r>
              <w:rPr>
                <w:rFonts w:ascii="Times New Roman" w:hAnsi="Times New Roman"/>
                <w:b w:val="0"/>
                <w:sz w:val="17"/>
              </w:rPr>
              <w:t>Không sản xuất ngoài điều kiện được duyệt.</w:t>
            </w:r>
          </w:p>
        </w:tc>
      </w:tr>
      <w:tr>
        <w:tc>
          <w:tcPr>
            <w:tcW w:type="dxa" w:w="1984"/>
            <w:vAlign w:val="center"/>
            <w:shd w:fill="FFF4D6"/>
          </w:tcPr>
          <w:p>
            <w:pPr>
              <w:spacing w:after="20"/>
              <w:jc w:val="left"/>
            </w:pPr>
            <w:r/>
            <w:r>
              <w:rPr>
                <w:rFonts w:ascii="Times New Roman" w:hAnsi="Times New Roman"/>
                <w:b/>
                <w:sz w:val="17"/>
              </w:rPr>
              <w:t>GĐNM</w:t>
            </w:r>
          </w:p>
        </w:tc>
        <w:tc>
          <w:tcPr>
            <w:tcW w:type="dxa" w:w="3969"/>
            <w:vAlign w:val="center"/>
          </w:tcPr>
          <w:p>
            <w:pPr>
              <w:spacing w:after="20"/>
              <w:jc w:val="left"/>
            </w:pPr>
            <w:r/>
            <w:r>
              <w:rPr>
                <w:rFonts w:ascii="Times New Roman" w:hAnsi="Times New Roman"/>
                <w:b w:val="0"/>
                <w:sz w:val="17"/>
              </w:rPr>
              <w:t>Không sản xuất dư ngoài kế hoạch được duyệt; kiểm soát BTP tồn lâu.</w:t>
            </w:r>
          </w:p>
        </w:tc>
        <w:tc>
          <w:tcPr>
            <w:tcW w:type="dxa" w:w="2551"/>
            <w:vAlign w:val="center"/>
          </w:tcPr>
          <w:p>
            <w:pPr>
              <w:spacing w:after="20"/>
              <w:jc w:val="left"/>
            </w:pPr>
            <w:r/>
            <w:r>
              <w:rPr>
                <w:rFonts w:ascii="Times New Roman" w:hAnsi="Times New Roman"/>
                <w:b w:val="0"/>
                <w:sz w:val="17"/>
              </w:rPr>
              <w:t>Không sản xuất dư lệnh.</w:t>
            </w:r>
          </w:p>
        </w:tc>
      </w:tr>
      <w:tr>
        <w:tc>
          <w:tcPr>
            <w:tcW w:type="dxa" w:w="1984"/>
            <w:vAlign w:val="center"/>
            <w:shd w:fill="FFF4D6"/>
          </w:tcPr>
          <w:p>
            <w:pPr>
              <w:spacing w:after="20"/>
              <w:jc w:val="left"/>
            </w:pPr>
            <w:r/>
            <w:r>
              <w:rPr>
                <w:rFonts w:ascii="Times New Roman" w:hAnsi="Times New Roman"/>
                <w:b/>
                <w:sz w:val="17"/>
              </w:rPr>
              <w:t>Kho</w:t>
            </w:r>
          </w:p>
        </w:tc>
        <w:tc>
          <w:tcPr>
            <w:tcW w:type="dxa" w:w="3969"/>
            <w:vAlign w:val="center"/>
          </w:tcPr>
          <w:p>
            <w:pPr>
              <w:spacing w:after="20"/>
              <w:jc w:val="left"/>
            </w:pPr>
            <w:r/>
            <w:r>
              <w:rPr>
                <w:rFonts w:ascii="Times New Roman" w:hAnsi="Times New Roman"/>
                <w:b w:val="0"/>
                <w:sz w:val="17"/>
              </w:rPr>
              <w:t>100% Aging được cảnh báo; 100% Aging có Owner.</w:t>
            </w:r>
          </w:p>
        </w:tc>
        <w:tc>
          <w:tcPr>
            <w:tcW w:type="dxa" w:w="2551"/>
            <w:vAlign w:val="center"/>
          </w:tcPr>
          <w:p>
            <w:pPr>
              <w:spacing w:after="20"/>
              <w:jc w:val="left"/>
            </w:pPr>
            <w:r/>
            <w:r>
              <w:rPr>
                <w:rFonts w:ascii="Times New Roman" w:hAnsi="Times New Roman"/>
                <w:b w:val="0"/>
                <w:sz w:val="17"/>
              </w:rPr>
              <w:t>Hàng &gt;60 ngày phải có Owner.</w:t>
            </w:r>
          </w:p>
        </w:tc>
      </w:tr>
      <w:tr>
        <w:tc>
          <w:tcPr>
            <w:tcW w:type="dxa" w:w="1984"/>
            <w:vAlign w:val="center"/>
            <w:shd w:fill="FFF4D6"/>
          </w:tcPr>
          <w:p>
            <w:pPr>
              <w:spacing w:after="20"/>
              <w:jc w:val="left"/>
            </w:pPr>
            <w:r/>
            <w:r>
              <w:rPr>
                <w:rFonts w:ascii="Times New Roman" w:hAnsi="Times New Roman"/>
                <w:b/>
                <w:sz w:val="17"/>
              </w:rPr>
              <w:t>Cá nhân/đơn vị tham gia GSP Next 30</w:t>
            </w:r>
          </w:p>
        </w:tc>
        <w:tc>
          <w:tcPr>
            <w:tcW w:type="dxa" w:w="3969"/>
            <w:vAlign w:val="center"/>
          </w:tcPr>
          <w:p>
            <w:pPr>
              <w:spacing w:after="20"/>
              <w:jc w:val="left"/>
            </w:pPr>
            <w:r/>
            <w:r>
              <w:rPr>
                <w:rFonts w:ascii="Times New Roman" w:hAnsi="Times New Roman"/>
                <w:b w:val="0"/>
                <w:sz w:val="17"/>
              </w:rPr>
              <w:t>Đăng ký, nhận Owner/OC, lập kế hoạch, xây quy trình/quy định/biểu mẫu được giao, hoàn thành đúng hạn.</w:t>
            </w:r>
          </w:p>
        </w:tc>
        <w:tc>
          <w:tcPr>
            <w:tcW w:type="dxa" w:w="2551"/>
            <w:vAlign w:val="center"/>
          </w:tcPr>
          <w:p>
            <w:pPr>
              <w:spacing w:after="20"/>
              <w:jc w:val="left"/>
            </w:pPr>
            <w:r/>
            <w:r>
              <w:rPr>
                <w:rFonts w:ascii="Times New Roman" w:hAnsi="Times New Roman"/>
                <w:b w:val="0"/>
                <w:sz w:val="17"/>
              </w:rPr>
              <w:t>Không đăng ký/không nhận Owner/không hoàn thành đầu việc nền tảng thì không đưa vào danh sách xét thưởng KPI tháng 6.</w:t>
            </w:r>
          </w:p>
        </w:tc>
      </w:tr>
    </w:tbl>
    <w:p>
      <w:pPr>
        <w:pStyle w:val="Heading1"/>
      </w:pPr>
      <w:r>
        <w:rPr>
          <w:rFonts w:ascii="Times New Roman" w:hAnsi="Times New Roman"/>
        </w:rPr>
        <w:t>7. Lớp 3 – Giả định/vấn đề cần xác nhận</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37"/>
        <w:gridCol w:w="3437"/>
        <w:gridCol w:w="3437"/>
      </w:tblGrid>
      <w:tr>
        <w:tc>
          <w:tcPr>
            <w:tcW w:type="dxa" w:w="3005"/>
            <w:vAlign w:val="center"/>
            <w:shd w:fill="006837"/>
          </w:tcPr>
          <w:p>
            <w:pPr>
              <w:spacing w:after="20"/>
              <w:jc w:val="left"/>
            </w:pPr>
            <w:r/>
            <w:r>
              <w:rPr>
                <w:rFonts w:ascii="Times New Roman" w:hAnsi="Times New Roman"/>
                <w:b/>
                <w:color w:val="FFFFFF"/>
                <w:sz w:val="17"/>
              </w:rPr>
              <w:t>Nội dung cần xác nhận</w:t>
            </w:r>
          </w:p>
        </w:tc>
        <w:tc>
          <w:tcPr>
            <w:tcW w:type="dxa" w:w="3175"/>
            <w:vAlign w:val="center"/>
            <w:shd w:fill="006837"/>
          </w:tcPr>
          <w:p>
            <w:pPr>
              <w:spacing w:after="20"/>
              <w:jc w:val="left"/>
            </w:pPr>
            <w:r/>
            <w:r>
              <w:rPr>
                <w:rFonts w:ascii="Times New Roman" w:hAnsi="Times New Roman"/>
                <w:b/>
                <w:color w:val="FFFFFF"/>
                <w:sz w:val="17"/>
              </w:rPr>
              <w:t>Lý do cần xác nhận</w:t>
            </w:r>
          </w:p>
        </w:tc>
        <w:tc>
          <w:tcPr>
            <w:tcW w:type="dxa" w:w="2608"/>
            <w:vAlign w:val="center"/>
            <w:shd w:fill="006837"/>
          </w:tcPr>
          <w:p>
            <w:pPr>
              <w:spacing w:after="20"/>
              <w:jc w:val="left"/>
            </w:pPr>
            <w:r/>
            <w:r>
              <w:rPr>
                <w:rFonts w:ascii="Times New Roman" w:hAnsi="Times New Roman"/>
                <w:b/>
                <w:color w:val="FFFFFF"/>
                <w:sz w:val="17"/>
              </w:rPr>
              <w:t>Đơn vị/người cần xác nhận</w:t>
            </w:r>
          </w:p>
        </w:tc>
      </w:tr>
      <w:tr>
        <w:tc>
          <w:tcPr>
            <w:tcW w:type="dxa" w:w="3005"/>
            <w:vAlign w:val="center"/>
            <w:shd w:fill="FFF4D6"/>
          </w:tcPr>
          <w:p>
            <w:pPr>
              <w:spacing w:after="20"/>
              <w:jc w:val="left"/>
            </w:pPr>
            <w:r/>
            <w:r>
              <w:rPr>
                <w:rFonts w:ascii="Times New Roman" w:hAnsi="Times New Roman"/>
                <w:b/>
                <w:sz w:val="16"/>
              </w:rPr>
              <w:t>Freeze Window cụ thể theo từng khách/nhóm hàng.</w:t>
            </w:r>
          </w:p>
        </w:tc>
        <w:tc>
          <w:tcPr>
            <w:tcW w:type="dxa" w:w="3175"/>
            <w:vAlign w:val="center"/>
          </w:tcPr>
          <w:p>
            <w:pPr>
              <w:spacing w:after="20"/>
              <w:jc w:val="left"/>
            </w:pPr>
            <w:r/>
            <w:r>
              <w:rPr>
                <w:rFonts w:ascii="Times New Roman" w:hAnsi="Times New Roman"/>
                <w:b w:val="0"/>
                <w:sz w:val="16"/>
              </w:rPr>
              <w:t>Trong luồng có đề xuất số ngày, nhưng cần đàm phán/đối chiếu SLA thực tế.</w:t>
            </w:r>
          </w:p>
        </w:tc>
        <w:tc>
          <w:tcPr>
            <w:tcW w:type="dxa" w:w="2608"/>
            <w:vAlign w:val="center"/>
          </w:tcPr>
          <w:p>
            <w:pPr>
              <w:spacing w:after="20"/>
              <w:jc w:val="left"/>
            </w:pPr>
            <w:r/>
            <w:r>
              <w:rPr>
                <w:rFonts w:ascii="Times New Roman" w:hAnsi="Times New Roman"/>
                <w:b w:val="0"/>
                <w:sz w:val="16"/>
              </w:rPr>
              <w:t>BD/Sale/SCM/KHĐP/GĐNM.</w:t>
            </w:r>
          </w:p>
        </w:tc>
      </w:tr>
      <w:tr>
        <w:tc>
          <w:tcPr>
            <w:tcW w:type="dxa" w:w="3005"/>
            <w:vAlign w:val="center"/>
            <w:shd w:fill="FFF4D6"/>
          </w:tcPr>
          <w:p>
            <w:pPr>
              <w:spacing w:after="20"/>
              <w:jc w:val="left"/>
            </w:pPr>
            <w:r/>
            <w:r>
              <w:rPr>
                <w:rFonts w:ascii="Times New Roman" w:hAnsi="Times New Roman"/>
                <w:b/>
                <w:sz w:val="16"/>
              </w:rPr>
              <w:t>Tình trạng SLA của từng khách hàng.</w:t>
            </w:r>
          </w:p>
        </w:tc>
        <w:tc>
          <w:tcPr>
            <w:tcW w:type="dxa" w:w="3175"/>
            <w:vAlign w:val="center"/>
          </w:tcPr>
          <w:p>
            <w:pPr>
              <w:spacing w:after="20"/>
              <w:jc w:val="left"/>
            </w:pPr>
            <w:r/>
            <w:r>
              <w:rPr>
                <w:rFonts w:ascii="Times New Roman" w:hAnsi="Times New Roman"/>
                <w:b w:val="0"/>
                <w:sz w:val="16"/>
              </w:rPr>
              <w:t>Cần phân nhóm A/B/C/D và xác định khách có SLA, chưa có Freeze Window, không SLA, khách vi phạm SLA hay GSP vi phạm SLA.</w:t>
            </w:r>
          </w:p>
        </w:tc>
        <w:tc>
          <w:tcPr>
            <w:tcW w:type="dxa" w:w="2608"/>
            <w:vAlign w:val="center"/>
          </w:tcPr>
          <w:p>
            <w:pPr>
              <w:spacing w:after="20"/>
              <w:jc w:val="left"/>
            </w:pPr>
            <w:r/>
            <w:r>
              <w:rPr>
                <w:rFonts w:ascii="Times New Roman" w:hAnsi="Times New Roman"/>
                <w:b w:val="0"/>
                <w:sz w:val="16"/>
              </w:rPr>
              <w:t>BD/Sale/SCM.</w:t>
            </w:r>
          </w:p>
        </w:tc>
      </w:tr>
      <w:tr>
        <w:tc>
          <w:tcPr>
            <w:tcW w:type="dxa" w:w="3005"/>
            <w:vAlign w:val="center"/>
            <w:shd w:fill="FFF4D6"/>
          </w:tcPr>
          <w:p>
            <w:pPr>
              <w:spacing w:after="20"/>
              <w:jc w:val="left"/>
            </w:pPr>
            <w:r/>
            <w:r>
              <w:rPr>
                <w:rFonts w:ascii="Times New Roman" w:hAnsi="Times New Roman"/>
                <w:b/>
                <w:sz w:val="16"/>
              </w:rPr>
              <w:t>Quy định điều kiện được sản xuất theo PO/FC/DO.</w:t>
            </w:r>
          </w:p>
        </w:tc>
        <w:tc>
          <w:tcPr>
            <w:tcW w:type="dxa" w:w="3175"/>
            <w:vAlign w:val="center"/>
          </w:tcPr>
          <w:p>
            <w:pPr>
              <w:spacing w:after="20"/>
              <w:jc w:val="left"/>
            </w:pPr>
            <w:r/>
            <w:r>
              <w:rPr>
                <w:rFonts w:ascii="Times New Roman" w:hAnsi="Times New Roman"/>
                <w:b w:val="0"/>
                <w:sz w:val="16"/>
              </w:rPr>
              <w:t>Cần chốt rõ trường hợp được sản xuất, giới hạn theo FC đã duyệt, trường hợp cần phê duyệt đặc biệt.</w:t>
            </w:r>
          </w:p>
        </w:tc>
        <w:tc>
          <w:tcPr>
            <w:tcW w:type="dxa" w:w="2608"/>
            <w:vAlign w:val="center"/>
          </w:tcPr>
          <w:p>
            <w:pPr>
              <w:spacing w:after="20"/>
              <w:jc w:val="left"/>
            </w:pPr>
            <w:r/>
            <w:r>
              <w:rPr>
                <w:rFonts w:ascii="Times New Roman" w:hAnsi="Times New Roman"/>
                <w:b w:val="0"/>
                <w:sz w:val="16"/>
              </w:rPr>
              <w:t>KHĐP/Sale/SCM/GĐNM.</w:t>
            </w:r>
          </w:p>
        </w:tc>
      </w:tr>
      <w:tr>
        <w:tc>
          <w:tcPr>
            <w:tcW w:type="dxa" w:w="3005"/>
            <w:vAlign w:val="center"/>
            <w:shd w:fill="FFF4D6"/>
          </w:tcPr>
          <w:p>
            <w:pPr>
              <w:spacing w:after="20"/>
              <w:jc w:val="left"/>
            </w:pPr>
            <w:r/>
            <w:r>
              <w:rPr>
                <w:rFonts w:ascii="Times New Roman" w:hAnsi="Times New Roman"/>
                <w:b/>
                <w:sz w:val="16"/>
              </w:rPr>
              <w:t>Danh sách Owner/OC cho hàng tồn tuổi và các đầu việc nền tảng.</w:t>
            </w:r>
          </w:p>
        </w:tc>
        <w:tc>
          <w:tcPr>
            <w:tcW w:type="dxa" w:w="3175"/>
            <w:vAlign w:val="center"/>
          </w:tcPr>
          <w:p>
            <w:pPr>
              <w:spacing w:after="20"/>
              <w:jc w:val="left"/>
            </w:pPr>
            <w:r/>
            <w:r>
              <w:rPr>
                <w:rFonts w:ascii="Times New Roman" w:hAnsi="Times New Roman"/>
                <w:b w:val="0"/>
                <w:sz w:val="16"/>
              </w:rPr>
              <w:t>Không có Owner thì coi như chưa quản lý/chưa làm.</w:t>
            </w:r>
          </w:p>
        </w:tc>
        <w:tc>
          <w:tcPr>
            <w:tcW w:type="dxa" w:w="2608"/>
            <w:vAlign w:val="center"/>
          </w:tcPr>
          <w:p>
            <w:pPr>
              <w:spacing w:after="20"/>
              <w:jc w:val="left"/>
            </w:pPr>
            <w:r/>
            <w:r>
              <w:rPr>
                <w:rFonts w:ascii="Times New Roman" w:hAnsi="Times New Roman"/>
                <w:b w:val="0"/>
                <w:sz w:val="16"/>
              </w:rPr>
              <w:t>GĐNM/KHĐP/Sale/SCM/Kho.</w:t>
            </w:r>
          </w:p>
        </w:tc>
      </w:tr>
      <w:tr>
        <w:tc>
          <w:tcPr>
            <w:tcW w:type="dxa" w:w="3005"/>
            <w:vAlign w:val="center"/>
            <w:shd w:fill="FFF4D6"/>
          </w:tcPr>
          <w:p>
            <w:pPr>
              <w:spacing w:after="20"/>
              <w:jc w:val="left"/>
            </w:pPr>
            <w:r/>
            <w:r>
              <w:rPr>
                <w:rFonts w:ascii="Times New Roman" w:hAnsi="Times New Roman"/>
                <w:b/>
                <w:sz w:val="16"/>
              </w:rPr>
              <w:t>Layout hiện trạng và layout mục tiêu từng kho GS1, GS5, GS6.</w:t>
            </w:r>
          </w:p>
        </w:tc>
        <w:tc>
          <w:tcPr>
            <w:tcW w:type="dxa" w:w="3175"/>
            <w:vAlign w:val="center"/>
          </w:tcPr>
          <w:p>
            <w:pPr>
              <w:spacing w:after="20"/>
              <w:jc w:val="left"/>
            </w:pPr>
            <w:r/>
            <w:r>
              <w:rPr>
                <w:rFonts w:ascii="Times New Roman" w:hAnsi="Times New Roman"/>
                <w:b w:val="0"/>
                <w:sz w:val="16"/>
              </w:rPr>
              <w:t>Luồng chat yêu cầu hoàn thành trong 07 ngày nhưng chưa có bản layout trong file.</w:t>
            </w:r>
          </w:p>
        </w:tc>
        <w:tc>
          <w:tcPr>
            <w:tcW w:type="dxa" w:w="2608"/>
            <w:vAlign w:val="center"/>
          </w:tcPr>
          <w:p>
            <w:pPr>
              <w:spacing w:after="20"/>
              <w:jc w:val="left"/>
            </w:pPr>
            <w:r/>
            <w:r>
              <w:rPr>
                <w:rFonts w:ascii="Times New Roman" w:hAnsi="Times New Roman"/>
                <w:b w:val="0"/>
                <w:sz w:val="16"/>
              </w:rPr>
              <w:t>Luân/Dũng Kho/GĐNM/các bộ phận liên quan.</w:t>
            </w:r>
          </w:p>
        </w:tc>
      </w:tr>
      <w:tr>
        <w:tc>
          <w:tcPr>
            <w:tcW w:type="dxa" w:w="3005"/>
            <w:vAlign w:val="center"/>
            <w:shd w:fill="FFF4D6"/>
          </w:tcPr>
          <w:p>
            <w:pPr>
              <w:spacing w:after="20"/>
              <w:jc w:val="left"/>
            </w:pPr>
            <w:r/>
            <w:r>
              <w:rPr>
                <w:rFonts w:ascii="Times New Roman" w:hAnsi="Times New Roman"/>
                <w:b/>
                <w:sz w:val="16"/>
              </w:rPr>
              <w:t>Danh mục biểu mẫu, dashboard, báo cáo ngày/tuần/tháng hiện có và thiếu.</w:t>
            </w:r>
          </w:p>
        </w:tc>
        <w:tc>
          <w:tcPr>
            <w:tcW w:type="dxa" w:w="3175"/>
            <w:vAlign w:val="center"/>
          </w:tcPr>
          <w:p>
            <w:pPr>
              <w:spacing w:after="20"/>
              <w:jc w:val="left"/>
            </w:pPr>
            <w:r/>
            <w:r>
              <w:rPr>
                <w:rFonts w:ascii="Times New Roman" w:hAnsi="Times New Roman"/>
                <w:b w:val="0"/>
                <w:sz w:val="16"/>
              </w:rPr>
              <w:t>Cần biết cái nào đã có, cái nào phải xây trong 07 ngày.</w:t>
            </w:r>
          </w:p>
        </w:tc>
        <w:tc>
          <w:tcPr>
            <w:tcW w:type="dxa" w:w="2608"/>
            <w:vAlign w:val="center"/>
          </w:tcPr>
          <w:p>
            <w:pPr>
              <w:spacing w:after="20"/>
              <w:jc w:val="left"/>
            </w:pPr>
            <w:r/>
            <w:r>
              <w:rPr>
                <w:rFonts w:ascii="Times New Roman" w:hAnsi="Times New Roman"/>
                <w:b w:val="0"/>
                <w:sz w:val="16"/>
              </w:rPr>
              <w:t>Ban TO và các đơn vị vận hành.</w:t>
            </w:r>
          </w:p>
        </w:tc>
      </w:tr>
      <w:tr>
        <w:tc>
          <w:tcPr>
            <w:tcW w:type="dxa" w:w="3005"/>
            <w:vAlign w:val="center"/>
            <w:shd w:fill="FFF4D6"/>
          </w:tcPr>
          <w:p>
            <w:pPr>
              <w:spacing w:after="20"/>
              <w:jc w:val="left"/>
            </w:pPr>
            <w:r/>
            <w:r>
              <w:rPr>
                <w:rFonts w:ascii="Times New Roman" w:hAnsi="Times New Roman"/>
                <w:b/>
                <w:sz w:val="16"/>
              </w:rPr>
              <w:t>Cơ chế đánh KPI tháng 6 chi tiết.</w:t>
            </w:r>
          </w:p>
        </w:tc>
        <w:tc>
          <w:tcPr>
            <w:tcW w:type="dxa" w:w="3175"/>
            <w:vAlign w:val="center"/>
          </w:tcPr>
          <w:p>
            <w:pPr>
              <w:spacing w:after="20"/>
              <w:jc w:val="left"/>
            </w:pPr>
            <w:r/>
            <w:r>
              <w:rPr>
                <w:rFonts w:ascii="Times New Roman" w:hAnsi="Times New Roman"/>
                <w:b w:val="0"/>
                <w:sz w:val="16"/>
              </w:rPr>
              <w:t>Luồng chat nêu nguyên tắc không đưa vào danh sách xét thưởng, nhưng cần quy định cách ghi nhận/đánh giá cụ thể.</w:t>
            </w:r>
          </w:p>
        </w:tc>
        <w:tc>
          <w:tcPr>
            <w:tcW w:type="dxa" w:w="2608"/>
            <w:vAlign w:val="center"/>
          </w:tcPr>
          <w:p>
            <w:pPr>
              <w:spacing w:after="20"/>
              <w:jc w:val="left"/>
            </w:pPr>
            <w:r/>
            <w:r>
              <w:rPr>
                <w:rFonts w:ascii="Times New Roman" w:hAnsi="Times New Roman"/>
                <w:b w:val="0"/>
                <w:sz w:val="16"/>
              </w:rPr>
              <w:t>PMO/CEO/Ban TO/HR nếu có liên quan.</w:t>
            </w:r>
          </w:p>
        </w:tc>
      </w:tr>
    </w:tbl>
    <w:p>
      <w:pPr>
        <w:pStyle w:val="Heading1"/>
      </w:pPr>
      <w:r>
        <w:rPr>
          <w:rFonts w:ascii="Times New Roman" w:hAnsi="Times New Roman"/>
        </w:rPr>
        <w:t>8. Thuật ngữ song ngữ dùng trong bản tóm tắt</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56"/>
        <w:gridCol w:w="5156"/>
      </w:tblGrid>
      <w:tr>
        <w:tc>
          <w:tcPr>
            <w:tcW w:type="dxa" w:w="3288"/>
            <w:vAlign w:val="center"/>
            <w:shd w:fill="006837"/>
          </w:tcPr>
          <w:p>
            <w:pPr>
              <w:spacing w:after="20"/>
              <w:jc w:val="left"/>
            </w:pPr>
            <w:r/>
            <w:r>
              <w:rPr>
                <w:rFonts w:ascii="Times New Roman" w:hAnsi="Times New Roman"/>
                <w:b/>
                <w:color w:val="FFFFFF"/>
                <w:sz w:val="17"/>
              </w:rPr>
              <w:t>Thuật ngữ</w:t>
            </w:r>
          </w:p>
        </w:tc>
        <w:tc>
          <w:tcPr>
            <w:tcW w:type="dxa" w:w="5216"/>
            <w:vAlign w:val="center"/>
            <w:shd w:fill="006837"/>
          </w:tcPr>
          <w:p>
            <w:pPr>
              <w:spacing w:after="20"/>
              <w:jc w:val="left"/>
            </w:pPr>
            <w:r/>
            <w:r>
              <w:rPr>
                <w:rFonts w:ascii="Times New Roman" w:hAnsi="Times New Roman"/>
                <w:b/>
                <w:color w:val="FFFFFF"/>
                <w:sz w:val="17"/>
              </w:rPr>
              <w:t>Diễn giải trong bối cảnh luồng chat</w:t>
            </w:r>
          </w:p>
        </w:tc>
      </w:tr>
      <w:tr>
        <w:tc>
          <w:tcPr>
            <w:tcW w:type="dxa" w:w="3288"/>
            <w:vAlign w:val="center"/>
            <w:shd w:fill="FFF4D6"/>
          </w:tcPr>
          <w:p>
            <w:pPr>
              <w:spacing w:after="20"/>
              <w:jc w:val="left"/>
            </w:pPr>
            <w:r/>
            <w:r>
              <w:rPr>
                <w:rFonts w:ascii="Times New Roman" w:hAnsi="Times New Roman"/>
                <w:b/>
                <w:sz w:val="16"/>
              </w:rPr>
              <w:t>Operating System (Hệ thống vận hành)</w:t>
            </w:r>
          </w:p>
        </w:tc>
        <w:tc>
          <w:tcPr>
            <w:tcW w:type="dxa" w:w="5216"/>
            <w:vAlign w:val="center"/>
          </w:tcPr>
          <w:p>
            <w:pPr>
              <w:spacing w:after="20"/>
              <w:jc w:val="left"/>
            </w:pPr>
            <w:r/>
            <w:r>
              <w:rPr>
                <w:rFonts w:ascii="Times New Roman" w:hAnsi="Times New Roman"/>
                <w:b w:val="0"/>
                <w:sz w:val="16"/>
              </w:rPr>
              <w:t>Hệ thống quy trình, dữ liệu, báo cáo, Owner, KPI, tuân thủ để vận hành không chỉ theo xử lý sự vụ.</w:t>
            </w:r>
          </w:p>
        </w:tc>
      </w:tr>
      <w:tr>
        <w:tc>
          <w:tcPr>
            <w:tcW w:type="dxa" w:w="3288"/>
            <w:vAlign w:val="center"/>
            <w:shd w:fill="FFF4D6"/>
          </w:tcPr>
          <w:p>
            <w:pPr>
              <w:spacing w:after="20"/>
              <w:jc w:val="left"/>
            </w:pPr>
            <w:r/>
            <w:r>
              <w:rPr>
                <w:rFonts w:ascii="Times New Roman" w:hAnsi="Times New Roman"/>
                <w:b/>
                <w:sz w:val="16"/>
              </w:rPr>
              <w:t>Loss Management Report (Báo cáo quản trị tổn thất)</w:t>
            </w:r>
          </w:p>
        </w:tc>
        <w:tc>
          <w:tcPr>
            <w:tcW w:type="dxa" w:w="5216"/>
            <w:vAlign w:val="center"/>
          </w:tcPr>
          <w:p>
            <w:pPr>
              <w:spacing w:after="20"/>
              <w:jc w:val="left"/>
            </w:pPr>
            <w:r/>
            <w:r>
              <w:rPr>
                <w:rFonts w:ascii="Times New Roman" w:hAnsi="Times New Roman"/>
                <w:b w:val="0"/>
                <w:sz w:val="16"/>
              </w:rPr>
              <w:t>Cách gọi mới thay cho “tờ trình xin hủy”, tập trung vào nguyên nhân và phòng ngừa.</w:t>
            </w:r>
          </w:p>
        </w:tc>
      </w:tr>
      <w:tr>
        <w:tc>
          <w:tcPr>
            <w:tcW w:type="dxa" w:w="3288"/>
            <w:vAlign w:val="center"/>
            <w:shd w:fill="FFF4D6"/>
          </w:tcPr>
          <w:p>
            <w:pPr>
              <w:spacing w:after="20"/>
              <w:jc w:val="left"/>
            </w:pPr>
            <w:r/>
            <w:r>
              <w:rPr>
                <w:rFonts w:ascii="Times New Roman" w:hAnsi="Times New Roman"/>
                <w:b/>
                <w:sz w:val="16"/>
              </w:rPr>
              <w:t>Root Cause (Nguyên nhân gốc)</w:t>
            </w:r>
          </w:p>
        </w:tc>
        <w:tc>
          <w:tcPr>
            <w:tcW w:type="dxa" w:w="5216"/>
            <w:vAlign w:val="center"/>
          </w:tcPr>
          <w:p>
            <w:pPr>
              <w:spacing w:after="20"/>
              <w:jc w:val="left"/>
            </w:pPr>
            <w:r/>
            <w:r>
              <w:rPr>
                <w:rFonts w:ascii="Times New Roman" w:hAnsi="Times New Roman"/>
                <w:b w:val="0"/>
                <w:sz w:val="16"/>
              </w:rPr>
              <w:t>Nguyên nhân sâu khiến phát sinh hủy hàng/tồn tuổi, không chỉ mô tả hiện tượng.</w:t>
            </w:r>
          </w:p>
        </w:tc>
      </w:tr>
      <w:tr>
        <w:tc>
          <w:tcPr>
            <w:tcW w:type="dxa" w:w="3288"/>
            <w:vAlign w:val="center"/>
            <w:shd w:fill="FFF4D6"/>
          </w:tcPr>
          <w:p>
            <w:pPr>
              <w:spacing w:after="20"/>
              <w:jc w:val="left"/>
            </w:pPr>
            <w:r/>
            <w:r>
              <w:rPr>
                <w:rFonts w:ascii="Times New Roman" w:hAnsi="Times New Roman"/>
                <w:b/>
                <w:sz w:val="16"/>
              </w:rPr>
              <w:t>CAPA (Khắc phục và Phòng ngừa)</w:t>
            </w:r>
          </w:p>
        </w:tc>
        <w:tc>
          <w:tcPr>
            <w:tcW w:type="dxa" w:w="5216"/>
            <w:vAlign w:val="center"/>
          </w:tcPr>
          <w:p>
            <w:pPr>
              <w:spacing w:after="20"/>
              <w:jc w:val="left"/>
            </w:pPr>
            <w:r/>
            <w:r>
              <w:rPr>
                <w:rFonts w:ascii="Times New Roman" w:hAnsi="Times New Roman"/>
                <w:b w:val="0"/>
                <w:sz w:val="16"/>
              </w:rPr>
              <w:t>Hành động xử lý hiện tại và hành động để lỗi không lặp lại.</w:t>
            </w:r>
          </w:p>
        </w:tc>
      </w:tr>
      <w:tr>
        <w:tc>
          <w:tcPr>
            <w:tcW w:type="dxa" w:w="3288"/>
            <w:vAlign w:val="center"/>
            <w:shd w:fill="FFF4D6"/>
          </w:tcPr>
          <w:p>
            <w:pPr>
              <w:spacing w:after="20"/>
              <w:jc w:val="left"/>
            </w:pPr>
            <w:r/>
            <w:r>
              <w:rPr>
                <w:rFonts w:ascii="Times New Roman" w:hAnsi="Times New Roman"/>
                <w:b/>
                <w:sz w:val="16"/>
              </w:rPr>
              <w:t>SOP (Quy trình vận hành)</w:t>
            </w:r>
          </w:p>
        </w:tc>
        <w:tc>
          <w:tcPr>
            <w:tcW w:type="dxa" w:w="5216"/>
            <w:vAlign w:val="center"/>
          </w:tcPr>
          <w:p>
            <w:pPr>
              <w:spacing w:after="20"/>
              <w:jc w:val="left"/>
            </w:pPr>
            <w:r/>
            <w:r>
              <w:rPr>
                <w:rFonts w:ascii="Times New Roman" w:hAnsi="Times New Roman"/>
                <w:b w:val="0"/>
                <w:sz w:val="16"/>
              </w:rPr>
              <w:t>Quy trình chuẩn cần ban hành/sửa đổi nếu thiếu hoặc không còn phù hợp.</w:t>
            </w:r>
          </w:p>
        </w:tc>
      </w:tr>
      <w:tr>
        <w:tc>
          <w:tcPr>
            <w:tcW w:type="dxa" w:w="3288"/>
            <w:vAlign w:val="center"/>
            <w:shd w:fill="FFF4D6"/>
          </w:tcPr>
          <w:p>
            <w:pPr>
              <w:spacing w:after="20"/>
              <w:jc w:val="left"/>
            </w:pPr>
            <w:r/>
            <w:r>
              <w:rPr>
                <w:rFonts w:ascii="Times New Roman" w:hAnsi="Times New Roman"/>
                <w:b/>
                <w:sz w:val="16"/>
              </w:rPr>
              <w:t>APS (Lập kế hoạch và điều độ nâng cao)</w:t>
            </w:r>
          </w:p>
        </w:tc>
        <w:tc>
          <w:tcPr>
            <w:tcW w:type="dxa" w:w="5216"/>
            <w:vAlign w:val="center"/>
          </w:tcPr>
          <w:p>
            <w:pPr>
              <w:spacing w:after="20"/>
              <w:jc w:val="left"/>
            </w:pPr>
            <w:r/>
            <w:r>
              <w:rPr>
                <w:rFonts w:ascii="Times New Roman" w:hAnsi="Times New Roman"/>
                <w:b w:val="0"/>
                <w:sz w:val="16"/>
              </w:rPr>
              <w:t>Hệ thống/cơ chế lập kế hoạch nâng cao, có thể dùng để khóa lệnh, cảnh báo và kiểm soát thay đổi.</w:t>
            </w:r>
          </w:p>
        </w:tc>
      </w:tr>
      <w:tr>
        <w:tc>
          <w:tcPr>
            <w:tcW w:type="dxa" w:w="3288"/>
            <w:vAlign w:val="center"/>
            <w:shd w:fill="FFF4D6"/>
          </w:tcPr>
          <w:p>
            <w:pPr>
              <w:spacing w:after="20"/>
              <w:jc w:val="left"/>
            </w:pPr>
            <w:r/>
            <w:r>
              <w:rPr>
                <w:rFonts w:ascii="Times New Roman" w:hAnsi="Times New Roman"/>
                <w:b/>
                <w:sz w:val="16"/>
              </w:rPr>
              <w:t>S&amp;OP (Hoạch định bán hàng và vận hành)</w:t>
            </w:r>
          </w:p>
        </w:tc>
        <w:tc>
          <w:tcPr>
            <w:tcW w:type="dxa" w:w="5216"/>
            <w:vAlign w:val="center"/>
          </w:tcPr>
          <w:p>
            <w:pPr>
              <w:spacing w:after="20"/>
              <w:jc w:val="left"/>
            </w:pPr>
            <w:r/>
            <w:r>
              <w:rPr>
                <w:rFonts w:ascii="Times New Roman" w:hAnsi="Times New Roman"/>
                <w:b w:val="0"/>
                <w:sz w:val="16"/>
              </w:rPr>
              <w:t>Cơ chế phối hợp giữa bán hàng và vận hành dựa trên dự báo/nhu cầu.</w:t>
            </w:r>
          </w:p>
        </w:tc>
      </w:tr>
      <w:tr>
        <w:tc>
          <w:tcPr>
            <w:tcW w:type="dxa" w:w="3288"/>
            <w:vAlign w:val="center"/>
            <w:shd w:fill="FFF4D6"/>
          </w:tcPr>
          <w:p>
            <w:pPr>
              <w:spacing w:after="20"/>
              <w:jc w:val="left"/>
            </w:pPr>
            <w:r/>
            <w:r>
              <w:rPr>
                <w:rFonts w:ascii="Times New Roman" w:hAnsi="Times New Roman"/>
                <w:b/>
                <w:sz w:val="16"/>
              </w:rPr>
              <w:t>SLA (Thỏa thuận mức độ dịch vụ)</w:t>
            </w:r>
          </w:p>
        </w:tc>
        <w:tc>
          <w:tcPr>
            <w:tcW w:type="dxa" w:w="5216"/>
            <w:vAlign w:val="center"/>
          </w:tcPr>
          <w:p>
            <w:pPr>
              <w:spacing w:after="20"/>
              <w:jc w:val="left"/>
            </w:pPr>
            <w:r/>
            <w:r>
              <w:rPr>
                <w:rFonts w:ascii="Times New Roman" w:hAnsi="Times New Roman"/>
                <w:b w:val="0"/>
                <w:sz w:val="16"/>
              </w:rPr>
              <w:t>Thỏa thuận với khách về cam kết dịch vụ, FC/PO, Freeze Window, trách nhiệm khi thay đổi.</w:t>
            </w:r>
          </w:p>
        </w:tc>
      </w:tr>
      <w:tr>
        <w:tc>
          <w:tcPr>
            <w:tcW w:type="dxa" w:w="3288"/>
            <w:vAlign w:val="center"/>
            <w:shd w:fill="FFF4D6"/>
          </w:tcPr>
          <w:p>
            <w:pPr>
              <w:spacing w:after="20"/>
              <w:jc w:val="left"/>
            </w:pPr>
            <w:r/>
            <w:r>
              <w:rPr>
                <w:rFonts w:ascii="Times New Roman" w:hAnsi="Times New Roman"/>
                <w:b/>
                <w:sz w:val="16"/>
              </w:rPr>
              <w:t>Freeze Window (Cửa sổ đóng băng kế hoạch)</w:t>
            </w:r>
          </w:p>
        </w:tc>
        <w:tc>
          <w:tcPr>
            <w:tcW w:type="dxa" w:w="5216"/>
            <w:vAlign w:val="center"/>
          </w:tcPr>
          <w:p>
            <w:pPr>
              <w:spacing w:after="20"/>
              <w:jc w:val="left"/>
            </w:pPr>
            <w:r/>
            <w:r>
              <w:rPr>
                <w:rFonts w:ascii="Times New Roman" w:hAnsi="Times New Roman"/>
                <w:b w:val="0"/>
                <w:sz w:val="16"/>
              </w:rPr>
              <w:t>Khoảng thời gian không cho phép hoặc hạn chế thay đổi lệnh sản xuất/mua hàng/vật tư.</w:t>
            </w:r>
          </w:p>
        </w:tc>
      </w:tr>
      <w:tr>
        <w:tc>
          <w:tcPr>
            <w:tcW w:type="dxa" w:w="3288"/>
            <w:vAlign w:val="center"/>
            <w:shd w:fill="FFF4D6"/>
          </w:tcPr>
          <w:p>
            <w:pPr>
              <w:spacing w:after="20"/>
              <w:jc w:val="left"/>
            </w:pPr>
            <w:r/>
            <w:r>
              <w:rPr>
                <w:rFonts w:ascii="Times New Roman" w:hAnsi="Times New Roman"/>
                <w:b/>
                <w:sz w:val="16"/>
              </w:rPr>
              <w:t>Aging Inventory (Tồn kho tuổi)</w:t>
            </w:r>
          </w:p>
        </w:tc>
        <w:tc>
          <w:tcPr>
            <w:tcW w:type="dxa" w:w="5216"/>
            <w:vAlign w:val="center"/>
          </w:tcPr>
          <w:p>
            <w:pPr>
              <w:spacing w:after="20"/>
              <w:jc w:val="left"/>
            </w:pPr>
            <w:r/>
            <w:r>
              <w:rPr>
                <w:rFonts w:ascii="Times New Roman" w:hAnsi="Times New Roman"/>
                <w:b w:val="0"/>
                <w:sz w:val="16"/>
              </w:rPr>
              <w:t>Hàng tồn theo tuổi, cần phân loại xanh/vàng/cam/đỏ và có Owner.</w:t>
            </w:r>
          </w:p>
        </w:tc>
      </w:tr>
      <w:tr>
        <w:tc>
          <w:tcPr>
            <w:tcW w:type="dxa" w:w="3288"/>
            <w:vAlign w:val="center"/>
            <w:shd w:fill="FFF4D6"/>
          </w:tcPr>
          <w:p>
            <w:pPr>
              <w:spacing w:after="20"/>
              <w:jc w:val="left"/>
            </w:pPr>
            <w:r/>
            <w:r>
              <w:rPr>
                <w:rFonts w:ascii="Times New Roman" w:hAnsi="Times New Roman"/>
                <w:b/>
                <w:sz w:val="16"/>
              </w:rPr>
              <w:t>Owner/OC (Người chịu trách nhiệm)</w:t>
            </w:r>
          </w:p>
        </w:tc>
        <w:tc>
          <w:tcPr>
            <w:tcW w:type="dxa" w:w="5216"/>
            <w:vAlign w:val="center"/>
          </w:tcPr>
          <w:p>
            <w:pPr>
              <w:spacing w:after="20"/>
              <w:jc w:val="left"/>
            </w:pPr>
            <w:r/>
            <w:r>
              <w:rPr>
                <w:rFonts w:ascii="Times New Roman" w:hAnsi="Times New Roman"/>
                <w:b w:val="0"/>
                <w:sz w:val="16"/>
              </w:rPr>
              <w:t>Người chịu trách nhiệm chính cho công việc, khoản tồn hoặc hành động xử lý.</w:t>
            </w:r>
          </w:p>
        </w:tc>
      </w:tr>
      <w:tr>
        <w:tc>
          <w:tcPr>
            <w:tcW w:type="dxa" w:w="3288"/>
            <w:vAlign w:val="center"/>
            <w:shd w:fill="FFF4D6"/>
          </w:tcPr>
          <w:p>
            <w:pPr>
              <w:spacing w:after="20"/>
              <w:jc w:val="left"/>
            </w:pPr>
            <w:r/>
            <w:r>
              <w:rPr>
                <w:rFonts w:ascii="Times New Roman" w:hAnsi="Times New Roman"/>
                <w:b/>
                <w:sz w:val="16"/>
              </w:rPr>
              <w:t>Weekly Inventory Review (Họp rà soát tồn kho tuần)</w:t>
            </w:r>
          </w:p>
        </w:tc>
        <w:tc>
          <w:tcPr>
            <w:tcW w:type="dxa" w:w="5216"/>
            <w:vAlign w:val="center"/>
          </w:tcPr>
          <w:p>
            <w:pPr>
              <w:spacing w:after="20"/>
              <w:jc w:val="left"/>
            </w:pPr>
            <w:r/>
            <w:r>
              <w:rPr>
                <w:rFonts w:ascii="Times New Roman" w:hAnsi="Times New Roman"/>
                <w:b w:val="0"/>
                <w:sz w:val="16"/>
              </w:rPr>
              <w:t>Cuộc họp tuần để xem hàng &gt;60 ngày, nguy cơ &gt;90 ngày, hàng phát sinh mới và Owner xử lý.</w:t>
            </w:r>
          </w:p>
        </w:tc>
      </w:tr>
      <w:tr>
        <w:tc>
          <w:tcPr>
            <w:tcW w:type="dxa" w:w="3288"/>
            <w:vAlign w:val="center"/>
            <w:shd w:fill="FFF4D6"/>
          </w:tcPr>
          <w:p>
            <w:pPr>
              <w:spacing w:after="20"/>
              <w:jc w:val="left"/>
            </w:pPr>
            <w:r/>
            <w:r>
              <w:rPr>
                <w:rFonts w:ascii="Times New Roman" w:hAnsi="Times New Roman"/>
                <w:b/>
                <w:sz w:val="16"/>
              </w:rPr>
              <w:t>Action Log (Danh sách hành động)</w:t>
            </w:r>
          </w:p>
        </w:tc>
        <w:tc>
          <w:tcPr>
            <w:tcW w:type="dxa" w:w="5216"/>
            <w:vAlign w:val="center"/>
          </w:tcPr>
          <w:p>
            <w:pPr>
              <w:spacing w:after="20"/>
              <w:jc w:val="left"/>
            </w:pPr>
            <w:r/>
            <w:r>
              <w:rPr>
                <w:rFonts w:ascii="Times New Roman" w:hAnsi="Times New Roman"/>
                <w:b w:val="0"/>
                <w:sz w:val="16"/>
              </w:rPr>
              <w:t>Danh sách các việc cần làm, Owner, deadline, trạng thái và báo cáo tiến độ.</w:t>
            </w:r>
          </w:p>
        </w:tc>
      </w:tr>
      <w:tr>
        <w:tc>
          <w:tcPr>
            <w:tcW w:type="dxa" w:w="3288"/>
            <w:vAlign w:val="center"/>
            <w:shd w:fill="FFF4D6"/>
          </w:tcPr>
          <w:p>
            <w:pPr>
              <w:spacing w:after="20"/>
              <w:jc w:val="left"/>
            </w:pPr>
            <w:r/>
            <w:r>
              <w:rPr>
                <w:rFonts w:ascii="Times New Roman" w:hAnsi="Times New Roman"/>
                <w:b/>
                <w:sz w:val="16"/>
              </w:rPr>
              <w:t>Compliance (Tuân thủ)</w:t>
            </w:r>
          </w:p>
        </w:tc>
        <w:tc>
          <w:tcPr>
            <w:tcW w:type="dxa" w:w="5216"/>
            <w:vAlign w:val="center"/>
          </w:tcPr>
          <w:p>
            <w:pPr>
              <w:spacing w:after="20"/>
              <w:jc w:val="left"/>
            </w:pPr>
            <w:r/>
            <w:r>
              <w:rPr>
                <w:rFonts w:ascii="Times New Roman" w:hAnsi="Times New Roman"/>
                <w:b w:val="0"/>
                <w:sz w:val="16"/>
              </w:rPr>
              <w:t>Việc thực hiện đúng quy trình, quy định, biểu mẫu, kế hoạch đã ban hành.</w:t>
            </w:r>
          </w:p>
        </w:tc>
      </w:tr>
    </w:tbl>
    <w:p>
      <w:pPr>
        <w:pStyle w:val="Heading1"/>
      </w:pPr>
      <w:r>
        <w:rPr>
          <w:rFonts w:ascii="Times New Roman" w:hAnsi="Times New Roman"/>
        </w:rPr>
        <w:t>9. Bản tin nhắn chốt triển khai có thể gửi nhóm</w:t>
      </w:r>
    </w:p>
    <w:p>
      <w:pPr>
        <w:spacing w:after="80" w:before="0"/>
      </w:pPr>
      <w:r>
        <w:rPr>
          <w:rFonts w:ascii="Times New Roman" w:hAnsi="Times New Roman"/>
          <w:b w:val="0"/>
          <w:i w:val="0"/>
          <w:sz w:val="20"/>
        </w:rPr>
        <w:t>Anh/chị/em,</w:t>
      </w:r>
    </w:p>
    <w:p>
      <w:pPr>
        <w:spacing w:after="80" w:before="0"/>
      </w:pPr>
      <w:r>
        <w:rPr>
          <w:rFonts w:ascii="Times New Roman" w:hAnsi="Times New Roman"/>
          <w:b w:val="0"/>
          <w:i w:val="0"/>
          <w:sz w:val="20"/>
        </w:rPr>
        <w:t>Qua rà soát các báo cáo huỷ hàng, tồn kho và tình hình vận hành hiện nay tại GS1, GS5, GS6, tôi nhận thấy nếu tiếp tục tập trung vào việc trình ký huỷ hàng thì chúng ta chỉ đang xử lý hậu quả. Mục tiêu của GSP Next 30 là xây dựng Operating System (Hệ thống vận hành), kiểm soát phát sinh từ gốc và phòng ngừa tái diễn.</w:t>
      </w:r>
    </w:p>
    <w:p>
      <w:pPr>
        <w:spacing w:after="80" w:before="0"/>
      </w:pPr>
      <w:r>
        <w:rPr>
          <w:rFonts w:ascii="Times New Roman" w:hAnsi="Times New Roman"/>
          <w:b w:val="0"/>
          <w:i w:val="0"/>
          <w:sz w:val="20"/>
        </w:rPr>
        <w:t>Dữ liệu quá khứ đã kéo dài nhiều tháng, nhiều trường hợp không còn đủ thông tin để truy tìm đầy đủ Root Cause (Nguyên nhân gốc). Vì vậy, giai đoạn này không tập trung đào bới toàn bộ quá khứ, mà tập trung xây nền tảng quản trị để kiểm soát từ hôm nay trở đi.</w:t>
      </w:r>
    </w:p>
    <w:p>
      <w:pPr>
        <w:spacing w:after="80" w:before="0"/>
      </w:pPr>
      <w:r>
        <w:rPr>
          <w:rFonts w:ascii="Times New Roman" w:hAnsi="Times New Roman"/>
          <w:b w:val="0"/>
          <w:i w:val="0"/>
          <w:sz w:val="20"/>
        </w:rPr>
        <w:t>Trong 07 ngày tới, Lam, Hào, Thành chủ trì cùng Hiệu, Trường, Luân, Dũng Kho, Hưng, Quý, Ly rà soát và ban hành/sửa đổi các quy trình, quy định, hướng dẫn liên quan đến Aging Inventory Management (Quản lý hàng tồn tuổi), Forecast/FC (Dự báo), PO (Đơn đặt hàng), DO (Lệnh giao hàng), lập kế hoạch, sản xuất, quản lý tồn kho, xử lý hàng chậm luân chuyển và xử lý hàng hủy.</w:t>
      </w:r>
    </w:p>
    <w:p>
      <w:pPr>
        <w:spacing w:after="80" w:before="0"/>
      </w:pPr>
      <w:r>
        <w:rPr>
          <w:rFonts w:ascii="Times New Roman" w:hAnsi="Times New Roman"/>
          <w:b w:val="0"/>
          <w:i w:val="0"/>
          <w:sz w:val="20"/>
        </w:rPr>
        <w:t>Luân, Dũng Kho chủ trì cùng Hiệu, Trường, Lam, Hào và các bộ phận liên quan rà soát Warehouse Layout (Sơ đồ kho): phân khu, mã vị trí, khu NVL, BTP, TP, Aging, NG, chờ xử lý. Đầu ra gồm layout hiện trạng, layout mục tiêu, kế hoạch triển khai và danh sách bất cập cần xử lý.</w:t>
      </w:r>
    </w:p>
    <w:p>
      <w:pPr>
        <w:spacing w:after="80" w:before="0"/>
      </w:pPr>
      <w:r>
        <w:rPr>
          <w:rFonts w:ascii="Times New Roman" w:hAnsi="Times New Roman"/>
          <w:b w:val="0"/>
          <w:i w:val="0"/>
          <w:sz w:val="20"/>
        </w:rPr>
        <w:t>Nếu chưa có biểu mẫu, checklist, dashboard, báo cáo ngày/tuần/tháng thì phải lập danh mục quản trị và kế hoạch xây dựng trong 07 ngày. Không quản lý bằng cảm tính; mọi đánh giá phải có dữ liệu, mọi dữ liệu phải có nguồn thu thập, mọi báo cáo phải có Owner (Người chịu trách nhiệm).</w:t>
      </w:r>
    </w:p>
    <w:p>
      <w:pPr>
        <w:spacing w:after="80" w:before="0"/>
      </w:pPr>
      <w:r>
        <w:rPr>
          <w:rFonts w:ascii="Times New Roman" w:hAnsi="Times New Roman"/>
          <w:b w:val="0"/>
          <w:i w:val="0"/>
          <w:sz w:val="20"/>
        </w:rPr>
        <w:t>Từ nay áp dụng nguyên tắc: Không có Owner = chưa quản lý; không có tên người chịu trách nhiệm = công việc chưa được giao; không có Deadline (Hạn hoàn thành) = chưa phải kế hoạch; không có báo cáo tiến độ = chưa thực hiện.</w:t>
      </w:r>
    </w:p>
    <w:p>
      <w:pPr>
        <w:spacing w:after="80" w:before="0"/>
      </w:pPr>
      <w:r>
        <w:rPr>
          <w:rFonts w:ascii="Times New Roman" w:hAnsi="Times New Roman"/>
          <w:b w:val="0"/>
          <w:i w:val="0"/>
          <w:sz w:val="20"/>
        </w:rPr>
        <w:t>Từ tuần tới triển khai Weekly Inventory Review (Họp rà soát tồn kho tuần) với Sale, KHĐP, SCM, Kho, GĐNM, QA. Nội dung tập trung vào hàng &gt;60 ngày, hàng nguy cơ &gt;90 ngày, hàng phát sinh mới trong tuần, kế hoạch xử lý và Owner. Không họp để giải thích quá khứ, tập trung hành động cho tuần tiếp theo.</w:t>
      </w:r>
    </w:p>
    <w:p>
      <w:pPr>
        <w:spacing w:after="80" w:before="0"/>
      </w:pPr>
      <w:r>
        <w:rPr>
          <w:rFonts w:ascii="Times New Roman" w:hAnsi="Times New Roman"/>
          <w:b w:val="0"/>
          <w:i w:val="0"/>
          <w:sz w:val="20"/>
        </w:rPr>
        <w:t>Các nội dung trên là điều kiện bắt buộc tham gia chương trình GSP Next 30. Cá nhân/đơn vị không đăng ký, không nhận Owner/OC, không lập kế hoạch, không xây dựng quy trình/quy định/biểu mẫu được giao hoặc không hoàn thành đầu việc nền tảng đúng hạn thì không đưa vào danh sách xét thưởng KPI tháng 6.</w:t>
      </w:r>
    </w:p>
    <w:p>
      <w:pPr>
        <w:spacing w:after="80" w:before="0"/>
      </w:pPr>
      <w:r>
        <w:rPr>
          <w:rFonts w:ascii="Times New Roman" w:hAnsi="Times New Roman"/>
          <w:b w:val="0"/>
          <w:i w:val="0"/>
          <w:sz w:val="20"/>
        </w:rPr>
        <w:t>Ban TO gồm Hương, Toản, Lâm, C Loan, Trinh có trách nhiệm hỗ trợ xây dựng quy trình, quy định, biểu mẫu; chuẩn hoá dữ liệu; hỗ trợ KPI, Dashboard; đào tạo/hướng dẫn; review chất lượng đầu ra; kiểm tra Gemba (Hiện trường); giám sát tuân thủ; theo dõi Action Log (Danh sách hành động) và báo cáo PMO/CEO các trường hợp chậm tiến độ hoặc không thực hiện.</w:t>
      </w:r>
    </w:p>
    <w:p>
      <w:pPr>
        <w:spacing w:after="80" w:before="0"/>
      </w:pPr>
      <w:r>
        <w:rPr>
          <w:rFonts w:ascii="Times New Roman" w:hAnsi="Times New Roman"/>
          <w:b w:val="0"/>
          <w:i w:val="0"/>
          <w:sz w:val="20"/>
        </w:rPr>
        <w:t>Ban TO không làm thay. Ban TO hỗ trợ, giám sát, phản biện và thúc đẩy thực hiện. Mục tiêu 30 ngày đầu tiên không phải hoàn hảo, mà là xây được nền móng quản trị cơ bản: Process (Quy trình) → Data (Dữ liệu) → Report (Báo cáo) → Owner (Người chịu trách nhiệm) → KPI → Compliance (Tuân thủ). Làm đến đâu chuẩn hóa đến đó, số hóa đến đó, đào tạo đến đó.</w:t>
      </w:r>
    </w:p>
    <w:p>
      <w:pPr>
        <w:spacing w:after="60" w:before="160"/>
      </w:pPr>
      <w:r>
        <w:rPr>
          <w:rFonts w:ascii="Times New Roman" w:hAnsi="Times New Roman"/>
          <w:b w:val="0"/>
          <w:i/>
          <w:color w:val="5A5A5A"/>
          <w:sz w:val="18"/>
        </w:rPr>
        <w:t>Nguồn tổng hợp: File “Luồng chat duyệt hủy hàng.docx” do người dùng cung cấp trong cuộc trò chuyện.</w:t>
      </w:r>
    </w:p>
    <w:sectPr w:rsidR="00FC693F" w:rsidRPr="0006063C" w:rsidSect="00034616">
      <w:headerReference w:type="default" r:id="rId9"/>
      <w:footerReference w:type="default" r:id="rId10"/>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Goldsun | GSP Next 30 | Tóm tắt nội dung luồng chat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594360" cy="594360"/>
          <wp:docPr id="1" name="Picture 1"/>
          <wp:cNvGraphicFramePr>
            <a:graphicFrameLocks noChangeAspect="1"/>
          </wp:cNvGraphicFramePr>
          <a:graphic>
            <a:graphicData uri="http://schemas.openxmlformats.org/drawingml/2006/picture">
              <pic:pic>
                <pic:nvPicPr>
                  <pic:cNvPr id="0" name="LOGO SIGNANE_Vertical_15_126_3(2).jpg"/>
                  <pic:cNvPicPr/>
                </pic:nvPicPr>
                <pic:blipFill>
                  <a:blip r:embed="rId1"/>
                  <a:stretch>
                    <a:fillRect/>
                  </a:stretch>
                </pic:blipFill>
                <pic:spPr>
                  <a:xfrm>
                    <a:off x="0" y="0"/>
                    <a:ext cx="594360" cy="5943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68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68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68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