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sz w:val="22"/>
          <w:szCs w:val="22"/>
        </w:rPr>
        <w:t xml:space="preserve"/>
      </w:r>
    </w:p>
    <w:p>
      <w:pPr>
        <w:spacing w:after="60" w:before="200"/>
        <w:jc w:val="center"/>
      </w:pPr>
      <w:r>
        <w:rPr>
          <w:rFonts w:ascii="Arial" w:cs="Arial" w:eastAsia="Arial" w:hAnsi="Arial"/>
          <w:b/>
          <w:bCs/>
          <w:color w:val="1F3864"/>
          <w:sz w:val="48"/>
          <w:szCs w:val="48"/>
        </w:rPr>
        <w:t xml:space="preserve">MÔ HÌNH TÀI CHÍNH</w:t>
      </w:r>
    </w:p>
    <w:p>
      <w:pPr>
        <w:spacing w:after="60" w:before="0"/>
        <w:jc w:val="center"/>
      </w:pPr>
      <w:r>
        <w:rPr>
          <w:rFonts w:ascii="Arial" w:cs="Arial" w:eastAsia="Arial" w:hAnsi="Arial"/>
          <w:b/>
          <w:bCs/>
          <w:color w:val="2E75B6"/>
          <w:sz w:val="34"/>
          <w:szCs w:val="34"/>
        </w:rPr>
        <w:t xml:space="preserve">DỰ ÁN TƯ VẤN XÂY DỰNG – NAM THĂNG LONG</w:t>
      </w:r>
    </w:p>
    <w:p>
      <w:pPr>
        <w:pBdr>
          <w:bottom w:val="single" w:color="2E75B6" w:sz="8" w:space="4"/>
        </w:pBdr>
        <w:spacing w:after="40" w:before="0"/>
        <w:jc w:val="center"/>
      </w:pPr>
      <w:r>
        <w:rPr>
          <w:rFonts w:ascii="Arial" w:cs="Arial" w:eastAsia="Arial" w:hAnsi="Arial"/>
          <w:b/>
          <w:bCs/>
          <w:color w:val="2E75B6"/>
          <w:sz w:val="26"/>
          <w:szCs w:val="26"/>
        </w:rPr>
        <w:t xml:space="preserve">THUYẾT MINH &amp; HƯỚNG DẪN SỬ DỤNG TOÀN BỘ FILE EXCEL</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356"/>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Tên dự án</w:t>
            </w:r>
          </w:p>
        </w:tc>
        <w:tc>
          <w:tcPr>
            <w:tcW w:type="dxa" w:w="6856"/>
            <w:gridSpan w:val="2"/>
            <w:tcBorders>
              <w:top w:val="single" w:color="1F3864" w:sz="2"/>
              <w:left w:val="single" w:color="1F3864" w:sz="2"/>
              <w:bottom w:val="single" w:color="1F3864" w:sz="2"/>
              <w:right w:val="single" w:color="1F3864" w:sz="2"/>
            </w:tcBorders>
            <w:shd w:fill="D6E4F0" w:val="clear"/>
            <w:tcMar>
              <w:top w:type="dxa" w:w="80"/>
              <w:left w:type="dxa" w:w="120"/>
              <w:bottom w:type="dxa" w:w="80"/>
              <w:right w:type="dxa" w:w="120"/>
            </w:tcMar>
          </w:tcPr>
          <w:p>
            <w:pPr>
              <w:spacing w:after="60" w:before="60"/>
            </w:pPr>
            <w:r>
              <w:rPr>
                <w:rFonts w:ascii="Arial" w:cs="Arial" w:eastAsia="Arial" w:hAnsi="Arial"/>
                <w:b/>
                <w:bCs/>
                <w:color w:val="1F3864"/>
                <w:sz w:val="20"/>
                <w:szCs w:val="20"/>
              </w:rPr>
              <w:t xml:space="preserve">Nam Thăng Long – Tư vấn xây dựng</w:t>
            </w:r>
          </w:p>
        </w:tc>
      </w:tr>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Loại mô hình</w:t>
            </w:r>
          </w:p>
        </w:tc>
        <w:tc>
          <w:tcPr>
            <w:tcW w:type="dxa" w:w="6856"/>
            <w:gridSpan w:val="2"/>
            <w:tcBorders>
              <w:top w:val="single" w:color="1F3864" w:sz="2"/>
              <w:left w:val="single" w:color="1F3864" w:sz="2"/>
              <w:bottom w:val="single" w:color="1F3864" w:sz="2"/>
              <w:right w:val="single" w:color="1F3864" w:sz="2"/>
            </w:tcBorders>
            <w:shd w:fill="D6E4F0" w:val="clear"/>
            <w:tcMar>
              <w:top w:type="dxa" w:w="80"/>
              <w:left w:type="dxa" w:w="120"/>
              <w:bottom w:type="dxa" w:w="80"/>
              <w:right w:type="dxa" w:w="120"/>
            </w:tcMar>
          </w:tcPr>
          <w:p>
            <w:pPr>
              <w:spacing w:after="60" w:before="60"/>
            </w:pPr>
            <w:r>
              <w:rPr>
                <w:rFonts w:ascii="Arial" w:cs="Arial" w:eastAsia="Arial" w:hAnsi="Arial"/>
                <w:b/>
                <w:bCs/>
                <w:color w:val="1F3864"/>
                <w:sz w:val="20"/>
                <w:szCs w:val="20"/>
              </w:rPr>
              <w:t xml:space="preserve">Mô hình tài chính tư vấn phí (Fee Model)</w:t>
            </w:r>
          </w:p>
        </w:tc>
      </w:tr>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Số sheets</w:t>
            </w:r>
          </w:p>
        </w:tc>
        <w:tc>
          <w:tcPr>
            <w:tcW w:type="dxa" w:w="6856"/>
            <w:gridSpan w:val="2"/>
            <w:tcBorders>
              <w:top w:val="single" w:color="1F3864" w:sz="2"/>
              <w:left w:val="single" w:color="1F3864" w:sz="2"/>
              <w:bottom w:val="single" w:color="1F3864" w:sz="2"/>
              <w:right w:val="single" w:color="1F3864" w:sz="2"/>
            </w:tcBorders>
            <w:shd w:fill="D6E4F0" w:val="clear"/>
            <w:tcMar>
              <w:top w:type="dxa" w:w="80"/>
              <w:left w:type="dxa" w:w="120"/>
              <w:bottom w:type="dxa" w:w="80"/>
              <w:right w:type="dxa" w:w="120"/>
            </w:tcMar>
          </w:tcPr>
          <w:p>
            <w:pPr>
              <w:spacing w:after="60" w:before="60"/>
            </w:pPr>
            <w:r>
              <w:rPr>
                <w:rFonts w:ascii="Arial" w:cs="Arial" w:eastAsia="Arial" w:hAnsi="Arial"/>
                <w:b/>
                <w:bCs/>
                <w:color w:val="1F3864"/>
                <w:sz w:val="20"/>
                <w:szCs w:val="20"/>
              </w:rPr>
              <w:t xml:space="preserve">5 sheets liên kết (Ty_le_chi_phi → Dau_vao → Tinh_toan → So_sanh → Phuong_an_toi_uu)</w:t>
            </w:r>
          </w:p>
        </w:tc>
      </w:tr>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Đơn vị tiền tệ</w:t>
            </w:r>
          </w:p>
        </w:tc>
        <w:tc>
          <w:tcPr>
            <w:tcW w:type="dxa" w:w="6856"/>
            <w:gridSpan w:val="2"/>
            <w:tcBorders>
              <w:top w:val="single" w:color="1F3864" w:sz="2"/>
              <w:left w:val="single" w:color="1F3864" w:sz="2"/>
              <w:bottom w:val="single" w:color="1F3864" w:sz="2"/>
              <w:right w:val="single" w:color="1F3864" w:sz="2"/>
            </w:tcBorders>
            <w:shd w:fill="D6E4F0" w:val="clear"/>
            <w:tcMar>
              <w:top w:type="dxa" w:w="80"/>
              <w:left w:type="dxa" w:w="120"/>
              <w:bottom w:type="dxa" w:w="80"/>
              <w:right w:type="dxa" w:w="120"/>
            </w:tcMar>
          </w:tcPr>
          <w:p>
            <w:pPr>
              <w:spacing w:after="60" w:before="60"/>
            </w:pPr>
            <w:r>
              <w:rPr>
                <w:rFonts w:ascii="Arial" w:cs="Arial" w:eastAsia="Arial" w:hAnsi="Arial"/>
                <w:b/>
                <w:bCs/>
                <w:color w:val="1F3864"/>
                <w:sz w:val="20"/>
                <w:szCs w:val="20"/>
              </w:rPr>
              <w:t xml:space="preserve">VND (Việt Nam Đồng)</w:t>
            </w:r>
          </w:p>
        </w:tc>
      </w:tr>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Thuế suất TNDN</w:t>
            </w:r>
          </w:p>
        </w:tc>
        <w:tc>
          <w:tcPr>
            <w:tcW w:type="dxa" w:w="6856"/>
            <w:gridSpan w:val="2"/>
            <w:tcBorders>
              <w:top w:val="single" w:color="1F3864" w:sz="2"/>
              <w:left w:val="single" w:color="1F3864" w:sz="2"/>
              <w:bottom w:val="single" w:color="1F3864" w:sz="2"/>
              <w:right w:val="single" w:color="1F3864" w:sz="2"/>
            </w:tcBorders>
            <w:shd w:fill="D6E4F0" w:val="clear"/>
            <w:tcMar>
              <w:top w:type="dxa" w:w="80"/>
              <w:left w:type="dxa" w:w="120"/>
              <w:bottom w:type="dxa" w:w="80"/>
              <w:right w:type="dxa" w:w="120"/>
            </w:tcMar>
          </w:tcPr>
          <w:p>
            <w:pPr>
              <w:spacing w:after="60" w:before="60"/>
            </w:pPr>
            <w:r>
              <w:rPr>
                <w:rFonts w:ascii="Arial" w:cs="Arial" w:eastAsia="Arial" w:hAnsi="Arial"/>
                <w:b/>
                <w:bCs/>
                <w:color w:val="1F3864"/>
                <w:sz w:val="20"/>
                <w:szCs w:val="20"/>
              </w:rPr>
              <w:t xml:space="preserve">17% (nhập tại Dau_vao!B6)</w:t>
            </w:r>
          </w:p>
        </w:tc>
      </w:tr>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VAT đầu ra</w:t>
            </w:r>
          </w:p>
        </w:tc>
        <w:tc>
          <w:tcPr>
            <w:tcW w:type="dxa" w:w="6856"/>
            <w:gridSpan w:val="2"/>
            <w:tcBorders>
              <w:top w:val="single" w:color="1F3864" w:sz="2"/>
              <w:left w:val="single" w:color="1F3864" w:sz="2"/>
              <w:bottom w:val="single" w:color="1F3864" w:sz="2"/>
              <w:right w:val="single" w:color="1F3864" w:sz="2"/>
            </w:tcBorders>
            <w:shd w:fill="D6E4F0" w:val="clear"/>
            <w:tcMar>
              <w:top w:type="dxa" w:w="80"/>
              <w:left w:type="dxa" w:w="120"/>
              <w:bottom w:type="dxa" w:w="80"/>
              <w:right w:type="dxa" w:w="120"/>
            </w:tcMar>
          </w:tcPr>
          <w:p>
            <w:pPr>
              <w:spacing w:after="60" w:before="60"/>
            </w:pPr>
            <w:r>
              <w:rPr>
                <w:rFonts w:ascii="Arial" w:cs="Arial" w:eastAsia="Arial" w:hAnsi="Arial"/>
                <w:b/>
                <w:bCs/>
                <w:color w:val="1F3864"/>
                <w:sz w:val="20"/>
                <w:szCs w:val="20"/>
              </w:rPr>
              <w:t xml:space="preserve">8% (nhập tại Dau_vao!B21)</w:t>
            </w:r>
          </w:p>
        </w:tc>
      </w:tr>
    </w:tbl>
    <w:p>
      <w:pPr>
        <w:spacing w:after="60" w:before="60"/>
      </w:pPr>
      <w:r>
        <w:rPr>
          <w:rFonts w:ascii="Arial" w:cs="Arial" w:eastAsia="Arial" w:hAnsi="Arial"/>
          <w:sz w:val="22"/>
          <w:szCs w:val="22"/>
        </w:rPr>
        <w:t xml:space="preserve"/>
      </w:r>
    </w:p>
    <w:p>
      <w:pPr>
        <w:spacing w:after="0" w:before="120"/>
        <w:jc w:val="center"/>
      </w:pPr>
      <w:r>
        <w:rPr>
          <w:rFonts w:ascii="Arial" w:cs="Arial" w:eastAsia="Arial" w:hAnsi="Arial"/>
          <w:i/>
          <w:iCs/>
          <w:color w:val="595959"/>
          <w:sz w:val="18"/>
          <w:szCs w:val="18"/>
        </w:rPr>
        <w:t xml:space="preserve">Tài liệu nội bộ – Lưu hành giới hạn trong nhóm dự án</w:t>
      </w:r>
    </w:p>
    <w:p>
      <w:r>
        <w:br w:type="page"/>
      </w:r>
    </w:p>
    <w:p>
      <w:pPr>
        <w:pStyle w:val="Heading1"/>
        <w:spacing w:after="160" w:before="360"/>
      </w:pPr>
      <w:r>
        <w:rPr>
          <w:rFonts w:ascii="Arial" w:cs="Arial" w:eastAsia="Arial" w:hAnsi="Arial"/>
          <w:b/>
          <w:bCs/>
          <w:color w:val="1F3864"/>
          <w:sz w:val="30"/>
          <w:szCs w:val="30"/>
        </w:rPr>
        <w:t xml:space="preserve">I. TỔNG QUAN MÔ HÌNH</w:t>
      </w:r>
    </w:p>
    <w:p>
      <w:pPr>
        <w:spacing w:after="60" w:before="60"/>
      </w:pPr>
      <w:r>
        <w:rPr>
          <w:rFonts w:ascii="Arial" w:cs="Arial" w:eastAsia="Arial" w:hAnsi="Arial"/>
          <w:sz w:val="22"/>
          <w:szCs w:val="22"/>
        </w:rPr>
        <w:t xml:space="preserve">File Excel này là mô hình tài chính đầy đủ cho hoạt động tư vấn xây dựng của dự án Nam Thăng Long. Mô hình được xây dựng nhằm ba mục tiêu chính:</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Định lượng doanh thu và lợi nhuận khi tham gia gói thầu tư vấn theo hai phương thức hợp đồng khác nhau (Loại 1 và Loại 2)</w:t>
      </w:r>
    </w:p>
    <w:p>
      <w:pPr>
        <w:pStyle w:val="ListParagraph"/>
        <w:numPr>
          <w:ilvl w:val="0"/>
          <w:numId w:val="2"/>
        </w:numPr>
        <w:spacing w:after="40" w:before="40"/>
      </w:pPr>
      <w:r>
        <w:rPr>
          <w:rFonts w:ascii="Arial" w:cs="Arial" w:eastAsia="Arial" w:hAnsi="Arial"/>
          <w:sz w:val="22"/>
          <w:szCs w:val="22"/>
        </w:rPr>
        <w:t xml:space="preserve">Tính đúng nghĩa vụ thuế TNDN và VAT dựa trên cấu trúc chi phí thực tế, bao gồm phần 'cắt lại' cho Chủ đầu tư</w:t>
      </w:r>
    </w:p>
    <w:p>
      <w:pPr>
        <w:pStyle w:val="ListParagraph"/>
        <w:numPr>
          <w:ilvl w:val="0"/>
          <w:numId w:val="2"/>
        </w:numPr>
        <w:spacing w:after="40" w:before="40"/>
      </w:pPr>
      <w:r>
        <w:rPr>
          <w:rFonts w:ascii="Arial" w:cs="Arial" w:eastAsia="Arial" w:hAnsi="Arial"/>
          <w:sz w:val="22"/>
          <w:szCs w:val="22"/>
        </w:rPr>
        <w:t xml:space="preserve">Đề xuất phương án hợp thức hóa chi phí đầu vào hợp lệ để tối ưu thuế TNDN một cách tuân thủ pháp luật</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1.1  Phạm vi áp dụng</w:t>
      </w:r>
    </w:p>
    <w:p>
      <w:pPr>
        <w:pStyle w:val="ListParagraph"/>
        <w:numPr>
          <w:ilvl w:val="0"/>
          <w:numId w:val="2"/>
        </w:numPr>
        <w:spacing w:after="40" w:before="40"/>
      </w:pPr>
      <w:r>
        <w:rPr>
          <w:rFonts w:ascii="Arial" w:cs="Arial" w:eastAsia="Arial" w:hAnsi="Arial"/>
          <w:sz w:val="22"/>
          <w:szCs w:val="22"/>
        </w:rPr>
        <w:t xml:space="preserve">Loại hình: Công ty tư vấn xây dựng ký hợp đồng giám sát thi công và/hoặc thiết kế BVTC</w:t>
      </w:r>
    </w:p>
    <w:p>
      <w:pPr>
        <w:pStyle w:val="ListParagraph"/>
        <w:numPr>
          <w:ilvl w:val="0"/>
          <w:numId w:val="2"/>
        </w:numPr>
        <w:spacing w:after="40" w:before="40"/>
      </w:pPr>
      <w:r>
        <w:rPr>
          <w:rFonts w:ascii="Arial" w:cs="Arial" w:eastAsia="Arial" w:hAnsi="Arial"/>
          <w:sz w:val="22"/>
          <w:szCs w:val="22"/>
        </w:rPr>
        <w:t xml:space="preserve">Quy mô gói thầu: Từ vài tỷ đến vài trăm tỷ đồng (nội suy tự động theo TT 12/2021)</w:t>
      </w:r>
    </w:p>
    <w:p>
      <w:pPr>
        <w:pStyle w:val="ListParagraph"/>
        <w:numPr>
          <w:ilvl w:val="0"/>
          <w:numId w:val="2"/>
        </w:numPr>
        <w:spacing w:after="40" w:before="40"/>
      </w:pPr>
      <w:r>
        <w:rPr>
          <w:rFonts w:ascii="Arial" w:cs="Arial" w:eastAsia="Arial" w:hAnsi="Arial"/>
          <w:sz w:val="22"/>
          <w:szCs w:val="22"/>
        </w:rPr>
        <w:t xml:space="preserve">Cơ cấu hợp đồng: Có 'cắt lại' cho Chủ đầu tư – đây là điểm đặc thù quan trọng nhất của mô hình</w:t>
      </w:r>
    </w:p>
    <w:p>
      <w:pPr>
        <w:pStyle w:val="ListParagraph"/>
        <w:numPr>
          <w:ilvl w:val="0"/>
          <w:numId w:val="2"/>
        </w:numPr>
        <w:spacing w:after="40" w:before="40"/>
      </w:pPr>
      <w:r>
        <w:rPr>
          <w:rFonts w:ascii="Arial" w:cs="Arial" w:eastAsia="Arial" w:hAnsi="Arial"/>
          <w:sz w:val="22"/>
          <w:szCs w:val="22"/>
        </w:rPr>
        <w:t xml:space="preserve">Nhân sự: Quy mô nhỏ (giám đốc + kế toán + 0–2 kỹ thuật trực tiếp)</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1.2  Sơ đồ luồng dữ liệu giữa các sheet</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400"/>
        <w:gridCol w:w="1700"/>
        <w:gridCol w:w="400"/>
        <w:gridCol w:w="1700"/>
        <w:gridCol w:w="400"/>
        <w:gridCol w:w="1700"/>
        <w:gridCol w:w="400"/>
        <w:gridCol w:w="1756"/>
      </w:tblGrid>
      <w:tr>
        <w:tc>
          <w:tcPr>
            <w:tcW w:type="dxa" w:w="1700"/>
            <w:tcBorders>
              <w:top w:val="single" w:color="F2F2F2" w:sz="1"/>
              <w:left w:val="single" w:color="F2F2F2" w:sz="1"/>
              <w:bottom w:val="single" w:color="F2F2F2" w:sz="1"/>
              <w:right w:val="single" w:color="F2F2F2" w:sz="1"/>
            </w:tcBorders>
            <w:shd w:fill="006064"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Ty_le_chi_phi</w:t>
            </w:r>
          </w:p>
        </w:tc>
        <w:tc>
          <w:tcPr>
            <w:tcW w:type="dxa" w:w="400"/>
            <w:tcBorders>
              <w:top w:val="single" w:color="F2F2F2" w:sz="1"/>
              <w:left w:val="single" w:color="F2F2F2" w:sz="1"/>
              <w:bottom w:val="single" w:color="F2F2F2" w:sz="1"/>
              <w:right w:val="single" w:color="F2F2F2" w:sz="1"/>
            </w:tcBorders>
            <w:shd w:fill="FFFFFF" w:val="clear"/>
            <w:tcMar>
              <w:top w:type="dxa" w:w="100"/>
              <w:left w:type="dxa" w:w="80"/>
              <w:bottom w:type="dxa" w:w="100"/>
              <w:right w:type="dxa" w:w="80"/>
            </w:tcMar>
            <w:vAlign w:val="center"/>
          </w:tcPr>
          <w:p>
            <w:pPr>
              <w:jc w:val="center"/>
            </w:pPr>
            <w:r>
              <w:rPr>
                <w:rFonts w:ascii="Arial" w:cs="Arial" w:eastAsia="Arial" w:hAnsi="Arial"/>
                <w:b w:val="false"/>
                <w:bCs w:val="false"/>
                <w:color w:val="595959"/>
                <w:sz w:val="24"/>
                <w:szCs w:val="24"/>
              </w:rPr>
              <w:t xml:space="preserve">→</w:t>
            </w:r>
          </w:p>
        </w:tc>
        <w:tc>
          <w:tcPr>
            <w:tcW w:type="dxa" w:w="1700"/>
            <w:tcBorders>
              <w:top w:val="single" w:color="F2F2F2" w:sz="1"/>
              <w:left w:val="single" w:color="F2F2F2" w:sz="1"/>
              <w:bottom w:val="single" w:color="F2F2F2" w:sz="1"/>
              <w:right w:val="single" w:color="F2F2F2"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Dau_vao</w:t>
            </w:r>
          </w:p>
        </w:tc>
        <w:tc>
          <w:tcPr>
            <w:tcW w:type="dxa" w:w="400"/>
            <w:tcBorders>
              <w:top w:val="single" w:color="F2F2F2" w:sz="1"/>
              <w:left w:val="single" w:color="F2F2F2" w:sz="1"/>
              <w:bottom w:val="single" w:color="F2F2F2" w:sz="1"/>
              <w:right w:val="single" w:color="F2F2F2" w:sz="1"/>
            </w:tcBorders>
            <w:shd w:fill="FFFFFF" w:val="clear"/>
            <w:tcMar>
              <w:top w:type="dxa" w:w="100"/>
              <w:left w:type="dxa" w:w="80"/>
              <w:bottom w:type="dxa" w:w="100"/>
              <w:right w:type="dxa" w:w="80"/>
            </w:tcMar>
            <w:vAlign w:val="center"/>
          </w:tcPr>
          <w:p>
            <w:pPr>
              <w:jc w:val="center"/>
            </w:pPr>
            <w:r>
              <w:rPr>
                <w:rFonts w:ascii="Arial" w:cs="Arial" w:eastAsia="Arial" w:hAnsi="Arial"/>
                <w:b w:val="false"/>
                <w:bCs w:val="false"/>
                <w:color w:val="595959"/>
                <w:sz w:val="24"/>
                <w:szCs w:val="24"/>
              </w:rPr>
              <w:t xml:space="preserve">→</w:t>
            </w:r>
          </w:p>
        </w:tc>
        <w:tc>
          <w:tcPr>
            <w:tcW w:type="dxa" w:w="1700"/>
            <w:tcBorders>
              <w:top w:val="single" w:color="F2F2F2" w:sz="1"/>
              <w:left w:val="single" w:color="F2F2F2" w:sz="1"/>
              <w:bottom w:val="single" w:color="F2F2F2" w:sz="1"/>
              <w:right w:val="single" w:color="F2F2F2"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Tinh_toan</w:t>
            </w:r>
          </w:p>
        </w:tc>
        <w:tc>
          <w:tcPr>
            <w:tcW w:type="dxa" w:w="400"/>
            <w:tcBorders>
              <w:top w:val="single" w:color="F2F2F2" w:sz="1"/>
              <w:left w:val="single" w:color="F2F2F2" w:sz="1"/>
              <w:bottom w:val="single" w:color="F2F2F2" w:sz="1"/>
              <w:right w:val="single" w:color="F2F2F2" w:sz="1"/>
            </w:tcBorders>
            <w:shd w:fill="FFFFFF" w:val="clear"/>
            <w:tcMar>
              <w:top w:type="dxa" w:w="100"/>
              <w:left w:type="dxa" w:w="80"/>
              <w:bottom w:type="dxa" w:w="100"/>
              <w:right w:type="dxa" w:w="80"/>
            </w:tcMar>
            <w:vAlign w:val="center"/>
          </w:tcPr>
          <w:p>
            <w:pPr>
              <w:jc w:val="center"/>
            </w:pPr>
            <w:r>
              <w:rPr>
                <w:rFonts w:ascii="Arial" w:cs="Arial" w:eastAsia="Arial" w:hAnsi="Arial"/>
                <w:b w:val="false"/>
                <w:bCs w:val="false"/>
                <w:color w:val="595959"/>
                <w:sz w:val="24"/>
                <w:szCs w:val="24"/>
              </w:rPr>
              <w:t xml:space="preserve">→</w:t>
            </w:r>
          </w:p>
        </w:tc>
        <w:tc>
          <w:tcPr>
            <w:tcW w:type="dxa" w:w="1700"/>
            <w:tcBorders>
              <w:top w:val="single" w:color="F2F2F2" w:sz="1"/>
              <w:left w:val="single" w:color="F2F2F2" w:sz="1"/>
              <w:bottom w:val="single" w:color="F2F2F2" w:sz="1"/>
              <w:right w:val="single" w:color="F2F2F2" w:sz="1"/>
            </w:tcBorders>
            <w:shd w:fill="375623"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So_sanh</w:t>
            </w:r>
          </w:p>
        </w:tc>
        <w:tc>
          <w:tcPr>
            <w:tcW w:type="dxa" w:w="400"/>
            <w:tcBorders>
              <w:top w:val="single" w:color="F2F2F2" w:sz="1"/>
              <w:left w:val="single" w:color="F2F2F2" w:sz="1"/>
              <w:bottom w:val="single" w:color="F2F2F2" w:sz="1"/>
              <w:right w:val="single" w:color="F2F2F2" w:sz="1"/>
            </w:tcBorders>
            <w:shd w:fill="FFFFFF" w:val="clear"/>
            <w:tcMar>
              <w:top w:type="dxa" w:w="100"/>
              <w:left w:type="dxa" w:w="80"/>
              <w:bottom w:type="dxa" w:w="100"/>
              <w:right w:type="dxa" w:w="80"/>
            </w:tcMar>
            <w:vAlign w:val="center"/>
          </w:tcPr>
          <w:p>
            <w:pPr>
              <w:jc w:val="center"/>
            </w:pPr>
            <w:r>
              <w:rPr>
                <w:rFonts w:ascii="Arial" w:cs="Arial" w:eastAsia="Arial" w:hAnsi="Arial"/>
                <w:b w:val="false"/>
                <w:bCs w:val="false"/>
                <w:color w:val="595959"/>
                <w:sz w:val="24"/>
                <w:szCs w:val="24"/>
              </w:rPr>
              <w:t xml:space="preserve">→</w:t>
            </w:r>
          </w:p>
        </w:tc>
        <w:tc>
          <w:tcPr>
            <w:tcW w:type="dxa" w:w="1756"/>
            <w:tcBorders>
              <w:top w:val="single" w:color="F2F2F2" w:sz="1"/>
              <w:left w:val="single" w:color="F2F2F2" w:sz="1"/>
              <w:bottom w:val="single" w:color="F2F2F2" w:sz="1"/>
              <w:right w:val="single" w:color="F2F2F2" w:sz="1"/>
            </w:tcBorders>
            <w:shd w:fill="BF8F00"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Phuong_an_toi_uu</w:t>
            </w:r>
          </w:p>
        </w:tc>
      </w:tr>
      <w:tr>
        <w:tc>
          <w:tcPr>
            <w:tcW w:type="dxa" w:w="1700"/>
            <w:tcBorders>
              <w:top w:val="single" w:color="CCCCCC" w:sz="1"/>
              <w:left w:val="single" w:color="CCCCCC" w:sz="1"/>
              <w:bottom w:val="single" w:color="CCCCCC" w:sz="1"/>
              <w:right w:val="single" w:color="CCCCCC" w:sz="1"/>
            </w:tcBorders>
            <w:shd w:fill="E0F7FA" w:val="clear"/>
            <w:tcMar>
              <w:top w:type="dxa" w:w="60"/>
              <w:left w:type="dxa" w:w="80"/>
              <w:bottom w:type="dxa" w:w="60"/>
              <w:right w:type="dxa" w:w="80"/>
            </w:tcMar>
          </w:tcPr>
          <w:p>
            <w:pPr>
              <w:spacing w:after="60" w:before="60"/>
            </w:pPr>
            <w:r>
              <w:rPr>
                <w:rFonts w:ascii="Arial" w:cs="Arial" w:eastAsia="Arial" w:hAnsi="Arial"/>
                <w:i/>
                <w:iCs/>
                <w:color w:val="006064"/>
                <w:sz w:val="18"/>
                <w:szCs w:val="18"/>
              </w:rPr>
              <w:t xml:space="preserve">Tra tỷ lệ phí theo TT 12/2021</w:t>
            </w:r>
          </w:p>
        </w:tc>
        <w:tc>
          <w:tcPr>
            <w:tcW w:type="dxa" w:w="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7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spacing w:after="60" w:before="60"/>
            </w:pPr>
            <w:r>
              <w:rPr>
                <w:rFonts w:ascii="Arial" w:cs="Arial" w:eastAsia="Arial" w:hAnsi="Arial"/>
                <w:i/>
                <w:iCs/>
                <w:color w:val="1F3864"/>
                <w:sz w:val="18"/>
                <w:szCs w:val="18"/>
              </w:rPr>
              <w:t xml:space="preserve">Nhập giả thiết &amp; thông số vận hành</w:t>
            </w:r>
          </w:p>
        </w:tc>
        <w:tc>
          <w:tcPr>
            <w:tcW w:type="dxa" w:w="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7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spacing w:after="60" w:before="60"/>
            </w:pPr>
            <w:r>
              <w:rPr>
                <w:rFonts w:ascii="Arial" w:cs="Arial" w:eastAsia="Arial" w:hAnsi="Arial"/>
                <w:i/>
                <w:iCs/>
                <w:color w:val="2E75B6"/>
                <w:sz w:val="18"/>
                <w:szCs w:val="18"/>
              </w:rPr>
              <w:t xml:space="preserve">Tính toán doanh thu, chi phí, thuế</w:t>
            </w:r>
          </w:p>
        </w:tc>
        <w:tc>
          <w:tcPr>
            <w:tcW w:type="dxa" w:w="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7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spacing w:after="60" w:before="60"/>
            </w:pPr>
            <w:r>
              <w:rPr>
                <w:rFonts w:ascii="Arial" w:cs="Arial" w:eastAsia="Arial" w:hAnsi="Arial"/>
                <w:i/>
                <w:iCs/>
                <w:color w:val="375623"/>
                <w:sz w:val="18"/>
                <w:szCs w:val="18"/>
              </w:rPr>
              <w:t xml:space="preserve">So sánh kết quả 2 loại hợp đồng</w:t>
            </w:r>
          </w:p>
        </w:tc>
        <w:tc>
          <w:tcPr>
            <w:tcW w:type="dxa" w:w="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756"/>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60" w:before="60"/>
            </w:pPr>
            <w:r>
              <w:rPr>
                <w:rFonts w:ascii="Arial" w:cs="Arial" w:eastAsia="Arial" w:hAnsi="Arial"/>
                <w:i/>
                <w:iCs/>
                <w:color w:val="BF8F00"/>
                <w:sz w:val="18"/>
                <w:szCs w:val="18"/>
              </w:rPr>
              <w:t xml:space="preserve">Tối ưu thuế &amp; đề xuất chi phí hợp lệ</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595959"/>
          <w:sz w:val="22"/>
          <w:szCs w:val="22"/>
        </w:rPr>
        <w:t xml:space="preserve">Nguyên tắc vận hành: Chỉ chỉnh sửa dữ liệu tại Ty_le_chi_phi và Dau_vao. Các sheet còn lại hoàn toàn tự tính theo công thức liên kết.</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1.3  Quy ước màu sắc trong file</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56"/>
      </w:tblGrid>
      <w:tr>
        <w:trPr>
          <w:tblHeader/>
        </w:trP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Màu ô</w:t>
            </w:r>
          </w:p>
        </w:tc>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Ý nghĩa</w:t>
            </w:r>
          </w:p>
        </w:tc>
        <w:tc>
          <w:tcPr>
            <w:tcW w:type="dxa" w:w="42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Hành động người dùng</w:t>
            </w:r>
          </w:p>
        </w:tc>
      </w:tr>
      <w:tr>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Màu VÀNG</w:t>
            </w:r>
          </w:p>
        </w:tc>
        <w:tc>
          <w:tcPr>
            <w:tcW w:type="dxa" w:w="36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đầu vào – có thể điều chỉnh</w:t>
            </w:r>
          </w:p>
        </w:tc>
        <w:tc>
          <w:tcPr>
            <w:tcW w:type="dxa" w:w="42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Nhập giá trị theo tình huống thực tế</w:t>
            </w:r>
          </w:p>
        </w:tc>
      </w:tr>
      <w:tr>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Trắng / xám</w:t>
            </w:r>
          </w:p>
        </w:tc>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công thức – kết quả tính toán</w:t>
            </w:r>
          </w:p>
        </w:tc>
        <w:tc>
          <w:tcPr>
            <w:tcW w:type="dxa" w:w="42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Chỉ đọc – không sửa</w:t>
            </w:r>
          </w:p>
        </w:tc>
      </w:tr>
      <w:tr>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Xanh lá (chữ)</w:t>
            </w:r>
          </w:p>
        </w:tc>
        <w:tc>
          <w:tcPr>
            <w:tcW w:type="dxa" w:w="36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Liên kết từ sheet khác trong cùng file</w:t>
            </w:r>
          </w:p>
        </w:tc>
        <w:tc>
          <w:tcPr>
            <w:tcW w:type="dxa" w:w="42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Không sửa – kiểm tra nguồn nếu sai</w:t>
            </w:r>
          </w:p>
        </w:tc>
      </w:tr>
      <w:tr>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Đỏ (chữ)</w:t>
            </w:r>
          </w:p>
        </w:tc>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Cảnh báo hoặc kết quả âm</w:t>
            </w:r>
          </w:p>
        </w:tc>
        <w:tc>
          <w:tcPr>
            <w:tcW w:type="dxa" w:w="42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Cần xem xét và điều chỉnh giả thiết</w:t>
            </w:r>
          </w:p>
        </w:tc>
      </w:tr>
    </w:tbl>
    <w:p>
      <w:pPr>
        <w:spacing w:after="60" w:before="6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F3864"/>
          <w:sz w:val="30"/>
          <w:szCs w:val="30"/>
        </w:rPr>
        <w:t xml:space="preserve">II. SHEET: TY_LE_CHI_PHI</w:t>
      </w:r>
    </w:p>
    <w:p>
      <w:pPr>
        <w:spacing w:after="60" w:before="60"/>
      </w:pPr>
      <w:r>
        <w:rPr>
          <w:rFonts w:ascii="Arial" w:cs="Arial" w:eastAsia="Arial" w:hAnsi="Arial"/>
          <w:sz w:val="22"/>
          <w:szCs w:val="22"/>
        </w:rPr>
        <w:t xml:space="preserve">Mục đích: Tra cứu và nội suy tự động tỷ lệ phí tư vấn theo Thông tư 12/2021/TT-BXD (Phụ lục VIII). Kết quả được liên kết sang sheet Dau_vao, không cần nhập tay.</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2.1  Nội dung sheet</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56"/>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Phần</w:t>
            </w:r>
          </w:p>
        </w:tc>
        <w:tc>
          <w:tcPr>
            <w:tcW w:type="dxa" w:w="4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w:t>
            </w:r>
          </w:p>
        </w:tc>
        <w:tc>
          <w:tcPr>
            <w:tcW w:type="dxa" w:w="30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Ý nghĩa</w:t>
            </w:r>
          </w:p>
        </w:tc>
      </w:tr>
      <w:tr>
        <w:tc>
          <w:tcPr>
            <w:tcW w:type="dxa" w:w="24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 – Thông số đầu vào</w:t>
            </w:r>
          </w:p>
        </w:tc>
        <w:tc>
          <w:tcPr>
            <w:tcW w:type="dxa" w:w="4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Giá trị gói xây lắp, chi phí thiết bị, cấp công trình</w:t>
            </w:r>
          </w:p>
        </w:tc>
        <w:tc>
          <w:tcPr>
            <w:tcW w:type="dxa" w:w="30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Nơi nhập liệu – ô màu vàng</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II – Bảng tính phí</w:t>
            </w:r>
          </w:p>
        </w:tc>
        <w:tc>
          <w:tcPr>
            <w:tcW w:type="dxa" w:w="4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Tính 4 hạng mục: giám sát, thiết kế, QLDA, thẩm tra TK</w:t>
            </w:r>
          </w:p>
        </w:tc>
        <w:tc>
          <w:tcPr>
            <w:tcW w:type="dxa" w:w="30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Kết quả chưa VAT, VAT, tổng có VAT</w:t>
            </w:r>
          </w:p>
        </w:tc>
      </w:tr>
      <w:tr>
        <w:tc>
          <w:tcPr>
            <w:tcW w:type="dxa" w:w="24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III – Bảng độ nhạy</w:t>
            </w:r>
          </w:p>
        </w:tc>
        <w:tc>
          <w:tcPr>
            <w:tcW w:type="dxa" w:w="4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Mô phỏng phí tư vấn ở 10 mức quy mô gói XL khác nhau</w:t>
            </w:r>
          </w:p>
        </w:tc>
        <w:tc>
          <w:tcPr>
            <w:tcW w:type="dxa" w:w="30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Tham khảo nhanh khi đàm phán</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IV → VII – Bảng nguồn</w:t>
            </w:r>
          </w:p>
        </w:tc>
        <w:tc>
          <w:tcPr>
            <w:tcW w:type="dxa" w:w="4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Bảng 2.5, 2.21, 1.1, 2.16 từ TT 12/2021</w:t>
            </w:r>
          </w:p>
        </w:tc>
        <w:tc>
          <w:tcPr>
            <w:tcW w:type="dxa" w:w="30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Cơ sở nội suy – không sửa</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2.2  Các ô đầu vào (màu vàng)</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200"/>
        <w:gridCol w:w="3556"/>
      </w:tblGrid>
      <w:tr>
        <w:trPr>
          <w:tblHeader/>
        </w:trPr>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Ô</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Ví dụ</w:t>
            </w:r>
          </w:p>
        </w:tc>
        <w:tc>
          <w:tcPr>
            <w:tcW w:type="dxa" w:w="35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Lưu ý</w:t>
            </w:r>
          </w:p>
        </w:tc>
      </w:tr>
      <w:tr>
        <w:tc>
          <w:tcPr>
            <w:tcW w:type="dxa" w:w="7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B7</w:t>
            </w:r>
          </w:p>
        </w:tc>
        <w:tc>
          <w:tcPr>
            <w:tcW w:type="dxa" w:w="3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Giá trị gói xây lắp chưa VAT (VND)</w:t>
            </w:r>
          </w:p>
        </w:tc>
        <w:tc>
          <w:tcPr>
            <w:tcW w:type="dxa" w:w="2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9.000.000.000</w:t>
            </w:r>
          </w:p>
        </w:tc>
        <w:tc>
          <w:tcPr>
            <w:tcW w:type="dxa" w:w="3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Nhập giá trị tuyệt đối, không tính VAT</w:t>
            </w:r>
          </w:p>
        </w:tc>
      </w:tr>
      <w:tr>
        <w:tc>
          <w:tcPr>
            <w:tcW w:type="dxa" w:w="7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B8</w:t>
            </w:r>
          </w:p>
        </w:tc>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thiết bị (nếu có)</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35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Để 0 nếu không có thiết bị; chỉ ảnh hưởng QLDA</w:t>
            </w:r>
          </w:p>
        </w:tc>
      </w:tr>
      <w:tr>
        <w:tc>
          <w:tcPr>
            <w:tcW w:type="dxa" w:w="7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B9</w:t>
            </w:r>
          </w:p>
        </w:tc>
        <w:tc>
          <w:tcPr>
            <w:tcW w:type="dxa" w:w="3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Cấp công trình dân dụng</w:t>
            </w:r>
          </w:p>
        </w:tc>
        <w:tc>
          <w:tcPr>
            <w:tcW w:type="dxa" w:w="2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Cấp III</w:t>
            </w:r>
          </w:p>
        </w:tc>
        <w:tc>
          <w:tcPr>
            <w:tcW w:type="dxa" w:w="3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Nhập đúng cú pháp: Cấp đặc biệt / Cấp I / II / III / IV</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2.3  Cách sheet tính tỷ lệ phí</w:t>
      </w:r>
    </w:p>
    <w:p>
      <w:pPr>
        <w:pStyle w:val="ListParagraph"/>
        <w:numPr>
          <w:ilvl w:val="0"/>
          <w:numId w:val="2"/>
        </w:numPr>
        <w:spacing w:after="40" w:before="40"/>
      </w:pPr>
      <w:r>
        <w:rPr>
          <w:rFonts w:ascii="Arial" w:cs="Arial" w:eastAsia="Arial" w:hAnsi="Arial"/>
          <w:sz w:val="22"/>
          <w:szCs w:val="22"/>
        </w:rPr>
        <w:t xml:space="preserve">Tỷ lệ phí được nội suy tuyến tính giữa hai mốc quy mô gần nhất trong bảng nguồn (Bảng 2.5, 2.21, 1.1, 2.16)</w:t>
      </w:r>
    </w:p>
    <w:p>
      <w:pPr>
        <w:pStyle w:val="ListParagraph"/>
        <w:numPr>
          <w:ilvl w:val="0"/>
          <w:numId w:val="2"/>
        </w:numPr>
        <w:spacing w:after="40" w:before="40"/>
      </w:pPr>
      <w:r>
        <w:rPr>
          <w:rFonts w:ascii="Arial" w:cs="Arial" w:eastAsia="Arial" w:hAnsi="Arial"/>
          <w:sz w:val="22"/>
          <w:szCs w:val="22"/>
        </w:rPr>
        <w:t xml:space="preserve">Cấp công trình ảnh hưởng tỷ lệ thiết kế (Bảng 2.5 có 5 cột theo cấp)</w:t>
      </w:r>
    </w:p>
    <w:p>
      <w:pPr>
        <w:pStyle w:val="ListParagraph"/>
        <w:numPr>
          <w:ilvl w:val="0"/>
          <w:numId w:val="2"/>
        </w:numPr>
        <w:spacing w:after="40" w:before="40"/>
      </w:pPr>
      <w:r>
        <w:rPr>
          <w:rFonts w:ascii="Arial" w:cs="Arial" w:eastAsia="Arial" w:hAnsi="Arial"/>
          <w:sz w:val="22"/>
          <w:szCs w:val="22"/>
        </w:rPr>
        <w:t xml:space="preserve">Phí thẩm tra thiết kế áp dụng mức tối thiểu 2.000.000 VND theo ghi chú Bảng 2.16</w:t>
      </w:r>
    </w:p>
    <w:p>
      <w:pPr>
        <w:spacing w:after="60" w:before="60"/>
      </w:pPr>
      <w:r>
        <w:rPr>
          <w:rFonts w:ascii="Arial" w:cs="Arial" w:eastAsia="Arial" w:hAnsi="Arial"/>
          <w:sz w:val="22"/>
          <w:szCs w:val="22"/>
        </w:rPr>
        <w:t xml:space="preserve"/>
      </w:r>
    </w:p>
    <w:p>
      <w:pPr>
        <w:spacing w:after="100" w:before="100"/>
        <w:ind w:left="360"/>
      </w:pPr>
      <w:r>
        <w:rPr>
          <w:rFonts w:ascii="Arial" w:cs="Arial" w:eastAsia="Arial" w:hAnsi="Arial"/>
          <w:i/>
          <w:iCs/>
          <w:color w:val="C00000"/>
          <w:sz w:val="20"/>
          <w:szCs w:val="20"/>
        </w:rPr>
        <w:t xml:space="preserve">⚠  Nếu quy mô gói XL vượt mốc lớn nhất trong bảng nguồn, sheet sẽ dùng mốc cuối cùng để tham khảo – cần kiểm tra thêm theo quy định hiện hành.</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2.4  Kết nối với sheet Dau_vao</w:t>
      </w:r>
    </w:p>
    <w:p>
      <w:pPr>
        <w:pStyle w:val="ListParagraph"/>
        <w:numPr>
          <w:ilvl w:val="0"/>
          <w:numId w:val="2"/>
        </w:numPr>
        <w:spacing w:after="40" w:before="40"/>
      </w:pPr>
      <w:r>
        <w:rPr>
          <w:rFonts w:ascii="Arial" w:cs="Arial" w:eastAsia="Arial" w:hAnsi="Arial"/>
          <w:sz w:val="22"/>
          <w:szCs w:val="22"/>
        </w:rPr>
        <w:t xml:space="preserve">Dau_vao!B2 (Tỷ lệ giám sát) ← Ty_le_chi_phi!D11 / D7</w:t>
      </w:r>
    </w:p>
    <w:p>
      <w:pPr>
        <w:pStyle w:val="ListParagraph"/>
        <w:numPr>
          <w:ilvl w:val="0"/>
          <w:numId w:val="2"/>
        </w:numPr>
        <w:spacing w:after="40" w:before="40"/>
      </w:pPr>
      <w:r>
        <w:rPr>
          <w:rFonts w:ascii="Arial" w:cs="Arial" w:eastAsia="Arial" w:hAnsi="Arial"/>
          <w:sz w:val="22"/>
          <w:szCs w:val="22"/>
        </w:rPr>
        <w:t xml:space="preserve">Dau_vao!B3 (Tỷ lệ thiết kế) ← Ty_le_chi_phi!D12 / D7</w:t>
      </w:r>
    </w:p>
    <w:p>
      <w:pPr>
        <w:pStyle w:val="ListParagraph"/>
        <w:numPr>
          <w:ilvl w:val="0"/>
          <w:numId w:val="2"/>
        </w:numPr>
        <w:spacing w:after="40" w:before="40"/>
      </w:pPr>
      <w:r>
        <w:rPr>
          <w:rFonts w:ascii="Arial" w:cs="Arial" w:eastAsia="Arial" w:hAnsi="Arial"/>
          <w:sz w:val="22"/>
          <w:szCs w:val="22"/>
        </w:rPr>
        <w:t xml:space="preserve">Dau_vao!B21 (VAT đầu ra) ← Ty_le_chi_phi!B10</w:t>
      </w:r>
    </w:p>
    <w:p>
      <w:pPr>
        <w:spacing w:after="60" w:before="6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F3864"/>
          <w:sz w:val="30"/>
          <w:szCs w:val="30"/>
        </w:rPr>
        <w:t xml:space="preserve">III. SHEET: DAU_VAO</w:t>
      </w:r>
    </w:p>
    <w:p>
      <w:pPr>
        <w:spacing w:after="60" w:before="60"/>
      </w:pPr>
      <w:r>
        <w:rPr>
          <w:rFonts w:ascii="Arial" w:cs="Arial" w:eastAsia="Arial" w:hAnsi="Arial"/>
          <w:sz w:val="22"/>
          <w:szCs w:val="22"/>
        </w:rPr>
        <w:t xml:space="preserve">Đây là sheet trung tâm điều phối toàn bộ mô hình. Hầu hết các ô đầu vào quan trọng nằm ở đây. Nguyên tắc: chỉ chỉnh sửa các ô màu vàng.</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3.1  Danh sách đầu vào chi tiết</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2300"/>
        <w:gridCol w:w="1500"/>
        <w:gridCol w:w="1556"/>
      </w:tblGrid>
      <w:tr>
        <w:trPr>
          <w:tblHeader/>
        </w:trPr>
        <w:tc>
          <w:tcPr>
            <w:tcW w:type="dxa" w:w="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Thông số</w:t>
            </w:r>
          </w:p>
        </w:tc>
        <w:tc>
          <w:tcPr>
            <w:tcW w:type="dxa" w:w="23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Giá trị mặc định</w:t>
            </w:r>
          </w:p>
        </w:tc>
        <w:tc>
          <w:tcPr>
            <w:tcW w:type="dxa" w:w="1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Đơn vị</w:t>
            </w:r>
          </w:p>
        </w:tc>
        <w:tc>
          <w:tcPr>
            <w:tcW w:type="dxa" w:w="15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3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Giá trị xây lắp/năm</w:t>
            </w:r>
          </w:p>
        </w:tc>
        <w:tc>
          <w:tcPr>
            <w:tcW w:type="dxa" w:w="23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15.000.000.000</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VND</w:t>
            </w:r>
          </w:p>
        </w:tc>
        <w:tc>
          <w:tcPr>
            <w:tcW w:type="dxa" w:w="1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Nhập gói XL chưa VAT</w:t>
            </w:r>
          </w:p>
        </w:tc>
      </w:tr>
      <w:tr>
        <w:tc>
          <w:tcPr>
            <w:tcW w:type="dxa" w:w="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phí tư vấn giám sát</w:t>
            </w:r>
          </w:p>
        </w:tc>
        <w:tc>
          <w:tcPr>
            <w:tcW w:type="dxa" w:w="2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3,285%</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Từ Ty_le_chi_phi hoặc nhập tay</w:t>
            </w:r>
          </w:p>
        </w:tc>
      </w:tr>
      <w:tr>
        <w:tc>
          <w:tcPr>
            <w:tcW w:type="dxa" w:w="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3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phí tư vấn thiết kế</w:t>
            </w:r>
          </w:p>
        </w:tc>
        <w:tc>
          <w:tcPr>
            <w:tcW w:type="dxa" w:w="23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3,41%</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Từ Ty_le_chi_phi hoặc nhập tay</w:t>
            </w:r>
          </w:p>
        </w:tc>
      </w:tr>
      <w:tr>
        <w:tc>
          <w:tcPr>
            <w:tcW w:type="dxa" w:w="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cắt lại CĐT – Loại 1</w:t>
            </w:r>
          </w:p>
        </w:tc>
        <w:tc>
          <w:tcPr>
            <w:tcW w:type="dxa" w:w="2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55%</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màu vàng – tùy đàm phán</w:t>
            </w:r>
          </w:p>
        </w:tc>
      </w:tr>
      <w:tr>
        <w:tc>
          <w:tcPr>
            <w:tcW w:type="dxa" w:w="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3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cắt lại CĐT – Loại 2</w:t>
            </w:r>
          </w:p>
        </w:tc>
        <w:tc>
          <w:tcPr>
            <w:tcW w:type="dxa" w:w="23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màu vàng – tùy đàm phán</w:t>
            </w:r>
          </w:p>
        </w:tc>
      </w:tr>
      <w:tr>
        <w:tc>
          <w:tcPr>
            <w:tcW w:type="dxa" w:w="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Thuế TNDN</w:t>
            </w:r>
          </w:p>
        </w:tc>
        <w:tc>
          <w:tcPr>
            <w:tcW w:type="dxa" w:w="2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màu vàng</w:t>
            </w:r>
          </w:p>
        </w:tc>
      </w:tr>
      <w:tr>
        <w:tc>
          <w:tcPr>
            <w:tcW w:type="dxa" w:w="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3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Lương giám đốc/tháng</w:t>
            </w:r>
          </w:p>
        </w:tc>
        <w:tc>
          <w:tcPr>
            <w:tcW w:type="dxa" w:w="23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15.000.000</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VND</w:t>
            </w:r>
          </w:p>
        </w:tc>
        <w:tc>
          <w:tcPr>
            <w:tcW w:type="dxa" w:w="1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màu vàng</w:t>
            </w:r>
          </w:p>
        </w:tc>
      </w:tr>
      <w:tr>
        <w:tc>
          <w:tcPr>
            <w:tcW w:type="dxa" w:w="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Số kỹ thuật trực tiếp (Loại 2)</w:t>
            </w:r>
          </w:p>
        </w:tc>
        <w:tc>
          <w:tcPr>
            <w:tcW w:type="dxa" w:w="2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người</w:t>
            </w:r>
          </w:p>
        </w:tc>
        <w:tc>
          <w:tcPr>
            <w:tcW w:type="dxa" w:w="15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màu vàng</w:t>
            </w:r>
          </w:p>
        </w:tc>
      </w:tr>
      <w:tr>
        <w:tc>
          <w:tcPr>
            <w:tcW w:type="dxa" w:w="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3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Lương kỹ thuật trực tiếp/tháng</w:t>
            </w:r>
          </w:p>
        </w:tc>
        <w:tc>
          <w:tcPr>
            <w:tcW w:type="dxa" w:w="23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15.000.000</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VND</w:t>
            </w:r>
          </w:p>
        </w:tc>
        <w:tc>
          <w:tcPr>
            <w:tcW w:type="dxa" w:w="1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màu vàng</w:t>
            </w:r>
          </w:p>
        </w:tc>
      </w:tr>
      <w:tr>
        <w:tc>
          <w:tcPr>
            <w:tcW w:type="dxa" w:w="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Lương kế toán/tháng</w:t>
            </w:r>
          </w:p>
        </w:tc>
        <w:tc>
          <w:tcPr>
            <w:tcW w:type="dxa" w:w="2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3.000.000</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VND</w:t>
            </w:r>
          </w:p>
        </w:tc>
        <w:tc>
          <w:tcPr>
            <w:tcW w:type="dxa" w:w="15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màu vàng</w:t>
            </w:r>
          </w:p>
        </w:tc>
      </w:tr>
      <w:tr>
        <w:tc>
          <w:tcPr>
            <w:tcW w:type="dxa" w:w="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3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Thuê văn phòng/tháng</w:t>
            </w:r>
          </w:p>
        </w:tc>
        <w:tc>
          <w:tcPr>
            <w:tcW w:type="dxa" w:w="23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3.000.000</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VND</w:t>
            </w:r>
          </w:p>
        </w:tc>
        <w:tc>
          <w:tcPr>
            <w:tcW w:type="dxa" w:w="1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màu vàng</w:t>
            </w:r>
          </w:p>
        </w:tc>
      </w:tr>
      <w:tr>
        <w:tc>
          <w:tcPr>
            <w:tcW w:type="dxa" w:w="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Đi lại + tiếp khách/tháng</w:t>
            </w:r>
          </w:p>
        </w:tc>
        <w:tc>
          <w:tcPr>
            <w:tcW w:type="dxa" w:w="2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5.000.000</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VND</w:t>
            </w:r>
          </w:p>
        </w:tc>
        <w:tc>
          <w:tcPr>
            <w:tcW w:type="dxa" w:w="15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màu vàng</w:t>
            </w:r>
          </w:p>
        </w:tc>
      </w:tr>
      <w:tr>
        <w:tc>
          <w:tcPr>
            <w:tcW w:type="dxa" w:w="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3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khác/tháng</w:t>
            </w:r>
          </w:p>
        </w:tc>
        <w:tc>
          <w:tcPr>
            <w:tcW w:type="dxa" w:w="23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3.000.000</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VND</w:t>
            </w:r>
          </w:p>
        </w:tc>
        <w:tc>
          <w:tcPr>
            <w:tcW w:type="dxa" w:w="1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màu vàng</w:t>
            </w:r>
          </w:p>
        </w:tc>
      </w:tr>
      <w:tr>
        <w:tc>
          <w:tcPr>
            <w:tcW w:type="dxa" w:w="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bảo hiểm DN đóng (LĐ TT)</w:t>
            </w:r>
          </w:p>
        </w:tc>
        <w:tc>
          <w:tcPr>
            <w:tcW w:type="dxa" w:w="2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21,5%</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Theo luật BHXH 2024</w:t>
            </w:r>
          </w:p>
        </w:tc>
      </w:tr>
      <w:tr>
        <w:tc>
          <w:tcPr>
            <w:tcW w:type="dxa" w:w="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3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VAT đầu ra</w:t>
            </w:r>
          </w:p>
        </w:tc>
        <w:tc>
          <w:tcPr>
            <w:tcW w:type="dxa" w:w="23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Liên kết sang Ty_le_chi_phi</w:t>
            </w:r>
          </w:p>
        </w:tc>
      </w:tr>
      <w:tr>
        <w:tc>
          <w:tcPr>
            <w:tcW w:type="dxa" w:w="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ký hồ sơ – Loại 1</w:t>
            </w:r>
          </w:p>
        </w:tc>
        <w:tc>
          <w:tcPr>
            <w:tcW w:type="dxa" w:w="2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DT</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màu vàng – B34</w:t>
            </w:r>
          </w:p>
        </w:tc>
      </w:tr>
      <w:tr>
        <w:tc>
          <w:tcPr>
            <w:tcW w:type="dxa" w:w="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w:t>
            </w:r>
          </w:p>
        </w:tc>
        <w:tc>
          <w:tcPr>
            <w:tcW w:type="dxa" w:w="3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ký hồ sơ – Loại 2</w:t>
            </w:r>
          </w:p>
        </w:tc>
        <w:tc>
          <w:tcPr>
            <w:tcW w:type="dxa" w:w="23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DT</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màu vàng – B34</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3.2  Kiểm tra ràng buộc lương kỹ thuật (Loại 2)</w:t>
      </w:r>
    </w:p>
    <w:p>
      <w:pPr>
        <w:spacing w:after="60" w:before="60"/>
      </w:pPr>
      <w:r>
        <w:rPr>
          <w:rFonts w:ascii="Arial" w:cs="Arial" w:eastAsia="Arial" w:hAnsi="Arial"/>
          <w:sz w:val="22"/>
          <w:szCs w:val="22"/>
        </w:rPr>
        <w:t xml:space="preserve">Sheet tự động kiểm tra tỷ lệ quỹ lương kỹ thuật trực tiếp so với doanh thu để đảm bảo hợp lý:</w:t>
      </w:r>
    </w:p>
    <w:p>
      <w:pPr>
        <w:pStyle w:val="ListParagraph"/>
        <w:numPr>
          <w:ilvl w:val="0"/>
          <w:numId w:val="2"/>
        </w:numPr>
        <w:spacing w:after="40" w:before="40"/>
      </w:pPr>
      <w:r>
        <w:rPr>
          <w:rFonts w:ascii="Arial" w:cs="Arial" w:eastAsia="Arial" w:hAnsi="Arial"/>
          <w:sz w:val="22"/>
          <w:szCs w:val="22"/>
        </w:rPr>
        <w:t xml:space="preserve">Ngưỡng tối đa được thiết lập là 20% doanh thu chưa VAT</w:t>
      </w:r>
    </w:p>
    <w:p>
      <w:pPr>
        <w:pStyle w:val="ListParagraph"/>
        <w:numPr>
          <w:ilvl w:val="0"/>
          <w:numId w:val="2"/>
        </w:numPr>
        <w:spacing w:after="40" w:before="40"/>
      </w:pPr>
      <w:r>
        <w:rPr>
          <w:rFonts w:ascii="Arial" w:cs="Arial" w:eastAsia="Arial" w:hAnsi="Arial"/>
          <w:sz w:val="22"/>
          <w:szCs w:val="22"/>
        </w:rPr>
        <w:t xml:space="preserve">Nếu quỹ lương thực tế vượt 20%, cần giảm số người hoặc mức lương</w:t>
      </w:r>
    </w:p>
    <w:p>
      <w:pPr>
        <w:pStyle w:val="ListParagraph"/>
        <w:numPr>
          <w:ilvl w:val="0"/>
          <w:numId w:val="2"/>
        </w:numPr>
        <w:spacing w:after="40" w:before="40"/>
      </w:pPr>
      <w:r>
        <w:rPr>
          <w:rFonts w:ascii="Arial" w:cs="Arial" w:eastAsia="Arial" w:hAnsi="Arial"/>
          <w:sz w:val="22"/>
          <w:szCs w:val="22"/>
        </w:rPr>
        <w:t xml:space="preserve">Giá trị hiện tại: 17,9% → Hợp lệ (&lt; 20%)</w:t>
      </w:r>
    </w:p>
    <w:p>
      <w:pPr>
        <w:spacing w:after="60" w:before="60"/>
      </w:pPr>
      <w:r>
        <w:rPr>
          <w:rFonts w:ascii="Arial" w:cs="Arial" w:eastAsia="Arial" w:hAnsi="Arial"/>
          <w:sz w:val="22"/>
          <w:szCs w:val="22"/>
        </w:rPr>
        <w:t xml:space="preserve"/>
      </w:r>
    </w:p>
    <w:p>
      <w:pPr>
        <w:spacing w:after="100" w:before="100"/>
        <w:ind w:left="360"/>
      </w:pPr>
      <w:r>
        <w:rPr>
          <w:rFonts w:ascii="Arial" w:cs="Arial" w:eastAsia="Arial" w:hAnsi="Arial"/>
          <w:i/>
          <w:iCs/>
          <w:color w:val="375623"/>
          <w:sz w:val="20"/>
          <w:szCs w:val="20"/>
        </w:rPr>
        <w:t xml:space="preserve">💡 Khi tăng số kỹ thuật viên (B9) hoặc tăng lương (B10), luôn kiểm tra lại tỷ lệ này trước khi chốt phương án.</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3.3  Các lưu ý quan trọng khi nhập liệu</w:t>
      </w:r>
    </w:p>
    <w:p>
      <w:pPr>
        <w:pStyle w:val="ListParagraph"/>
        <w:numPr>
          <w:ilvl w:val="0"/>
          <w:numId w:val="2"/>
        </w:numPr>
        <w:spacing w:after="40" w:before="40"/>
      </w:pPr>
      <w:r>
        <w:rPr>
          <w:rFonts w:ascii="Arial" w:cs="Arial" w:eastAsia="Arial" w:hAnsi="Arial"/>
          <w:sz w:val="22"/>
          <w:szCs w:val="22"/>
        </w:rPr>
        <w:t xml:space="preserve">Nhập giá trị chưa VAT cho tất cả các khoản chi phí, trừ khi dòng ghi rõ tỷ lệ</w:t>
      </w:r>
    </w:p>
    <w:p>
      <w:pPr>
        <w:pStyle w:val="ListParagraph"/>
        <w:numPr>
          <w:ilvl w:val="0"/>
          <w:numId w:val="2"/>
        </w:numPr>
        <w:spacing w:after="40" w:before="40"/>
      </w:pPr>
      <w:r>
        <w:rPr>
          <w:rFonts w:ascii="Arial" w:cs="Arial" w:eastAsia="Arial" w:hAnsi="Arial"/>
          <w:sz w:val="22"/>
          <w:szCs w:val="22"/>
        </w:rPr>
        <w:t xml:space="preserve">Tỷ lệ cắt lại CĐT (B4, B5) là thỏa thuận đàm phán, không có trong hợp đồng chính thức – cần xác nhận từ người có thẩm quyền trước khi nhập</w:t>
      </w:r>
    </w:p>
    <w:p>
      <w:pPr>
        <w:pStyle w:val="ListParagraph"/>
        <w:numPr>
          <w:ilvl w:val="0"/>
          <w:numId w:val="2"/>
        </w:numPr>
        <w:spacing w:after="40" w:before="40"/>
      </w:pPr>
      <w:r>
        <w:rPr>
          <w:rFonts w:ascii="Arial" w:cs="Arial" w:eastAsia="Arial" w:hAnsi="Arial"/>
          <w:sz w:val="22"/>
          <w:szCs w:val="22"/>
        </w:rPr>
        <w:t xml:space="preserve">Thay đổi B2, B3 (tỷ lệ phí) sẽ cắt liên kết từ Ty_le_chi_phi – chỉ nên làm khi đã có số liệu chính xác từ hợp đồng thực tế</w:t>
      </w:r>
    </w:p>
    <w:p>
      <w:pPr>
        <w:spacing w:after="60" w:before="6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F3864"/>
          <w:sz w:val="30"/>
          <w:szCs w:val="30"/>
        </w:rPr>
        <w:t xml:space="preserve">IV. SHEET: TINH_TOAN</w:t>
      </w:r>
    </w:p>
    <w:p>
      <w:pPr>
        <w:spacing w:after="60" w:before="60"/>
      </w:pPr>
      <w:r>
        <w:rPr>
          <w:rFonts w:ascii="Arial" w:cs="Arial" w:eastAsia="Arial" w:hAnsi="Arial"/>
          <w:sz w:val="22"/>
          <w:szCs w:val="22"/>
        </w:rPr>
        <w:t xml:space="preserve">Sheet trung gian – toàn bộ là công thức, không có ô đầu vào. Không nên chỉnh sửa trực tiếp. Sheet này thực hiện bốn nhóm tính toán:</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4.1  Doanh thu tư vấn</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956"/>
      </w:tblGrid>
      <w:tr>
        <w:trPr>
          <w:tblHeader/>
        </w:trPr>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Chỉ tiêu</w:t>
            </w:r>
          </w:p>
        </w:tc>
        <w:tc>
          <w:tcPr>
            <w:tcW w:type="dxa" w:w="3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Công thức</w:t>
            </w:r>
          </w:p>
        </w:tc>
        <w:tc>
          <w:tcPr>
            <w:tcW w:type="dxa" w:w="29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Giá trị (VND)</w:t>
            </w:r>
          </w:p>
        </w:tc>
      </w:tr>
      <w:tr>
        <w:tc>
          <w:tcPr>
            <w:tcW w:type="dxa" w:w="3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Doanh thu giám sát/năm</w:t>
            </w:r>
          </w:p>
        </w:tc>
        <w:tc>
          <w:tcPr>
            <w:tcW w:type="dxa" w:w="3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Giá trị XL × Tỷ lệ giám sát</w:t>
            </w:r>
          </w:p>
        </w:tc>
        <w:tc>
          <w:tcPr>
            <w:tcW w:type="dxa" w:w="29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492.750.000</w:t>
            </w:r>
          </w:p>
        </w:tc>
      </w:tr>
      <w:tr>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Doanh thu thiết kế/năm</w:t>
            </w:r>
          </w:p>
        </w:tc>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Giá trị XL × Tỷ lệ thiết kế</w:t>
            </w:r>
          </w:p>
        </w:tc>
        <w:tc>
          <w:tcPr>
            <w:tcW w:type="dxa" w:w="29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511.500.000</w:t>
            </w:r>
          </w:p>
        </w:tc>
      </w:tr>
      <w:tr>
        <w:tc>
          <w:tcPr>
            <w:tcW w:type="dxa" w:w="3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Tổng doanh thu chưa VAT</w:t>
            </w:r>
          </w:p>
        </w:tc>
        <w:tc>
          <w:tcPr>
            <w:tcW w:type="dxa" w:w="3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Giám sát + Thiết kế</w:t>
            </w:r>
          </w:p>
        </w:tc>
        <w:tc>
          <w:tcPr>
            <w:tcW w:type="dxa" w:w="29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1.004.250.000</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4.2  Chi phí cố định và lao động</w:t>
      </w:r>
    </w:p>
    <w:p>
      <w:pPr>
        <w:pStyle w:val="ListParagraph"/>
        <w:numPr>
          <w:ilvl w:val="0"/>
          <w:numId w:val="2"/>
        </w:numPr>
        <w:spacing w:after="40" w:before="40"/>
      </w:pPr>
      <w:r>
        <w:rPr>
          <w:rFonts w:ascii="Arial" w:cs="Arial" w:eastAsia="Arial" w:hAnsi="Arial"/>
          <w:sz w:val="22"/>
          <w:szCs w:val="22"/>
        </w:rPr>
        <w:t xml:space="preserve">Chi phí cố định: Văn phòng + Đi lại/tiếp khách + Chi phí khác (quy năm)</w:t>
      </w:r>
    </w:p>
    <w:p>
      <w:pPr>
        <w:pStyle w:val="ListParagraph"/>
        <w:numPr>
          <w:ilvl w:val="0"/>
          <w:numId w:val="2"/>
        </w:numPr>
        <w:spacing w:after="40" w:before="40"/>
      </w:pPr>
      <w:r>
        <w:rPr>
          <w:rFonts w:ascii="Arial" w:cs="Arial" w:eastAsia="Arial" w:hAnsi="Arial"/>
          <w:sz w:val="22"/>
          <w:szCs w:val="22"/>
        </w:rPr>
        <w:t xml:space="preserve">Chi phí lao động Loại 1: Lương GĐ + Kế toán + Bảo hiểm (không có kỹ thuật thêm)</w:t>
      </w:r>
    </w:p>
    <w:p>
      <w:pPr>
        <w:pStyle w:val="ListParagraph"/>
        <w:numPr>
          <w:ilvl w:val="0"/>
          <w:numId w:val="2"/>
        </w:numPr>
        <w:spacing w:after="40" w:before="40"/>
      </w:pPr>
      <w:r>
        <w:rPr>
          <w:rFonts w:ascii="Arial" w:cs="Arial" w:eastAsia="Arial" w:hAnsi="Arial"/>
          <w:sz w:val="22"/>
          <w:szCs w:val="22"/>
        </w:rPr>
        <w:t xml:space="preserve">Chi phí lao động Loại 2: Thêm lương kỹ thuật trực tiếp và bảo hiểm tương ứng</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4.3  VAT</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956"/>
      </w:tblGrid>
      <w:tr>
        <w:trPr>
          <w:tblHeader/>
        </w:trPr>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Chỉ tiêu</w:t>
            </w:r>
          </w:p>
        </w:tc>
        <w:tc>
          <w:tcPr>
            <w:tcW w:type="dxa" w:w="3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Công thức</w:t>
            </w:r>
          </w:p>
        </w:tc>
        <w:tc>
          <w:tcPr>
            <w:tcW w:type="dxa" w:w="29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Giá trị (VND)</w:t>
            </w:r>
          </w:p>
        </w:tc>
      </w:tr>
      <w:tr>
        <w:tc>
          <w:tcPr>
            <w:tcW w:type="dxa" w:w="3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VAT đầu ra</w:t>
            </w:r>
          </w:p>
        </w:tc>
        <w:tc>
          <w:tcPr>
            <w:tcW w:type="dxa" w:w="3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Tổng DT × 8%</w:t>
            </w:r>
          </w:p>
        </w:tc>
        <w:tc>
          <w:tcPr>
            <w:tcW w:type="dxa" w:w="29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80.340.000</w:t>
            </w:r>
          </w:p>
        </w:tc>
      </w:tr>
      <w:tr>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VAT đầu vào được khấu trừ</w:t>
            </w:r>
          </w:p>
        </w:tc>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 cố định × 8% × tỷ lệ có HĐ VAT</w:t>
            </w:r>
          </w:p>
        </w:tc>
        <w:tc>
          <w:tcPr>
            <w:tcW w:type="dxa" w:w="29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10.560.000</w:t>
            </w:r>
          </w:p>
        </w:tc>
      </w:tr>
      <w:tr>
        <w:tc>
          <w:tcPr>
            <w:tcW w:type="dxa" w:w="3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VAT phải nộp</w:t>
            </w:r>
          </w:p>
        </w:tc>
        <w:tc>
          <w:tcPr>
            <w:tcW w:type="dxa" w:w="3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VAT đầu ra – VAT đầu vào</w:t>
            </w:r>
          </w:p>
        </w:tc>
        <w:tc>
          <w:tcPr>
            <w:tcW w:type="dxa" w:w="29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69.780.000</w:t>
            </w:r>
          </w:p>
        </w:tc>
      </w:tr>
    </w:tbl>
    <w:p>
      <w:pPr>
        <w:spacing w:after="60" w:before="60"/>
      </w:pPr>
      <w:r>
        <w:rPr>
          <w:rFonts w:ascii="Arial" w:cs="Arial" w:eastAsia="Arial" w:hAnsi="Arial"/>
          <w:sz w:val="22"/>
          <w:szCs w:val="22"/>
        </w:rPr>
        <w:t xml:space="preserve"/>
      </w:r>
    </w:p>
    <w:p>
      <w:pPr>
        <w:spacing w:after="100" w:before="100"/>
        <w:ind w:left="360"/>
      </w:pPr>
      <w:r>
        <w:rPr>
          <w:rFonts w:ascii="Arial" w:cs="Arial" w:eastAsia="Arial" w:hAnsi="Arial"/>
          <w:i/>
          <w:iCs/>
          <w:color w:val="2E75B6"/>
          <w:sz w:val="20"/>
          <w:szCs w:val="20"/>
        </w:rPr>
        <w:t xml:space="preserve">ℹ  VAT đầu vào chỉ khấu trừ được từ chi phí cố định có hóa đơn VAT hợp lệ. Khoản cắt lại CĐT không có VAT đầu vào.</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4.4  Chi phí ký hồ sơ</w:t>
      </w:r>
    </w:p>
    <w:p>
      <w:pPr>
        <w:pStyle w:val="ListParagraph"/>
        <w:numPr>
          <w:ilvl w:val="0"/>
          <w:numId w:val="2"/>
        </w:numPr>
        <w:spacing w:after="40" w:before="40"/>
      </w:pPr>
      <w:r>
        <w:rPr>
          <w:rFonts w:ascii="Arial" w:cs="Arial" w:eastAsia="Arial" w:hAnsi="Arial"/>
          <w:sz w:val="22"/>
          <w:szCs w:val="22"/>
        </w:rPr>
        <w:t xml:space="preserve">Loại 1: 5% doanh thu chưa VAT → Chi phí ký hồ sơ = 50.212.500 VND/năm</w:t>
      </w:r>
    </w:p>
    <w:p>
      <w:pPr>
        <w:pStyle w:val="ListParagraph"/>
        <w:numPr>
          <w:ilvl w:val="0"/>
          <w:numId w:val="2"/>
        </w:numPr>
        <w:spacing w:after="40" w:before="40"/>
      </w:pPr>
      <w:r>
        <w:rPr>
          <w:rFonts w:ascii="Arial" w:cs="Arial" w:eastAsia="Arial" w:hAnsi="Arial"/>
          <w:sz w:val="22"/>
          <w:szCs w:val="22"/>
        </w:rPr>
        <w:t xml:space="preserve">Loại 2: 2% doanh thu chưa VAT → Chi phí ký hồ sơ = 20.085.000 VND/năm</w:t>
      </w:r>
    </w:p>
    <w:p>
      <w:pPr>
        <w:pStyle w:val="ListParagraph"/>
        <w:numPr>
          <w:ilvl w:val="0"/>
          <w:numId w:val="2"/>
        </w:numPr>
        <w:spacing w:after="40" w:before="40"/>
      </w:pPr>
      <w:r>
        <w:rPr>
          <w:rFonts w:ascii="Arial" w:cs="Arial" w:eastAsia="Arial" w:hAnsi="Arial"/>
          <w:sz w:val="22"/>
          <w:szCs w:val="22"/>
        </w:rPr>
        <w:t xml:space="preserve">Tỷ lệ được khấu trừ thuế: 90% (còn 10% không được KT do thiếu chứng từ đầy đủ)</w:t>
      </w:r>
    </w:p>
    <w:p>
      <w:pPr>
        <w:spacing w:after="60" w:before="6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F3864"/>
          <w:sz w:val="30"/>
          <w:szCs w:val="30"/>
        </w:rPr>
        <w:t xml:space="preserve">V. SHEET: SO_SANH</w:t>
      </w:r>
    </w:p>
    <w:p>
      <w:pPr>
        <w:spacing w:after="60" w:before="60"/>
      </w:pPr>
      <w:r>
        <w:rPr>
          <w:rFonts w:ascii="Arial" w:cs="Arial" w:eastAsia="Arial" w:hAnsi="Arial"/>
          <w:sz w:val="22"/>
          <w:szCs w:val="22"/>
        </w:rPr>
        <w:t xml:space="preserve">Sheet đầu ra tổng hợp – hiển thị bảng đối chiếu đầy đủ giữa Loại 1 và Loại 2 để hỗ trợ quyết định chiến lược ký kết hợp đồng.</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5.1  Kết quả so sánh hiện tại</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200"/>
        <w:gridCol w:w="2006"/>
      </w:tblGrid>
      <w:tr>
        <w:trPr>
          <w:tblHeader/>
        </w:trPr>
        <w:tc>
          <w:tcPr>
            <w:tcW w:type="dxa" w:w="3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Chỉ tiêu</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Loại 1 (VND)</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Loại 2 (VND)</w:t>
            </w:r>
          </w:p>
        </w:tc>
        <w:tc>
          <w:tcPr>
            <w:tcW w:type="dxa" w:w="200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3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Doanh thu chưa VAT/năm</w:t>
            </w:r>
          </w:p>
        </w:tc>
        <w:tc>
          <w:tcPr>
            <w:tcW w:type="dxa" w:w="2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1.004.250.000</w:t>
            </w:r>
          </w:p>
        </w:tc>
        <w:tc>
          <w:tcPr>
            <w:tcW w:type="dxa" w:w="2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1.004.250.000</w:t>
            </w:r>
          </w:p>
        </w:tc>
        <w:tc>
          <w:tcPr>
            <w:tcW w:type="dxa" w:w="200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Bằng nhau – cùng gói XL</w:t>
            </w:r>
          </w:p>
        </w:tc>
      </w:tr>
      <w:tr>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Cắt lại CĐT</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552.337.500</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401.700.000</w:t>
            </w:r>
          </w:p>
        </w:tc>
        <w:tc>
          <w:tcPr>
            <w:tcW w:type="dxa" w:w="200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L1 cao hơn → ít chi phí ghi nhận</w:t>
            </w:r>
          </w:p>
        </w:tc>
      </w:tr>
      <w:tr>
        <w:tc>
          <w:tcPr>
            <w:tcW w:type="dxa" w:w="3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lao động trực tiếp</w:t>
            </w:r>
          </w:p>
        </w:tc>
        <w:tc>
          <w:tcPr>
            <w:tcW w:type="dxa" w:w="2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262.440.000</w:t>
            </w:r>
          </w:p>
        </w:tc>
        <w:tc>
          <w:tcPr>
            <w:tcW w:type="dxa" w:w="2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481.140.000</w:t>
            </w:r>
          </w:p>
        </w:tc>
        <w:tc>
          <w:tcPr>
            <w:tcW w:type="dxa" w:w="200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L2 có thêm lương kỹ thuật</w:t>
            </w:r>
          </w:p>
        </w:tc>
      </w:tr>
      <w:tr>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ký hồ sơ</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50.212.500</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20.085.000</w:t>
            </w:r>
          </w:p>
        </w:tc>
        <w:tc>
          <w:tcPr>
            <w:tcW w:type="dxa" w:w="200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L1 = 5%, L2 = 2% DT</w:t>
            </w:r>
          </w:p>
        </w:tc>
      </w:tr>
      <w:tr>
        <w:tc>
          <w:tcPr>
            <w:tcW w:type="dxa" w:w="3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cố định thực chi</w:t>
            </w:r>
          </w:p>
        </w:tc>
        <w:tc>
          <w:tcPr>
            <w:tcW w:type="dxa" w:w="2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132.000.000</w:t>
            </w:r>
          </w:p>
        </w:tc>
        <w:tc>
          <w:tcPr>
            <w:tcW w:type="dxa" w:w="2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132.000.000</w:t>
            </w:r>
          </w:p>
        </w:tc>
        <w:tc>
          <w:tcPr>
            <w:tcW w:type="dxa" w:w="200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Như nhau</w:t>
            </w:r>
          </w:p>
        </w:tc>
      </w:tr>
      <w:tr>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Thu nhập chịu thuế TNDN</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577.818.750</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386.233.500</w:t>
            </w:r>
          </w:p>
        </w:tc>
        <w:tc>
          <w:tcPr>
            <w:tcW w:type="dxa" w:w="200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L2 thấp hơn → ít thuế hơn</w:t>
            </w:r>
          </w:p>
        </w:tc>
      </w:tr>
      <w:tr>
        <w:tc>
          <w:tcPr>
            <w:tcW w:type="dxa" w:w="3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Thuế TNDN phải nộp</w:t>
            </w:r>
          </w:p>
        </w:tc>
        <w:tc>
          <w:tcPr>
            <w:tcW w:type="dxa" w:w="2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98.229.188</w:t>
            </w:r>
          </w:p>
        </w:tc>
        <w:tc>
          <w:tcPr>
            <w:tcW w:type="dxa" w:w="2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65.659.695</w:t>
            </w:r>
          </w:p>
        </w:tc>
        <w:tc>
          <w:tcPr>
            <w:tcW w:type="dxa" w:w="200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L2 tiết kiệm ~32,6 triệu</w:t>
            </w:r>
          </w:p>
        </w:tc>
      </w:tr>
      <w:tr>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VAT phải nộp</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69.780.000</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69.780.000</w:t>
            </w:r>
          </w:p>
        </w:tc>
        <w:tc>
          <w:tcPr>
            <w:tcW w:type="dxa" w:w="200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Bằng nhau</w:t>
            </w:r>
          </w:p>
        </w:tc>
      </w:tr>
      <w:tr>
        <w:tc>
          <w:tcPr>
            <w:tcW w:type="dxa" w:w="3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Lãi ròng sau thuế/năm</w:t>
            </w:r>
          </w:p>
        </w:tc>
        <w:tc>
          <w:tcPr>
            <w:tcW w:type="dxa" w:w="2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-90.969.188</w:t>
            </w:r>
          </w:p>
        </w:tc>
        <w:tc>
          <w:tcPr>
            <w:tcW w:type="dxa" w:w="2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-96.334.695</w:t>
            </w:r>
          </w:p>
        </w:tc>
        <w:tc>
          <w:tcPr>
            <w:tcW w:type="dxa" w:w="200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Âm ở cả 2 loại</w:t>
            </w:r>
          </w:p>
        </w:tc>
      </w:tr>
      <w:tr>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Lãi ròng/tháng</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-7.580.766</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-8.027.891</w:t>
            </w:r>
          </w:p>
        </w:tc>
        <w:tc>
          <w:tcPr>
            <w:tcW w:type="dxa" w:w="200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Cần tối ưu chi phí</w:t>
            </w:r>
          </w:p>
        </w:tc>
      </w:tr>
      <w:tr>
        <w:tc>
          <w:tcPr>
            <w:tcW w:type="dxa" w:w="3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Biên lãi ròng</w:t>
            </w:r>
          </w:p>
        </w:tc>
        <w:tc>
          <w:tcPr>
            <w:tcW w:type="dxa" w:w="2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-9,06%</w:t>
            </w:r>
          </w:p>
        </w:tc>
        <w:tc>
          <w:tcPr>
            <w:tcW w:type="dxa" w:w="2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-9,59%</w:t>
            </w:r>
          </w:p>
        </w:tc>
        <w:tc>
          <w:tcPr>
            <w:tcW w:type="dxa" w:w="200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Âm do cắt lại CĐT lớn</w:t>
            </w:r>
          </w:p>
        </w:tc>
      </w:tr>
    </w:tbl>
    <w:p>
      <w:pPr>
        <w:spacing w:after="60" w:before="60"/>
      </w:pPr>
      <w:r>
        <w:rPr>
          <w:rFonts w:ascii="Arial" w:cs="Arial" w:eastAsia="Arial" w:hAnsi="Arial"/>
          <w:sz w:val="22"/>
          <w:szCs w:val="22"/>
        </w:rPr>
        <w:t xml:space="preserve"/>
      </w:r>
    </w:p>
    <w:p>
      <w:pPr>
        <w:spacing w:after="100" w:before="100"/>
        <w:ind w:left="360"/>
      </w:pPr>
      <w:r>
        <w:rPr>
          <w:rFonts w:ascii="Arial" w:cs="Arial" w:eastAsia="Arial" w:hAnsi="Arial"/>
          <w:i/>
          <w:iCs/>
          <w:color w:val="C00000"/>
          <w:sz w:val="20"/>
          <w:szCs w:val="20"/>
        </w:rPr>
        <w:t xml:space="preserve">⚠  Lãi ròng âm ở cả hai loại hợp đồng không phải lỗi mô hình – đây là thực trạng khi phần cắt lại CĐT chiếm 40–55% doanh thu nhưng không được khấu trừ thuế, làm thu nhập chịu thuế cao bất thường.</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5.2  Phân tích so sánh hai loại hợp đồng</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2856"/>
      </w:tblGrid>
      <w:tr>
        <w:trPr>
          <w:tblHeader/>
        </w:trPr>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 đánh giá</w:t>
            </w:r>
          </w:p>
        </w:tc>
        <w:tc>
          <w:tcPr>
            <w:tcW w:type="dxa" w:w="19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Loại 1</w:t>
            </w:r>
          </w:p>
        </w:tc>
        <w:tc>
          <w:tcPr>
            <w:tcW w:type="dxa" w:w="19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Loại 2</w:t>
            </w:r>
          </w:p>
        </w:tc>
        <w:tc>
          <w:tcPr>
            <w:tcW w:type="dxa" w:w="28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Kết luận</w:t>
            </w:r>
          </w:p>
        </w:tc>
      </w:tr>
      <w:tr>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Thuế TNDN</w:t>
            </w:r>
          </w:p>
        </w:tc>
        <w:tc>
          <w:tcPr>
            <w:tcW w:type="dxa" w:w="19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98,2 triệu</w:t>
            </w:r>
          </w:p>
        </w:tc>
        <w:tc>
          <w:tcPr>
            <w:tcW w:type="dxa" w:w="19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65,7 triệu</w:t>
            </w:r>
          </w:p>
        </w:tc>
        <w:tc>
          <w:tcPr>
            <w:tcW w:type="dxa" w:w="28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Loại 2 tiết kiệm ~32,6 triệu</w:t>
            </w:r>
          </w:p>
        </w:tc>
      </w:tr>
      <w:tr>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Lãi ròng sau thuế</w:t>
            </w:r>
          </w:p>
        </w:tc>
        <w:tc>
          <w:tcPr>
            <w:tcW w:type="dxa" w:w="1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-91 triệu</w:t>
            </w:r>
          </w:p>
        </w:tc>
        <w:tc>
          <w:tcPr>
            <w:tcW w:type="dxa" w:w="1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-96,3 triệu</w:t>
            </w:r>
          </w:p>
        </w:tc>
        <w:tc>
          <w:tcPr>
            <w:tcW w:type="dxa" w:w="28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Cả hai âm, L2 âm hơn</w:t>
            </w:r>
          </w:p>
        </w:tc>
      </w:tr>
      <w:tr>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lao động</w:t>
            </w:r>
          </w:p>
        </w:tc>
        <w:tc>
          <w:tcPr>
            <w:tcW w:type="dxa" w:w="19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262,4 triệu</w:t>
            </w:r>
          </w:p>
        </w:tc>
        <w:tc>
          <w:tcPr>
            <w:tcW w:type="dxa" w:w="19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481,1 triệu</w:t>
            </w:r>
          </w:p>
        </w:tc>
        <w:tc>
          <w:tcPr>
            <w:tcW w:type="dxa" w:w="28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L2 cao hơn 83%</w:t>
            </w:r>
          </w:p>
        </w:tc>
      </w:tr>
      <w:tr>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Dòng tiền ròng thực nhận</w:t>
            </w:r>
          </w:p>
        </w:tc>
        <w:tc>
          <w:tcPr>
            <w:tcW w:type="dxa" w:w="1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7,3 triệu/năm</w:t>
            </w:r>
          </w:p>
        </w:tc>
        <w:tc>
          <w:tcPr>
            <w:tcW w:type="dxa" w:w="1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-30,7 triệu/năm</w:t>
            </w:r>
          </w:p>
        </w:tc>
        <w:tc>
          <w:tcPr>
            <w:tcW w:type="dxa" w:w="28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L1 có dòng tiền dương trước thuế</w:t>
            </w:r>
          </w:p>
        </w:tc>
      </w:tr>
      <w:tr>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Biên lãi ròng</w:t>
            </w:r>
          </w:p>
        </w:tc>
        <w:tc>
          <w:tcPr>
            <w:tcW w:type="dxa" w:w="19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-9,06%</w:t>
            </w:r>
          </w:p>
        </w:tc>
        <w:tc>
          <w:tcPr>
            <w:tcW w:type="dxa" w:w="19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-9,59%</w:t>
            </w:r>
          </w:p>
        </w:tc>
        <w:tc>
          <w:tcPr>
            <w:tcW w:type="dxa" w:w="28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Cả hai âm, L1 tốt hơn nhẹ</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Ghi chú CFO quan trọng:</w:t>
      </w:r>
    </w:p>
    <w:p>
      <w:pPr>
        <w:pStyle w:val="ListParagraph"/>
        <w:numPr>
          <w:ilvl w:val="0"/>
          <w:numId w:val="2"/>
        </w:numPr>
        <w:spacing w:after="40" w:before="40"/>
      </w:pPr>
      <w:r>
        <w:rPr>
          <w:rFonts w:ascii="Arial" w:cs="Arial" w:eastAsia="Arial" w:hAnsi="Arial"/>
          <w:sz w:val="22"/>
          <w:szCs w:val="22"/>
        </w:rPr>
        <w:t xml:space="preserve">Lương GĐ và kế toán được tính vào chi phí lao động trực tiếp của cả hai loại hợp đồng</w:t>
      </w:r>
    </w:p>
    <w:p>
      <w:pPr>
        <w:pStyle w:val="ListParagraph"/>
        <w:numPr>
          <w:ilvl w:val="0"/>
          <w:numId w:val="2"/>
        </w:numPr>
        <w:spacing w:after="40" w:before="40"/>
      </w:pPr>
      <w:r>
        <w:rPr>
          <w:rFonts w:ascii="Arial" w:cs="Arial" w:eastAsia="Arial" w:hAnsi="Arial"/>
          <w:sz w:val="22"/>
          <w:szCs w:val="22"/>
        </w:rPr>
        <w:t xml:space="preserve">Loại 1 không có lương kỹ thuật thêm; Loại 2 có thêm 1 kỹ thuật viên và bảo hiểm liên quan</w:t>
      </w:r>
    </w:p>
    <w:p>
      <w:pPr>
        <w:pStyle w:val="ListParagraph"/>
        <w:numPr>
          <w:ilvl w:val="0"/>
          <w:numId w:val="2"/>
        </w:numPr>
        <w:spacing w:after="40" w:before="40"/>
      </w:pPr>
      <w:r>
        <w:rPr>
          <w:rFonts w:ascii="Arial" w:cs="Arial" w:eastAsia="Arial" w:hAnsi="Arial"/>
          <w:sz w:val="22"/>
          <w:szCs w:val="22"/>
        </w:rPr>
        <w:t xml:space="preserve">Phần cắt lại CĐT là dòng tiền ra thực sự nhưng không được khấu trừ TNDN và không có VAT đầu vào để khấu trừ – đây là gánh nặng thuế cốt lõi cần giải quyết tại sheet Phuong_an_toi_uu</w:t>
      </w:r>
    </w:p>
    <w:p>
      <w:pPr>
        <w:spacing w:after="60" w:before="6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F3864"/>
          <w:sz w:val="30"/>
          <w:szCs w:val="30"/>
        </w:rPr>
        <w:t xml:space="preserve">VI. SHEET: PHUONG_AN_TOI_UU</w:t>
      </w:r>
    </w:p>
    <w:p>
      <w:pPr>
        <w:spacing w:after="60" w:before="60"/>
      </w:pPr>
      <w:r>
        <w:rPr>
          <w:rFonts w:ascii="Arial" w:cs="Arial" w:eastAsia="Arial" w:hAnsi="Arial"/>
          <w:sz w:val="22"/>
          <w:szCs w:val="22"/>
        </w:rPr>
        <w:t xml:space="preserve">Sheet phân tích tối ưu – đề xuất phương án hợp thức hóa chi phí đầu vào hợp lệ nhằm giảm thuế TNDN về mức phù hợp trong khi vẫn đảm bảo tuân thủ pháp luật.</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6.1  Cấu trúc 5 phần của sheet</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56"/>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Phần</w:t>
            </w:r>
          </w:p>
        </w:tc>
        <w:tc>
          <w:tcPr>
            <w:tcW w:type="dxa" w:w="4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w:t>
            </w:r>
          </w:p>
        </w:tc>
        <w:tc>
          <w:tcPr>
            <w:tcW w:type="dxa" w:w="30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Tính chất</w:t>
            </w:r>
          </w:p>
        </w:tc>
      </w:tr>
      <w:tr>
        <w:tc>
          <w:tcPr>
            <w:tcW w:type="dxa" w:w="24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 – Tình hình hiện tại</w:t>
            </w:r>
          </w:p>
        </w:tc>
        <w:tc>
          <w:tcPr>
            <w:tcW w:type="dxa" w:w="4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Kéo số liệu từ So_sanh: DT, chi phí, thuế, lãi ròng</w:t>
            </w:r>
          </w:p>
        </w:tc>
        <w:tc>
          <w:tcPr>
            <w:tcW w:type="dxa" w:w="30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Tự động – chỉ đọc</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II – Phân tích ngưỡng hòa vốn</w:t>
            </w:r>
          </w:p>
        </w:tc>
        <w:tc>
          <w:tcPr>
            <w:tcW w:type="dxa" w:w="4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Tính DT tối thiểu để lãi ròng = 0</w:t>
            </w:r>
          </w:p>
        </w:tc>
        <w:tc>
          <w:tcPr>
            <w:tcW w:type="dxa" w:w="30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Tự động – chỉ đọc</w:t>
            </w:r>
          </w:p>
        </w:tc>
      </w:tr>
      <w:tr>
        <w:tc>
          <w:tcPr>
            <w:tcW w:type="dxa" w:w="24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III – Đề xuất chi phí hợp lệ</w:t>
            </w:r>
          </w:p>
        </w:tc>
        <w:tc>
          <w:tcPr>
            <w:tcW w:type="dxa" w:w="4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Nhập lãi ròng mục tiêu → tính chi phí cần tăng thêm</w:t>
            </w:r>
          </w:p>
        </w:tc>
        <w:tc>
          <w:tcPr>
            <w:tcW w:type="dxa" w:w="30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ô đầu vào màu vàng (B31)</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IV – Phân bổ chi phí</w:t>
            </w:r>
          </w:p>
        </w:tc>
        <w:tc>
          <w:tcPr>
            <w:tcW w:type="dxa" w:w="4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Nhập % phân bổ vào 6 hạng mục, tổng = 100%</w:t>
            </w:r>
          </w:p>
        </w:tc>
        <w:tc>
          <w:tcPr>
            <w:tcW w:type="dxa" w:w="30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màu vàng (cột B, C của phần IV)</w:t>
            </w:r>
          </w:p>
        </w:tc>
      </w:tr>
      <w:tr>
        <w:tc>
          <w:tcPr>
            <w:tcW w:type="dxa" w:w="24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 – Đối chiếu trước/sau</w:t>
            </w:r>
          </w:p>
        </w:tc>
        <w:tc>
          <w:tcPr>
            <w:tcW w:type="dxa" w:w="42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 sánh thuế và lãi ròng trước và sau tối ưu</w:t>
            </w:r>
          </w:p>
        </w:tc>
        <w:tc>
          <w:tcPr>
            <w:tcW w:type="dxa" w:w="30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Tự động – chỉ đọc</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6.2  Ô đầu vào duy nhất: Lãi ròng mục tiêu (B31)</w:t>
      </w:r>
    </w:p>
    <w:p>
      <w:pPr>
        <w:spacing w:after="60" w:before="60"/>
      </w:pPr>
      <w:r>
        <w:rPr>
          <w:rFonts w:ascii="Arial" w:cs="Arial" w:eastAsia="Arial" w:hAnsi="Arial"/>
          <w:sz w:val="22"/>
          <w:szCs w:val="22"/>
        </w:rPr>
        <w:t xml:space="preserve">Người dùng chỉ cần nhập một số: mức lãi ròng sau thuế mong muốn đạt được trong một năm.</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000"/>
        <w:gridCol w:w="3056"/>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Ô</w:t>
            </w:r>
          </w:p>
        </w:tc>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Ví dụ nhập</w:t>
            </w:r>
          </w:p>
        </w:tc>
        <w:tc>
          <w:tcPr>
            <w:tcW w:type="dxa" w:w="30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Kết quả tự động</w:t>
            </w:r>
          </w:p>
        </w:tc>
      </w:tr>
      <w:tr>
        <w:tc>
          <w:tcPr>
            <w:tcW w:type="dxa" w:w="16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B31 (màu vàng)</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Lãi ròng mục tiêu/năm (VND)</w:t>
            </w:r>
          </w:p>
        </w:tc>
        <w:tc>
          <w:tcPr>
            <w:tcW w:type="dxa" w:w="2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100.000.000</w:t>
            </w:r>
          </w:p>
        </w:tc>
        <w:tc>
          <w:tcPr>
            <w:tcW w:type="dxa" w:w="30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cần tăng = (Lãi ròng hiện tại – Mục tiêu) / (1 – 17%)</w:t>
            </w:r>
          </w:p>
        </w:tc>
      </w:tr>
    </w:tbl>
    <w:p>
      <w:pPr>
        <w:spacing w:after="60" w:before="60"/>
      </w:pPr>
      <w:r>
        <w:rPr>
          <w:rFonts w:ascii="Arial" w:cs="Arial" w:eastAsia="Arial" w:hAnsi="Arial"/>
          <w:sz w:val="22"/>
          <w:szCs w:val="22"/>
        </w:rPr>
        <w:t xml:space="preserve"/>
      </w:r>
    </w:p>
    <w:p>
      <w:pPr>
        <w:spacing w:after="100" w:before="100"/>
        <w:ind w:left="360"/>
      </w:pPr>
      <w:r>
        <w:rPr>
          <w:rFonts w:ascii="Arial" w:cs="Arial" w:eastAsia="Arial" w:hAnsi="Arial"/>
          <w:i/>
          <w:iCs/>
          <w:color w:val="375623"/>
          <w:sz w:val="20"/>
          <w:szCs w:val="20"/>
        </w:rPr>
        <w:t xml:space="preserve">💡 Với mức hiện tại (~-91 triệu Loại 1), để đạt lãi ròng 100 triệu, cần tăng thêm khoảng (100 – (-91)) / (1 – 17%) ≈ 230 triệu đồng chi phí hợp lệ.</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6.3  Phân bổ chi phí tăng thêm vào 6 hạng mục</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800"/>
        <w:gridCol w:w="1800"/>
        <w:gridCol w:w="2556"/>
      </w:tblGrid>
      <w:tr>
        <w:trPr>
          <w:tblHeader/>
        </w:trPr>
        <w:tc>
          <w:tcPr>
            <w:tcW w:type="dxa" w:w="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Hạng mục chi phí hợp lệ</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L1 (mặc định)</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L2 (mặc định)</w:t>
            </w:r>
          </w:p>
        </w:tc>
        <w:tc>
          <w:tcPr>
            <w:tcW w:type="dxa" w:w="25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Căn cứ pháp lý</w:t>
            </w:r>
          </w:p>
        </w:tc>
      </w:tr>
      <w:tr>
        <w:tc>
          <w:tcPr>
            <w:tcW w:type="dxa" w:w="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Đào tạo &amp; nâng cao năng lực</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2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Điều 4 TT 78/2014</w:t>
            </w:r>
          </w:p>
        </w:tc>
      </w:tr>
      <w:tr>
        <w:tc>
          <w:tcPr>
            <w:tcW w:type="dxa" w:w="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Thiết bị &amp; phần mềm chuyên ngành</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c>
          <w:tcPr>
            <w:tcW w:type="dxa" w:w="25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Điều 4 TT 78/2014</w:t>
            </w:r>
          </w:p>
        </w:tc>
      </w:tr>
      <w:tr>
        <w:tc>
          <w:tcPr>
            <w:tcW w:type="dxa" w:w="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văn phòng &amp; quản lý nâng cao</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2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Điều 4 TT 78/2014</w:t>
            </w:r>
          </w:p>
        </w:tc>
      </w:tr>
      <w:tr>
        <w:tc>
          <w:tcPr>
            <w:tcW w:type="dxa" w:w="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Thuê chuyên gia / cộng tác viên kỹ thuật</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c>
          <w:tcPr>
            <w:tcW w:type="dxa" w:w="25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Điều 4 TT 78/2014</w:t>
            </w:r>
          </w:p>
        </w:tc>
      </w:tr>
      <w:tr>
        <w:tc>
          <w:tcPr>
            <w:tcW w:type="dxa" w:w="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marketing &amp; phát triển kinh doanh</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2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TT 96/2015 (tối đa 15%)</w:t>
            </w:r>
          </w:p>
        </w:tc>
      </w:tr>
      <w:tr>
        <w:tc>
          <w:tcPr>
            <w:tcW w:type="dxa" w:w="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Dự phòng &amp; chi phí phát sinh khác</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5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Điều 4 TT 78/2014</w:t>
            </w:r>
          </w:p>
        </w:tc>
      </w:tr>
      <w:tr>
        <w:tc>
          <w:tcPr>
            <w:tcW w:type="dxa" w:w="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TỔNG</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25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Phải bằng đúng 100%</w:t>
            </w:r>
          </w:p>
        </w:tc>
      </w:tr>
    </w:tbl>
    <w:p>
      <w:pPr>
        <w:spacing w:after="60" w:before="60"/>
      </w:pPr>
      <w:r>
        <w:rPr>
          <w:rFonts w:ascii="Arial" w:cs="Arial" w:eastAsia="Arial" w:hAnsi="Arial"/>
          <w:sz w:val="22"/>
          <w:szCs w:val="22"/>
        </w:rPr>
        <w:t xml:space="preserve"/>
      </w:r>
    </w:p>
    <w:p>
      <w:pPr>
        <w:spacing w:after="100" w:before="100"/>
        <w:ind w:left="360"/>
      </w:pPr>
      <w:r>
        <w:rPr>
          <w:rFonts w:ascii="Arial" w:cs="Arial" w:eastAsia="Arial" w:hAnsi="Arial"/>
          <w:i/>
          <w:iCs/>
          <w:color w:val="C00000"/>
          <w:sz w:val="20"/>
          <w:szCs w:val="20"/>
        </w:rPr>
        <w:t xml:space="preserve">⚠  Tổng % phân bổ cho mỗi loại hợp đồng PHẢI bằng đúng 100%. Sheet sẽ hiển thị ✓ Hợp lệ khi điều kiện đạt, hoặc cảnh báo nếu chưa đủ.</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6.4  Phân tích ngưỡng hòa vốn lãi ròng</w:t>
      </w:r>
    </w:p>
    <w:p>
      <w:pPr>
        <w:pStyle w:val="ListParagraph"/>
        <w:numPr>
          <w:ilvl w:val="0"/>
          <w:numId w:val="2"/>
        </w:numPr>
        <w:spacing w:after="40" w:before="40"/>
      </w:pPr>
      <w:r>
        <w:rPr>
          <w:rFonts w:ascii="Arial" w:cs="Arial" w:eastAsia="Arial" w:hAnsi="Arial"/>
          <w:sz w:val="22"/>
          <w:szCs w:val="22"/>
        </w:rPr>
        <w:t xml:space="preserve">Loại 1: Doanh thu cần đạt 1.387.036.398 VND/năm để lãi ròng = 0 (hiện đang thấp hơn 38%)</w:t>
      </w:r>
    </w:p>
    <w:p>
      <w:pPr>
        <w:pStyle w:val="ListParagraph"/>
        <w:numPr>
          <w:ilvl w:val="0"/>
          <w:numId w:val="2"/>
        </w:numPr>
        <w:spacing w:after="40" w:before="40"/>
      </w:pPr>
      <w:r>
        <w:rPr>
          <w:rFonts w:ascii="Arial" w:cs="Arial" w:eastAsia="Arial" w:hAnsi="Arial"/>
          <w:sz w:val="22"/>
          <w:szCs w:val="22"/>
        </w:rPr>
        <w:t xml:space="preserve">Loại 2: Doanh thu cần đạt 1.188.721.395 VND/năm (hiện thấp hơn 18,4%)</w:t>
      </w:r>
    </w:p>
    <w:p>
      <w:pPr>
        <w:pStyle w:val="ListParagraph"/>
        <w:numPr>
          <w:ilvl w:val="0"/>
          <w:numId w:val="2"/>
        </w:numPr>
        <w:spacing w:after="40" w:before="40"/>
      </w:pPr>
      <w:r>
        <w:rPr>
          <w:rFonts w:ascii="Arial" w:cs="Arial" w:eastAsia="Arial" w:hAnsi="Arial"/>
          <w:sz w:val="22"/>
          <w:szCs w:val="22"/>
        </w:rPr>
        <w:t xml:space="preserve">Hai hướng cải thiện: (1) Tăng doanh thu bằng cách ký thêm gói thầu; (2) Tăng chi phí được khấu trừ hợp lệ</w:t>
      </w:r>
    </w:p>
    <w:p>
      <w:pPr>
        <w:spacing w:after="60" w:before="6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F3864"/>
          <w:sz w:val="30"/>
          <w:szCs w:val="30"/>
        </w:rPr>
        <w:t xml:space="preserve">VII. HƯỚNG DẪN SỬ DỤNG TOÀN BỘ MÔ HÌNH</w:t>
      </w:r>
    </w:p>
    <w:p>
      <w:pPr>
        <w:pStyle w:val="Heading2"/>
        <w:spacing w:after="120" w:before="240"/>
      </w:pPr>
      <w:r>
        <w:rPr>
          <w:rFonts w:ascii="Arial" w:cs="Arial" w:eastAsia="Arial" w:hAnsi="Arial"/>
          <w:b/>
          <w:bCs/>
          <w:color w:val="2E75B6"/>
          <w:sz w:val="26"/>
          <w:szCs w:val="26"/>
        </w:rPr>
        <w:t xml:space="preserve">7.1  Trình tự thao tác chuẩn</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800"/>
        <w:gridCol w:w="2656"/>
      </w:tblGrid>
      <w:tr>
        <w:trPr>
          <w:tblHeader/>
        </w:trPr>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Bước</w:t>
            </w:r>
          </w:p>
        </w:tc>
        <w:tc>
          <w:tcPr>
            <w:tcW w:type="dxa" w:w="3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Thao tác</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Sheet</w:t>
            </w:r>
          </w:p>
        </w:tc>
        <w:tc>
          <w:tcPr>
            <w:tcW w:type="dxa" w:w="26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Thời gian ước tính</w:t>
            </w:r>
          </w:p>
        </w:tc>
      </w:tr>
      <w:tr>
        <w:tc>
          <w:tcPr>
            <w:tcW w:type="dxa" w:w="7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3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Nhập giá trị gói XL và cấp công trình</w:t>
            </w:r>
          </w:p>
        </w:tc>
        <w:tc>
          <w:tcPr>
            <w:tcW w:type="dxa" w:w="2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Ty_le_chi_phi (B7, B8, B9)</w:t>
            </w:r>
          </w:p>
        </w:tc>
        <w:tc>
          <w:tcPr>
            <w:tcW w:type="dxa" w:w="26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phút</w:t>
            </w:r>
          </w:p>
        </w:tc>
      </w:tr>
      <w:tr>
        <w:tc>
          <w:tcPr>
            <w:tcW w:type="dxa" w:w="7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Kiểm tra tỷ lệ phí đã nội suy đúng chưa</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Ty_le_chi_phi – Phần II</w:t>
            </w:r>
          </w:p>
        </w:tc>
        <w:tc>
          <w:tcPr>
            <w:tcW w:type="dxa" w:w="26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phút</w:t>
            </w:r>
          </w:p>
        </w:tc>
      </w:tr>
      <w:tr>
        <w:tc>
          <w:tcPr>
            <w:tcW w:type="dxa" w:w="7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3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Nhập các giả thiết vận hành (lương, CP cố định, cắt lại)</w:t>
            </w:r>
          </w:p>
        </w:tc>
        <w:tc>
          <w:tcPr>
            <w:tcW w:type="dxa" w:w="2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 – ô màu vàng</w:t>
            </w:r>
          </w:p>
        </w:tc>
        <w:tc>
          <w:tcPr>
            <w:tcW w:type="dxa" w:w="26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phút</w:t>
            </w:r>
          </w:p>
        </w:tc>
      </w:tr>
      <w:tr>
        <w:tc>
          <w:tcPr>
            <w:tcW w:type="dxa" w:w="7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Kiểm tra ràng buộc lương kỹ thuật L2</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 – phần KIỂM TRA</w:t>
            </w:r>
          </w:p>
        </w:tc>
        <w:tc>
          <w:tcPr>
            <w:tcW w:type="dxa" w:w="26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phút</w:t>
            </w:r>
          </w:p>
        </w:tc>
      </w:tr>
      <w:tr>
        <w:tc>
          <w:tcPr>
            <w:tcW w:type="dxa" w:w="7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3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Đọc kết quả so sánh, xác định phương án hợp đồng</w:t>
            </w:r>
          </w:p>
        </w:tc>
        <w:tc>
          <w:tcPr>
            <w:tcW w:type="dxa" w:w="2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So_sanh</w:t>
            </w:r>
          </w:p>
        </w:tc>
        <w:tc>
          <w:tcPr>
            <w:tcW w:type="dxa" w:w="26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phút</w:t>
            </w:r>
          </w:p>
        </w:tc>
      </w:tr>
      <w:tr>
        <w:tc>
          <w:tcPr>
            <w:tcW w:type="dxa" w:w="7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Nhập lãi ròng mục tiêu</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Phuong_an_toi_uu – B31</w:t>
            </w:r>
          </w:p>
        </w:tc>
        <w:tc>
          <w:tcPr>
            <w:tcW w:type="dxa" w:w="26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phút</w:t>
            </w:r>
          </w:p>
        </w:tc>
      </w:tr>
      <w:tr>
        <w:tc>
          <w:tcPr>
            <w:tcW w:type="dxa" w:w="7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3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Điều chỉnh % phân bổ chi phí cho 6 hạng mục</w:t>
            </w:r>
          </w:p>
        </w:tc>
        <w:tc>
          <w:tcPr>
            <w:tcW w:type="dxa" w:w="2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Phuong_an_toi_uu – Phần IV</w:t>
            </w:r>
          </w:p>
        </w:tc>
        <w:tc>
          <w:tcPr>
            <w:tcW w:type="dxa" w:w="26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phút</w:t>
            </w:r>
          </w:p>
        </w:tc>
      </w:tr>
      <w:tr>
        <w:tc>
          <w:tcPr>
            <w:tcW w:type="dxa" w:w="7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Đọc kết quả trước/sau tối ưu, lập kế hoạch hồ sơ chứng từ</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Phuong_an_toi_uu – Phần V</w:t>
            </w:r>
          </w:p>
        </w:tc>
        <w:tc>
          <w:tcPr>
            <w:tcW w:type="dxa" w:w="26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phút</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7.2  Phân tích kịch bản</w:t>
      </w:r>
    </w:p>
    <w:p>
      <w:pPr>
        <w:spacing w:after="60" w:before="60"/>
      </w:pPr>
      <w:r>
        <w:rPr>
          <w:rFonts w:ascii="Arial" w:cs="Arial" w:eastAsia="Arial" w:hAnsi="Arial"/>
          <w:sz w:val="22"/>
          <w:szCs w:val="22"/>
        </w:rPr>
        <w:t xml:space="preserve">Mô hình hỗ trợ phân tích theo nhiều kịch bản chỉ bằng cách thay đổi ô màu vàng tại Dau_vao và Ty_le_chi_phi:</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656"/>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Kịch bản</w:t>
            </w:r>
          </w:p>
        </w:tc>
        <w:tc>
          <w:tcPr>
            <w:tcW w:type="dxa" w:w="1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Gói XL (tỷ)</w:t>
            </w:r>
          </w:p>
        </w:tc>
        <w:tc>
          <w:tcPr>
            <w:tcW w:type="dxa" w:w="1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Cắt lại L1</w:t>
            </w:r>
          </w:p>
        </w:tc>
        <w:tc>
          <w:tcPr>
            <w:tcW w:type="dxa" w:w="1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Cắt lại L2</w:t>
            </w:r>
          </w:p>
        </w:tc>
        <w:tc>
          <w:tcPr>
            <w:tcW w:type="dxa" w:w="1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Mục tiêu lãi ròng</w:t>
            </w:r>
          </w:p>
        </w:tc>
        <w:tc>
          <w:tcPr>
            <w:tcW w:type="dxa" w:w="16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Ô cần thay đổi</w:t>
            </w:r>
          </w:p>
        </w:tc>
      </w:tr>
      <w:tr>
        <w:tc>
          <w:tcPr>
            <w:tcW w:type="dxa" w:w="2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Cơ sở (mặc định)</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tỷ</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55%</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triệu/năm</w:t>
            </w:r>
          </w:p>
        </w:tc>
        <w:tc>
          <w:tcPr>
            <w:tcW w:type="dxa" w:w="16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Chỉ B31 (Phuong_an)</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Gói nhỏ hơn</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 tỷ</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55%</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triệu/năm</w:t>
            </w:r>
          </w:p>
        </w:tc>
        <w:tc>
          <w:tcPr>
            <w:tcW w:type="dxa" w:w="16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Ty_le!B7, Dau_vao!B1, B31</w:t>
            </w:r>
          </w:p>
        </w:tc>
      </w:tr>
      <w:tr>
        <w:tc>
          <w:tcPr>
            <w:tcW w:type="dxa" w:w="2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Đàm phán tốt hơn</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tỷ</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 triệu/năm</w:t>
            </w:r>
          </w:p>
        </w:tc>
        <w:tc>
          <w:tcPr>
            <w:tcW w:type="dxa" w:w="16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Dau_vao!B4, B5, B31</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Mở rộng nhân sự L2</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tỷ</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55%</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triệu/năm</w:t>
            </w:r>
          </w:p>
        </w:tc>
        <w:tc>
          <w:tcPr>
            <w:tcW w:type="dxa" w:w="16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Dau_vao!B9, B10</w:t>
            </w:r>
          </w:p>
        </w:tc>
      </w:tr>
      <w:tr>
        <w:tc>
          <w:tcPr>
            <w:tcW w:type="dxa" w:w="2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Gói lớn – 30 tỷ</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tỷ</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w:t>
            </w:r>
          </w:p>
        </w:tc>
        <w:tc>
          <w:tcPr>
            <w:tcW w:type="dxa" w:w="15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triệu/năm</w:t>
            </w:r>
          </w:p>
        </w:tc>
        <w:tc>
          <w:tcPr>
            <w:tcW w:type="dxa" w:w="16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Ty_le!B7, Dau_vao tất cả</w:t>
            </w:r>
          </w:p>
        </w:tc>
      </w:tr>
    </w:tbl>
    <w:p>
      <w:pPr>
        <w:spacing w:after="60" w:before="60"/>
      </w:pPr>
      <w:r>
        <w:rPr>
          <w:rFonts w:ascii="Arial" w:cs="Arial" w:eastAsia="Arial" w:hAnsi="Arial"/>
          <w:sz w:val="22"/>
          <w:szCs w:val="22"/>
        </w:rPr>
        <w:t xml:space="preserve"/>
      </w:r>
    </w:p>
    <w:p>
      <w:pPr>
        <w:spacing w:after="100" w:before="100"/>
        <w:ind w:left="360"/>
      </w:pPr>
      <w:r>
        <w:rPr>
          <w:rFonts w:ascii="Arial" w:cs="Arial" w:eastAsia="Arial" w:hAnsi="Arial"/>
          <w:i/>
          <w:iCs/>
          <w:color w:val="375623"/>
          <w:sz w:val="20"/>
          <w:szCs w:val="20"/>
        </w:rPr>
        <w:t xml:space="preserve">💡 Luôn lưu file thành bản mới (Ctrl+Shift+S) trước khi thay đổi kịch bản để giữ lại bản gốc tham chiếu.</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7.3  Những điều KHÔNG nên làm</w:t>
      </w:r>
    </w:p>
    <w:p>
      <w:pPr>
        <w:pStyle w:val="ListParagraph"/>
        <w:numPr>
          <w:ilvl w:val="0"/>
          <w:numId w:val="2"/>
        </w:numPr>
        <w:spacing w:after="40" w:before="40"/>
      </w:pPr>
      <w:r>
        <w:rPr>
          <w:rFonts w:ascii="Arial" w:cs="Arial" w:eastAsia="Arial" w:hAnsi="Arial"/>
          <w:sz w:val="22"/>
          <w:szCs w:val="22"/>
        </w:rPr>
        <w:t xml:space="preserve">Không sửa ô công thức (ô trắng/xám) – có thể phá vỡ liên kết giữa các sheet</w:t>
      </w:r>
    </w:p>
    <w:p>
      <w:pPr>
        <w:pStyle w:val="ListParagraph"/>
        <w:numPr>
          <w:ilvl w:val="0"/>
          <w:numId w:val="2"/>
        </w:numPr>
        <w:spacing w:after="40" w:before="40"/>
      </w:pPr>
      <w:r>
        <w:rPr>
          <w:rFonts w:ascii="Arial" w:cs="Arial" w:eastAsia="Arial" w:hAnsi="Arial"/>
          <w:sz w:val="22"/>
          <w:szCs w:val="22"/>
        </w:rPr>
        <w:t xml:space="preserve">Không xóa hoặc thêm dòng trong Tinh_toan, So_sanh – các tham chiếu hàng cột sẽ bị lệch</w:t>
      </w:r>
    </w:p>
    <w:p>
      <w:pPr>
        <w:pStyle w:val="ListParagraph"/>
        <w:numPr>
          <w:ilvl w:val="0"/>
          <w:numId w:val="2"/>
        </w:numPr>
        <w:spacing w:after="40" w:before="40"/>
      </w:pPr>
      <w:r>
        <w:rPr>
          <w:rFonts w:ascii="Arial" w:cs="Arial" w:eastAsia="Arial" w:hAnsi="Arial"/>
          <w:sz w:val="22"/>
          <w:szCs w:val="22"/>
        </w:rPr>
        <w:t xml:space="preserve">Không đổi tên sheet – các liên kết giữa sheet sử dụng tên sheet hiện tại</w:t>
      </w:r>
    </w:p>
    <w:p>
      <w:pPr>
        <w:pStyle w:val="ListParagraph"/>
        <w:numPr>
          <w:ilvl w:val="0"/>
          <w:numId w:val="2"/>
        </w:numPr>
        <w:spacing w:after="40" w:before="40"/>
      </w:pPr>
      <w:r>
        <w:rPr>
          <w:rFonts w:ascii="Arial" w:cs="Arial" w:eastAsia="Arial" w:hAnsi="Arial"/>
          <w:sz w:val="22"/>
          <w:szCs w:val="22"/>
        </w:rPr>
        <w:t xml:space="preserve">Không nhập giá trị âm cho tỷ lệ cắt lại CĐT hoặc lương</w:t>
      </w:r>
    </w:p>
    <w:p>
      <w:pPr>
        <w:pStyle w:val="ListParagraph"/>
        <w:numPr>
          <w:ilvl w:val="0"/>
          <w:numId w:val="2"/>
        </w:numPr>
        <w:spacing w:after="40" w:before="40"/>
      </w:pPr>
      <w:r>
        <w:rPr>
          <w:rFonts w:ascii="Arial" w:cs="Arial" w:eastAsia="Arial" w:hAnsi="Arial"/>
          <w:sz w:val="22"/>
          <w:szCs w:val="22"/>
        </w:rPr>
        <w:t xml:space="preserve">Không để tổng % phân bổ ở Phuong_an_toi_uu khác 100%</w:t>
      </w:r>
    </w:p>
    <w:p>
      <w:pPr>
        <w:spacing w:after="60" w:before="6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F3864"/>
          <w:sz w:val="30"/>
          <w:szCs w:val="30"/>
        </w:rPr>
        <w:t xml:space="preserve">VIII. CĂN CỨ PHÁP LÝ &amp; LƯU Ý TUÂN THỦ</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56"/>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 định</w:t>
            </w:r>
          </w:p>
        </w:tc>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w:t>
            </w:r>
          </w:p>
        </w:tc>
        <w:tc>
          <w:tcPr>
            <w:tcW w:type="dxa" w:w="36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Căn cứ pháp lý</w:t>
            </w:r>
          </w:p>
        </w:tc>
      </w:tr>
      <w:tr>
        <w:tc>
          <w:tcPr>
            <w:tcW w:type="dxa" w:w="24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Hóa đơn VAT</w:t>
            </w:r>
          </w:p>
        </w:tc>
        <w:tc>
          <w:tcPr>
            <w:tcW w:type="dxa" w:w="36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Tất cả chi phí hợp thức hóa phải có hóa đơn VAT hợp lệ</w:t>
            </w:r>
          </w:p>
        </w:tc>
        <w:tc>
          <w:tcPr>
            <w:tcW w:type="dxa" w:w="36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Điều 15 TT 219/2013/TT-BTC</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Thanh toán chuyển khoản</w:t>
            </w:r>
          </w:p>
        </w:tc>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Khoản chi từ 20 triệu VND trở lên bắt buộc chuyển khoản</w:t>
            </w:r>
          </w:p>
        </w:tc>
        <w:tc>
          <w:tcPr>
            <w:tcW w:type="dxa" w:w="36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Điều 15 TT 219/2013/TT-BTC</w:t>
            </w:r>
          </w:p>
        </w:tc>
      </w:tr>
      <w:tr>
        <w:tc>
          <w:tcPr>
            <w:tcW w:type="dxa" w:w="24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đào tạo</w:t>
            </w:r>
          </w:p>
        </w:tc>
        <w:tc>
          <w:tcPr>
            <w:tcW w:type="dxa" w:w="36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Cần kế hoạch đào tạo, HĐ với cơ sở đào tạo, danh sách học viên</w:t>
            </w:r>
          </w:p>
        </w:tc>
        <w:tc>
          <w:tcPr>
            <w:tcW w:type="dxa" w:w="36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Điều 4.2 TT 96/2015/TT-BTC</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CCDC &amp; thiết bị</w:t>
            </w:r>
          </w:p>
        </w:tc>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30 triệu: ghi thẳng chi phí. ≥ 30 triệu: phân bổ khấu hao</w:t>
            </w:r>
          </w:p>
        </w:tc>
        <w:tc>
          <w:tcPr>
            <w:tcW w:type="dxa" w:w="36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TT 45/2013/TT-BTC</w:t>
            </w:r>
          </w:p>
        </w:tc>
      </w:tr>
      <w:tr>
        <w:tc>
          <w:tcPr>
            <w:tcW w:type="dxa" w:w="24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Thuê CTV / chuyên gia</w:t>
            </w:r>
          </w:p>
        </w:tc>
        <w:tc>
          <w:tcPr>
            <w:tcW w:type="dxa" w:w="36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Khấu trừ thuế TNCN 10% tại nguồn nếu thu nhập ≥ 2 triệu/lần</w:t>
            </w:r>
          </w:p>
        </w:tc>
        <w:tc>
          <w:tcPr>
            <w:tcW w:type="dxa" w:w="36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Điều 25 TT 111/2013</w:t>
            </w:r>
          </w:p>
        </w:tc>
      </w:tr>
      <w:tr>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marketing</w:t>
            </w:r>
          </w:p>
        </w:tc>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Tối đa 15% tổng chi phí được trừ trong năm tài chính</w:t>
            </w:r>
          </w:p>
        </w:tc>
        <w:tc>
          <w:tcPr>
            <w:tcW w:type="dxa" w:w="36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Khoản 21 Điều 4 TT 96/2015</w:t>
            </w:r>
          </w:p>
        </w:tc>
      </w:tr>
      <w:tr>
        <w:tc>
          <w:tcPr>
            <w:tcW w:type="dxa" w:w="24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Phí QLDA &amp; giám sát</w:t>
            </w:r>
          </w:p>
        </w:tc>
        <w:tc>
          <w:tcPr>
            <w:tcW w:type="dxa" w:w="36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nội suy theo Phụ lục VIII TT 12/2021/TT-BXD</w:t>
            </w:r>
          </w:p>
        </w:tc>
        <w:tc>
          <w:tcPr>
            <w:tcW w:type="dxa" w:w="36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TT 12/2021/TT-BXD</w:t>
            </w:r>
          </w:p>
        </w:tc>
      </w:tr>
    </w:tbl>
    <w:p>
      <w:pPr>
        <w:spacing w:after="60" w:before="60"/>
      </w:pPr>
      <w:r>
        <w:rPr>
          <w:rFonts w:ascii="Arial" w:cs="Arial" w:eastAsia="Arial" w:hAnsi="Arial"/>
          <w:sz w:val="22"/>
          <w:szCs w:val="22"/>
        </w:rPr>
        <w:t xml:space="preserve"/>
      </w:r>
    </w:p>
    <w:p>
      <w:pPr>
        <w:spacing w:after="100" w:before="100"/>
        <w:ind w:left="360"/>
      </w:pPr>
      <w:r>
        <w:rPr>
          <w:rFonts w:ascii="Arial" w:cs="Arial" w:eastAsia="Arial" w:hAnsi="Arial"/>
          <w:i/>
          <w:iCs/>
          <w:color w:val="C00000"/>
          <w:sz w:val="20"/>
          <w:szCs w:val="20"/>
        </w:rPr>
        <w:t xml:space="preserve">⚠  Mô hình này mang tính tham khảo nội bộ và hỗ trợ ra quyết định. Cần tư vấn kế toán và chuyên gia thuế trước khi triển khai bất kỳ phương án hợp thức hóa chi phí nào.</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8.1  Lưu ý đặc biệt về khoản 'cắt lại CĐT'</w:t>
      </w:r>
    </w:p>
    <w:p>
      <w:pPr>
        <w:pStyle w:val="ListParagraph"/>
        <w:numPr>
          <w:ilvl w:val="0"/>
          <w:numId w:val="2"/>
        </w:numPr>
        <w:spacing w:after="40" w:before="40"/>
      </w:pPr>
      <w:r>
        <w:rPr>
          <w:rFonts w:ascii="Arial" w:cs="Arial" w:eastAsia="Arial" w:hAnsi="Arial"/>
          <w:sz w:val="22"/>
          <w:szCs w:val="22"/>
        </w:rPr>
        <w:t xml:space="preserve">Khoản cắt lại CĐT là thỏa thuận thực tế phổ biến trong ngành tư vấn xây dựng Việt Nam</w:t>
      </w:r>
    </w:p>
    <w:p>
      <w:pPr>
        <w:pStyle w:val="ListParagraph"/>
        <w:numPr>
          <w:ilvl w:val="0"/>
          <w:numId w:val="2"/>
        </w:numPr>
        <w:spacing w:after="40" w:before="40"/>
      </w:pPr>
      <w:r>
        <w:rPr>
          <w:rFonts w:ascii="Arial" w:cs="Arial" w:eastAsia="Arial" w:hAnsi="Arial"/>
          <w:sz w:val="22"/>
          <w:szCs w:val="22"/>
        </w:rPr>
        <w:t xml:space="preserve">Về pháp lý: không có hóa đơn/chứng từ hợp lệ → không được khấu trừ thuế TNDN</w:t>
      </w:r>
    </w:p>
    <w:p>
      <w:pPr>
        <w:pStyle w:val="ListParagraph"/>
        <w:numPr>
          <w:ilvl w:val="0"/>
          <w:numId w:val="2"/>
        </w:numPr>
        <w:spacing w:after="40" w:before="40"/>
      </w:pPr>
      <w:r>
        <w:rPr>
          <w:rFonts w:ascii="Arial" w:cs="Arial" w:eastAsia="Arial" w:hAnsi="Arial"/>
          <w:sz w:val="22"/>
          <w:szCs w:val="22"/>
        </w:rPr>
        <w:t xml:space="preserve">Về thuế: toàn bộ doanh thu vẫn phải kê khai và nộp thuế đầy đủ</w:t>
      </w:r>
    </w:p>
    <w:p>
      <w:pPr>
        <w:pStyle w:val="ListParagraph"/>
        <w:numPr>
          <w:ilvl w:val="0"/>
          <w:numId w:val="2"/>
        </w:numPr>
        <w:spacing w:after="40" w:before="40"/>
      </w:pPr>
      <w:r>
        <w:rPr>
          <w:rFonts w:ascii="Arial" w:cs="Arial" w:eastAsia="Arial" w:hAnsi="Arial"/>
          <w:sz w:val="22"/>
          <w:szCs w:val="22"/>
        </w:rPr>
        <w:t xml:space="preserve">Đây là nguyên nhân gốc rễ khiến lãi ròng âm dù doanh thu không nhỏ</w:t>
      </w:r>
    </w:p>
    <w:p>
      <w:pPr>
        <w:spacing w:after="60" w:before="60"/>
      </w:pPr>
      <w:r>
        <w:rPr>
          <w:rFonts w:ascii="Arial" w:cs="Arial" w:eastAsia="Arial" w:hAnsi="Arial"/>
          <w:sz w:val="22"/>
          <w:szCs w:val="22"/>
        </w:rPr>
        <w:t xml:space="preserve"/>
      </w:r>
    </w:p>
    <w:p>
      <w:r>
        <w:br w:type="page"/>
      </w:r>
    </w:p>
    <w:p>
      <w:pPr>
        <w:pStyle w:val="Heading1"/>
        <w:spacing w:after="160" w:before="360"/>
      </w:pPr>
      <w:r>
        <w:rPr>
          <w:rFonts w:ascii="Arial" w:cs="Arial" w:eastAsia="Arial" w:hAnsi="Arial"/>
          <w:b/>
          <w:bCs/>
          <w:color w:val="1F3864"/>
          <w:sz w:val="30"/>
          <w:szCs w:val="30"/>
        </w:rPr>
        <w:t xml:space="preserve">IX. CÂU HỎI THƯỜNG GẶP (FAQ)</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00"/>
        <w:gridCol w:w="5956"/>
      </w:tblGrid>
      <w:tr>
        <w:trPr>
          <w:tblHeader/>
        </w:trPr>
        <w:tc>
          <w:tcPr>
            <w:tcW w:type="dxa" w:w="3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Câu hỏi</w:t>
            </w:r>
          </w:p>
        </w:tc>
        <w:tc>
          <w:tcPr>
            <w:tcW w:type="dxa" w:w="59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Trả lời</w:t>
            </w:r>
          </w:p>
        </w:tc>
      </w:tr>
      <w:tr>
        <w:tc>
          <w:tcPr>
            <w:tcW w:type="dxa" w:w="37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Lãi ròng âm có phải mô hình sai không?</w:t>
            </w:r>
          </w:p>
        </w:tc>
        <w:tc>
          <w:tcPr>
            <w:tcW w:type="dxa" w:w="59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Không. Lãi ròng âm phản ánh đúng thực tế khi phần cắt lại CĐT (40–55% DT) không được khấu trừ thuế, khiến thu nhập chịu thuế cao vượt dòng tiền thực nhận.</w:t>
            </w:r>
          </w:p>
        </w:tc>
      </w:tr>
      <w:tr>
        <w:tc>
          <w:tcPr>
            <w:tcW w:type="dxa" w:w="37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phí từ Ty_le_chi_phi có tự động cập nhật Dau_vao không?</w:t>
            </w:r>
          </w:p>
        </w:tc>
        <w:tc>
          <w:tcPr>
            <w:tcW w:type="dxa" w:w="59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Có. Các ô tỷ lệ phí tư vấn tại Dau_vao liên kết trực tiếp từ Ty_le_chi_phi. Thay đổi gói XL hoặc cấp công trình sẽ tự động cập nhật.</w:t>
            </w:r>
          </w:p>
        </w:tc>
      </w:tr>
      <w:tr>
        <w:tc>
          <w:tcPr>
            <w:tcW w:type="dxa" w:w="37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Nếu muốn nhập tỷ lệ phí thủ công thì làm thế nào?</w:t>
            </w:r>
          </w:p>
        </w:tc>
        <w:tc>
          <w:tcPr>
            <w:tcW w:type="dxa" w:w="59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Xóa liên kết tại Dau_vao!B2–B3 và nhập trực tiếp giá trị % mong muốn. Nên sao lưu file trước khi làm.</w:t>
            </w:r>
          </w:p>
        </w:tc>
      </w:tr>
      <w:tr>
        <w:tc>
          <w:tcPr>
            <w:tcW w:type="dxa" w:w="37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Tại sao Loại 2 có lãi ròng âm nhiều hơn Loại 1?</w:t>
            </w:r>
          </w:p>
        </w:tc>
        <w:tc>
          <w:tcPr>
            <w:tcW w:type="dxa" w:w="59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Vì Loại 2 có thêm chi phí lương kỹ thuật trực tiếp (~180 triệu/năm) và bảo hiểm liên quan, nhưng khoản cắt lại CĐT chỉ giảm từ 55% xuống 40%, chưa đủ bù đắp.</w:t>
            </w:r>
          </w:p>
        </w:tc>
      </w:tr>
      <w:tr>
        <w:tc>
          <w:tcPr>
            <w:tcW w:type="dxa" w:w="37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Ô màu vàng là gì?</w:t>
            </w:r>
          </w:p>
        </w:tc>
        <w:tc>
          <w:tcPr>
            <w:tcW w:type="dxa" w:w="59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Là ô đầu vào có thể chỉnh sửa – ô màu xanh và đen là công thức, không nên sửa trực tiếp.</w:t>
            </w:r>
          </w:p>
        </w:tc>
      </w:tr>
      <w:tr>
        <w:tc>
          <w:tcPr>
            <w:tcW w:type="dxa" w:w="37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Có thể dùng mô hình cho nhiều dự án không?</w:t>
            </w:r>
          </w:p>
        </w:tc>
        <w:tc>
          <w:tcPr>
            <w:tcW w:type="dxa" w:w="59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Có. Lưu file thành bản mới, chỉ thay đổi các ô màu vàng tại Dau_vao và Ty_le_chi_phi, toàn bộ mô hình tự tính lại.</w:t>
            </w:r>
          </w:p>
        </w:tc>
      </w:tr>
    </w:tbl>
    <w:p>
      <w:pPr>
        <w:spacing w:after="60" w:before="60"/>
      </w:pPr>
      <w:r>
        <w:rPr>
          <w:rFonts w:ascii="Arial" w:cs="Arial" w:eastAsia="Arial" w:hAnsi="Arial"/>
          <w:sz w:val="22"/>
          <w:szCs w:val="22"/>
        </w:rPr>
        <w:t xml:space="preserve"/>
      </w:r>
    </w:p>
    <w:p>
      <w:pPr>
        <w:pStyle w:val="Heading1"/>
        <w:spacing w:after="160" w:before="360"/>
      </w:pPr>
      <w:r>
        <w:rPr>
          <w:rFonts w:ascii="Arial" w:cs="Arial" w:eastAsia="Arial" w:hAnsi="Arial"/>
          <w:b/>
          <w:bCs/>
          <w:color w:val="1F3864"/>
          <w:sz w:val="30"/>
          <w:szCs w:val="30"/>
        </w:rPr>
        <w:t xml:space="preserve">X. TỔNG HỢP TẤT CẢ Ô ĐẦU VÀO (MÀU VÀNG)</w:t>
      </w:r>
    </w:p>
    <w:p>
      <w:pPr>
        <w:spacing w:after="60" w:before="6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856"/>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Sheet</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Ô / Vùng</w:t>
            </w:r>
          </w:p>
        </w:tc>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w:t>
            </w:r>
          </w:p>
        </w:tc>
        <w:tc>
          <w:tcPr>
            <w:tcW w:type="dxa" w:w="285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Ràng buộc</w:t>
            </w:r>
          </w:p>
        </w:tc>
      </w:tr>
      <w:tr>
        <w:tc>
          <w:tcPr>
            <w:tcW w:type="dxa" w:w="2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Ty_le_chi_phi</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B7</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Giá trị gói xây lắp chưa VAT</w:t>
            </w:r>
          </w:p>
        </w:tc>
        <w:tc>
          <w:tcPr>
            <w:tcW w:type="dxa" w:w="28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0, đơn vị VND</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Ty_le_chi_phi</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B8</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thiết bị (nếu có)</w:t>
            </w:r>
          </w:p>
        </w:tc>
        <w:tc>
          <w:tcPr>
            <w:tcW w:type="dxa" w:w="28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0, để 0 nếu không có</w:t>
            </w:r>
          </w:p>
        </w:tc>
      </w:tr>
      <w:tr>
        <w:tc>
          <w:tcPr>
            <w:tcW w:type="dxa" w:w="2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Ty_le_chi_phi</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B9</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Cấp công trình dân dụng</w:t>
            </w:r>
          </w:p>
        </w:tc>
        <w:tc>
          <w:tcPr>
            <w:tcW w:type="dxa" w:w="28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Nhập đúng cú pháp 1 trong 5 cấp</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Giá trị xây lắp/năm (VND)</w:t>
            </w:r>
          </w:p>
        </w:tc>
        <w:tc>
          <w:tcPr>
            <w:tcW w:type="dxa" w:w="28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0</w:t>
            </w:r>
          </w:p>
        </w:tc>
      </w:tr>
      <w:tr>
        <w:tc>
          <w:tcPr>
            <w:tcW w:type="dxa" w:w="2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B2</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phí giám sát</w:t>
            </w:r>
          </w:p>
        </w:tc>
        <w:tc>
          <w:tcPr>
            <w:tcW w:type="dxa" w:w="28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&lt; x &lt; 1, mặc định liên kết Ty_le</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B3</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phí thiết kế</w:t>
            </w:r>
          </w:p>
        </w:tc>
        <w:tc>
          <w:tcPr>
            <w:tcW w:type="dxa" w:w="28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&lt; x &lt; 1, mặc định liên kết Ty_le</w:t>
            </w:r>
          </w:p>
        </w:tc>
      </w:tr>
      <w:tr>
        <w:tc>
          <w:tcPr>
            <w:tcW w:type="dxa" w:w="2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B4</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cắt lại CĐT – Loại 1</w:t>
            </w:r>
          </w:p>
        </w:tc>
        <w:tc>
          <w:tcPr>
            <w:tcW w:type="dxa" w:w="28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&lt; x &lt; 1, thường 0.4–0.6</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B5</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cắt lại CĐT – Loại 2</w:t>
            </w:r>
          </w:p>
        </w:tc>
        <w:tc>
          <w:tcPr>
            <w:tcW w:type="dxa" w:w="28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&lt; x &lt; 1, thường 0.35–0.5</w:t>
            </w:r>
          </w:p>
        </w:tc>
      </w:tr>
      <w:tr>
        <w:tc>
          <w:tcPr>
            <w:tcW w:type="dxa" w:w="2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B6</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Thuế TNDN</w:t>
            </w:r>
          </w:p>
        </w:tc>
        <w:tc>
          <w:tcPr>
            <w:tcW w:type="dxa" w:w="28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Thường 0.17 hoặc 0.20</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B7</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CP cố định khấu trừ thuế</w:t>
            </w:r>
          </w:p>
        </w:tc>
        <w:tc>
          <w:tcPr>
            <w:tcW w:type="dxa" w:w="28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 thường 0.9</w:t>
            </w:r>
          </w:p>
        </w:tc>
      </w:tr>
      <w:tr>
        <w:tc>
          <w:tcPr>
            <w:tcW w:type="dxa" w:w="2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B8</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Lương giám đốc/tháng (VND)</w:t>
            </w:r>
          </w:p>
        </w:tc>
        <w:tc>
          <w:tcPr>
            <w:tcW w:type="dxa" w:w="28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0</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B9</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Số kỹ thuật trực tiếp (Loại 2)</w:t>
            </w:r>
          </w:p>
        </w:tc>
        <w:tc>
          <w:tcPr>
            <w:tcW w:type="dxa" w:w="28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Số nguyên ≥ 0</w:t>
            </w:r>
          </w:p>
        </w:tc>
      </w:tr>
      <w:tr>
        <w:tc>
          <w:tcPr>
            <w:tcW w:type="dxa" w:w="2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B10</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Lương kỹ thuật trực tiếp/tháng</w:t>
            </w:r>
          </w:p>
        </w:tc>
        <w:tc>
          <w:tcPr>
            <w:tcW w:type="dxa" w:w="28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0</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B11–B14</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Lương KT, văn phòng, đi lại, khác</w:t>
            </w:r>
          </w:p>
        </w:tc>
        <w:tc>
          <w:tcPr>
            <w:tcW w:type="dxa" w:w="28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0 mỗi khoản</w:t>
            </w:r>
          </w:p>
        </w:tc>
      </w:tr>
      <w:tr>
        <w:tc>
          <w:tcPr>
            <w:tcW w:type="dxa" w:w="2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B15</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bảo hiểm DN đóng (LĐ TT)</w:t>
            </w:r>
          </w:p>
        </w:tc>
        <w:tc>
          <w:tcPr>
            <w:tcW w:type="dxa" w:w="28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Theo quy định (hiện 21.5%)</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B21</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VAT đầu ra</w:t>
            </w:r>
          </w:p>
        </w:tc>
        <w:tc>
          <w:tcPr>
            <w:tcW w:type="dxa" w:w="28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0.08 hoặc 0.10</w:t>
            </w:r>
          </w:p>
        </w:tc>
      </w:tr>
      <w:tr>
        <w:tc>
          <w:tcPr>
            <w:tcW w:type="dxa" w:w="2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Dau_vao</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B34</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phí ký hồ sơ – Loại 2 (% DT)</w:t>
            </w:r>
          </w:p>
        </w:tc>
        <w:tc>
          <w:tcPr>
            <w:tcW w:type="dxa" w:w="28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0–0.1, thường 0.02</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Phuong_an</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B31</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Lãi ròng mục tiêu/năm (VND)</w:t>
            </w:r>
          </w:p>
        </w:tc>
        <w:tc>
          <w:tcPr>
            <w:tcW w:type="dxa" w:w="28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0, thực tế &lt; DT</w:t>
            </w:r>
          </w:p>
        </w:tc>
      </w:tr>
      <w:tr>
        <w:tc>
          <w:tcPr>
            <w:tcW w:type="dxa" w:w="2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Phuong_an</w:t>
            </w:r>
          </w:p>
        </w:tc>
        <w:tc>
          <w:tcPr>
            <w:tcW w:type="dxa" w:w="18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phân bổ L1 (6 ô)</w:t>
            </w:r>
          </w:p>
        </w:tc>
        <w:tc>
          <w:tcPr>
            <w:tcW w:type="dxa" w:w="30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phân bổ 6 hạng mục CP (Loại 1)</w:t>
            </w:r>
          </w:p>
        </w:tc>
        <w:tc>
          <w:tcPr>
            <w:tcW w:type="dxa" w:w="2856"/>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Tổng phải đúng = 100%</w:t>
            </w:r>
          </w:p>
        </w:tc>
      </w:tr>
      <w:tr>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Phuong_an</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phân bổ L2 (6 ô)</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Tỷ lệ phân bổ 6 hạng mục CP (Loại 2)</w:t>
            </w:r>
          </w:p>
        </w:tc>
        <w:tc>
          <w:tcPr>
            <w:tcW w:type="dxa" w:w="2856"/>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Tổng phải đúng = 100%</w:t>
            </w:r>
          </w:p>
        </w:tc>
      </w:tr>
    </w:tbl>
    <w:p>
      <w:pPr>
        <w:spacing w:after="60" w:before="60"/>
      </w:pPr>
      <w:r>
        <w:rPr>
          <w:rFonts w:ascii="Arial" w:cs="Arial" w:eastAsia="Arial" w:hAnsi="Arial"/>
          <w:sz w:val="22"/>
          <w:szCs w:val="22"/>
        </w:rPr>
        <w:t xml:space="preserve"/>
      </w:r>
    </w:p>
    <w:p>
      <w:pPr>
        <w:pBdr>
          <w:top w:val="single" w:color="1F3864" w:sz="8" w:space="4"/>
          <w:bottom w:val="single" w:color="1F3864" w:sz="8" w:space="4"/>
        </w:pBdr>
        <w:spacing w:after="80" w:before="400"/>
      </w:pPr>
      <w:r>
        <w:rPr>
          <w:rFonts w:ascii="Arial" w:cs="Arial" w:eastAsia="Arial" w:hAnsi="Arial"/>
          <w:i/>
          <w:iCs/>
          <w:color w:val="595959"/>
          <w:sz w:val="18"/>
          <w:szCs w:val="18"/>
        </w:rPr>
        <w:t xml:space="preserve">Tài liệu này phản ánh cấu trúc và nội dung của file mo_hinh_tai_chinh_namthanglong_tinhtoanfinal.xlsx tính đến thời điểm biên soạn. Mọi thay đổi cấu trúc file cần được cập nhật lại thuyết minh này. Liên hệ nhóm dự án để được hỗ trợ.</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jc w:val="center"/>
    </w:pPr>
    <w:r>
      <w:rPr>
        <w:rFonts w:ascii="Arial" w:cs="Arial" w:eastAsia="Arial" w:hAnsi="Arial"/>
        <w:color w:val="595959"/>
        <w:sz w:val="18"/>
        <w:szCs w:val="18"/>
      </w:rPr>
      <w:t xml:space="preserve">Trang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Tài liệu nội bộ – Không phát hành bên ngoài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8" w:space="1"/>
      </w:pBdr>
      <w:spacing w:after="60"/>
    </w:pPr>
    <w:r>
      <w:rPr>
        <w:rFonts w:ascii="Arial" w:cs="Arial" w:eastAsia="Arial" w:hAnsi="Arial"/>
        <w:b/>
        <w:bCs/>
        <w:color w:val="1F3864"/>
        <w:sz w:val="18"/>
        <w:szCs w:val="18"/>
      </w:rPr>
      <w:t xml:space="preserve">MÔ HÌNH TÀI CHÍNH NAM THĂNG LONG  |  Thuyết minh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2026-06-28T06:54:04.839Z</dcterms:created>
  <dcterms:modified xsi:type="dcterms:W3CDTF">2026-06-28T06:54:04.853Z</dcterms:modified>
</cp:coreProperties>
</file>

<file path=docProps/custom.xml><?xml version="1.0" encoding="utf-8"?>
<Properties xmlns="http://schemas.openxmlformats.org/officeDocument/2006/custom-properties" xmlns:vt="http://schemas.openxmlformats.org/officeDocument/2006/docPropsVTypes"/>
</file>