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rPr>
          <w:rFonts w:ascii="Times New Roman" w:hAnsi="Times New Roman" w:eastAsia="Times New Roman" w:cs="Times New Roman"/>
          <w:i w:val="false"/>
          <w:b w:val="true"/>
          <w:u w:val="none"/>
          <w:strike w:val="false"/>
          <w:sz w:val="26"/>
          <w:szCs w:val="26"/>
          <w:color w:val="000000"/>
        </w:rPr>
        <w:t xml:space="preserve">METHODS &amp; RESULTS — REVISION GUIDE</w:t>
      </w:r>
    </w:p>
    <w:p>
      <w:pPr>
        <w:pStyle w:val="Normal"/>
      </w:pPr>
      <w:r>
        <w:rPr>
          <w:rFonts w:ascii="Times New Roman" w:hAnsi="Times New Roman" w:eastAsia="Times New Roman" w:cs="Times New Roman"/>
          <w:i w:val="true"/>
          <w:b w:val="false"/>
          <w:u w:val="none"/>
          <w:strike w:val="false"/>
          <w:sz w:val="20"/>
          <w:szCs w:val="20"/>
          <w:color w:val="555555"/>
        </w:rPr>
        <w:t xml:space="preserve">Legend:  </w:t>
      </w:r>
      <w:r>
        <w:rPr>
          <w:rFonts w:ascii="Times New Roman" w:hAnsi="Times New Roman" w:eastAsia="Times New Roman" w:cs="Times New Roman"/>
          <w:i w:val="false"/>
          <w:b w:val="true"/>
          <w:u w:val="none"/>
          <w:strike w:val="false"/>
          <w:sz w:val="22"/>
          <w:szCs w:val="22"/>
          <w:color w:val="000000"/>
          <w:shd w:val="clear" w:color="auto" w:fill="FFFF99"/>
        </w:rPr>
        <w:t xml:space="preserve">Bold + yellow  </w:t>
      </w:r>
      <w:r>
        <w:rPr>
          <w:rFonts w:ascii="Times New Roman" w:hAnsi="Times New Roman" w:eastAsia="Times New Roman" w:cs="Times New Roman"/>
          <w:i w:val="true"/>
          <w:b w:val="false"/>
          <w:u w:val="none"/>
          <w:strike w:val="false"/>
          <w:sz w:val="20"/>
          <w:szCs w:val="20"/>
          <w:color w:val="555555"/>
        </w:rPr>
        <w:t xml:space="preserve">= ADD this text     </w:t>
      </w:r>
      <w:r>
        <w:rPr>
          <w:rFonts w:ascii="Times New Roman" w:hAnsi="Times New Roman" w:eastAsia="Times New Roman" w:cs="Times New Roman"/>
          <w:i w:val="false"/>
          <w:b w:val="false"/>
          <w:u w:val="none"/>
          <w:strike w:val="true"/>
          <w:sz w:val="22"/>
          <w:szCs w:val="22"/>
          <w:color w:val="CC0000"/>
        </w:rPr>
        <w:t xml:space="preserve">Red strikethrough  </w:t>
      </w:r>
      <w:r>
        <w:rPr>
          <w:rFonts w:ascii="Times New Roman" w:hAnsi="Times New Roman" w:eastAsia="Times New Roman" w:cs="Times New Roman"/>
          <w:i w:val="true"/>
          <w:b w:val="false"/>
          <w:u w:val="none"/>
          <w:strike w:val="false"/>
          <w:sz w:val="20"/>
          <w:szCs w:val="20"/>
          <w:color w:val="555555"/>
        </w:rPr>
        <w:t xml:space="preserve">= DELETE this text     </w:t>
      </w:r>
      <w:r>
        <w:rPr>
          <w:rFonts w:ascii="Times New Roman" w:hAnsi="Times New Roman" w:eastAsia="Times New Roman" w:cs="Times New Roman"/>
          <w:i w:val="false"/>
          <w:b w:val="false"/>
          <w:u w:val="none"/>
          <w:strike w:val="false"/>
          <w:sz w:val="22"/>
          <w:szCs w:val="22"/>
          <w:color w:val="000000"/>
        </w:rPr>
        <w:t xml:space="preserve">Plain text  </w:t>
      </w:r>
      <w:r>
        <w:rPr>
          <w:rFonts w:ascii="Times New Roman" w:hAnsi="Times New Roman" w:eastAsia="Times New Roman" w:cs="Times New Roman"/>
          <w:i w:val="true"/>
          <w:b w:val="false"/>
          <w:u w:val="none"/>
          <w:strike w:val="false"/>
          <w:sz w:val="20"/>
          <w:szCs w:val="20"/>
          <w:color w:val="555555"/>
        </w:rPr>
        <w:t xml:space="preserve">= keep as-is</w:t>
      </w:r>
    </w:p>
    <w:p>
      <w:pPr>
        <w:pStyle w:val="Normal"/>
      </w:pPr>
      <w:r>
        <w:t xml:space="preserve"/>
      </w:r>
    </w:p>
    <w:p>
      <w:pPr>
        <w:pStyle w:val="Normal"/>
      </w:pPr>
      <w:r>
        <w:rPr>
          <w:rFonts w:ascii="Times New Roman" w:hAnsi="Times New Roman" w:eastAsia="Times New Roman" w:cs="Times New Roman"/>
          <w:i w:val="false"/>
          <w:b w:val="true"/>
          <w:u w:val="none"/>
          <w:strike w:val="false"/>
          <w:sz w:val="26"/>
          <w:szCs w:val="26"/>
          <w:color w:val="000000"/>
        </w:rPr>
        <w:t xml:space="preserve">OVERALL ASSESSMENT</w:t>
      </w:r>
    </w:p>
    <w:p>
      <w:pPr>
        <w:pStyle w:val="Normal"/>
      </w:pPr>
      <w:r>
        <w:rPr>
          <w:rFonts w:ascii="Times New Roman" w:hAnsi="Times New Roman" w:eastAsia="Times New Roman" w:cs="Times New Roman"/>
          <w:i w:val="true"/>
          <w:b w:val="false"/>
          <w:u w:val="none"/>
          <w:strike w:val="false"/>
          <w:sz w:val="20"/>
          <w:szCs w:val="20"/>
          <w:color w:val="555555"/>
        </w:rPr>
        <w:t xml:space="preserve">Your Methods and Results are in great shape. The joinpoint paragraph, enteric inflection point, </w:t>
      </w:r>
      <w:r>
        <w:rPr>
          <w:rFonts w:ascii="Times New Roman" w:hAnsi="Times New Roman" w:eastAsia="Times New Roman" w:cs="Times New Roman"/>
          <w:i w:val="true"/>
          <w:b w:val="false"/>
          <w:u w:val="none"/>
          <w:strike w:val="false"/>
          <w:sz w:val="20"/>
          <w:szCs w:val="20"/>
          <w:color w:val="555555"/>
        </w:rPr>
        <w:t xml:space="preserve">LRI/PCV7 finding, and NTD variability note are all already incorporated correctly. </w:t>
      </w:r>
      <w:r>
        <w:rPr>
          <w:rFonts w:ascii="Times New Roman" w:hAnsi="Times New Roman" w:eastAsia="Times New Roman" w:cs="Times New Roman"/>
          <w:i w:val="true"/>
          <w:b w:val="false"/>
          <w:u w:val="none"/>
          <w:strike w:val="false"/>
          <w:sz w:val="20"/>
          <w:szCs w:val="20"/>
          <w:color w:val="555555"/>
        </w:rPr>
        <w:t xml:space="preserve">Only 4 small fixes remain — see below.</w:t>
      </w:r>
    </w:p>
    <w:p>
      <w:pPr>
        <w:pStyle w:val="Normal"/>
      </w:pPr>
      <w:r>
        <w:t xml:space="preserve"/>
      </w:r>
    </w:p>
    <w:p>
      <w:pPr>
        <w:pStyle w:val="Normal"/>
      </w:pPr>
      <w:r>
        <w:rPr>
          <w:rFonts w:ascii="Times New Roman" w:hAnsi="Times New Roman" w:eastAsia="Times New Roman" w:cs="Times New Roman"/>
          <w:i w:val="false"/>
          <w:b w:val="true"/>
          <w:u w:val="none"/>
          <w:strike w:val="false"/>
          <w:sz w:val="26"/>
          <w:szCs w:val="26"/>
          <w:color w:val="000000"/>
        </w:rPr>
        <w:t xml:space="preserve">METHODS</w:t>
      </w:r>
    </w:p>
    <w:p>
      <w:pPr>
        <w:pStyle w:val="Normal"/>
      </w:pPr>
      <w:r>
        <w:t xml:space="preserve"/>
      </w:r>
    </w:p>
    <w:p>
      <w:pPr>
        <w:pStyle w:val="Normal"/>
      </w:pPr>
      <w:r>
        <w:rPr>
          <w:rFonts w:ascii="Times New Roman" w:hAnsi="Times New Roman" w:eastAsia="Times New Roman" w:cs="Times New Roman"/>
          <w:i w:val="false"/>
          <w:b w:val="true"/>
          <w:u w:val="none"/>
          <w:strike w:val="false"/>
          <w:sz w:val="22"/>
          <w:szCs w:val="22"/>
          <w:color w:val="1F4E79"/>
        </w:rPr>
        <w:t xml:space="preserve">FIX 1 of 2 — Remove 'also' (IRB sentence)</w:t>
      </w:r>
    </w:p>
    <w:p>
      <w:pPr>
        <w:pStyle w:val="Normal"/>
      </w:pPr>
      <w:r>
        <w:rPr>
          <w:rFonts w:ascii="Times New Roman" w:hAnsi="Times New Roman" w:eastAsia="Times New Roman" w:cs="Times New Roman"/>
          <w:i w:val="true"/>
          <w:b w:val="false"/>
          <w:u w:val="none"/>
          <w:strike w:val="false"/>
          <w:sz w:val="20"/>
          <w:szCs w:val="20"/>
          <w:color w:val="555555"/>
        </w:rPr>
        <w:t xml:space="preserve">Current sentence:</w:t>
      </w:r>
    </w:p>
    <w:p>
      <w:pPr>
        <w:pStyle w:val="Normal"/>
      </w:pPr>
      <w:r>
        <w:rPr>
          <w:rFonts w:ascii="Times New Roman" w:hAnsi="Times New Roman" w:eastAsia="Times New Roman" w:cs="Times New Roman"/>
          <w:i w:val="false"/>
          <w:b w:val="false"/>
          <w:u w:val="none"/>
          <w:strike w:val="false"/>
          <w:sz w:val="22"/>
          <w:szCs w:val="22"/>
          <w:color w:val="000000"/>
        </w:rPr>
        <w:t xml:space="preserve">Since the database is publicly available online, the data downloaded does not contain any personal information and does </w:t>
      </w:r>
      <w:r>
        <w:rPr>
          <w:rFonts w:ascii="Times New Roman" w:hAnsi="Times New Roman" w:eastAsia="Times New Roman" w:cs="Times New Roman"/>
          <w:i w:val="false"/>
          <w:b w:val="false"/>
          <w:u w:val="none"/>
          <w:strike w:val="true"/>
          <w:sz w:val="22"/>
          <w:szCs w:val="22"/>
          <w:color w:val="CC0000"/>
        </w:rPr>
        <w:t xml:space="preserve">not also</w:t>
      </w:r>
      <w:r>
        <w:rPr>
          <w:rFonts w:ascii="Times New Roman" w:hAnsi="Times New Roman" w:eastAsia="Times New Roman" w:cs="Times New Roman"/>
          <w:i w:val="false"/>
          <w:b w:val="false"/>
          <w:u w:val="none"/>
          <w:strike w:val="false"/>
          <w:sz w:val="22"/>
          <w:szCs w:val="22"/>
          <w:color w:val="000000"/>
        </w:rPr>
        <w:t xml:space="preserve"> require ethical IRB approval.</w:t>
      </w:r>
    </w:p>
    <w:p>
      <w:pPr>
        <w:pStyle w:val="Normal"/>
      </w:pPr>
      <w:r>
        <w:t xml:space="preserve"/>
      </w:r>
    </w:p>
    <w:p>
      <w:pPr>
        <w:pStyle w:val="Normal"/>
      </w:pPr>
      <w:r>
        <w:rPr>
          <w:rFonts w:ascii="Times New Roman" w:hAnsi="Times New Roman" w:eastAsia="Times New Roman" w:cs="Times New Roman"/>
          <w:i w:val="true"/>
          <w:b w:val="false"/>
          <w:u w:val="none"/>
          <w:strike w:val="false"/>
          <w:sz w:val="20"/>
          <w:szCs w:val="20"/>
          <w:color w:val="555555"/>
        </w:rPr>
        <w:t xml:space="preserve">Change to:</w:t>
      </w:r>
    </w:p>
    <w:p>
      <w:pPr>
        <w:pStyle w:val="Normal"/>
      </w:pPr>
      <w:r>
        <w:rPr>
          <w:rFonts w:ascii="Times New Roman" w:hAnsi="Times New Roman" w:eastAsia="Times New Roman" w:cs="Times New Roman"/>
          <w:i w:val="false"/>
          <w:b w:val="false"/>
          <w:u w:val="none"/>
          <w:strike w:val="false"/>
          <w:sz w:val="22"/>
          <w:szCs w:val="22"/>
          <w:color w:val="000000"/>
        </w:rPr>
        <w:t xml:space="preserve">Since the database is publicly available online, the data downloaded does not contain any personal information and does </w:t>
      </w:r>
      <w:r>
        <w:rPr>
          <w:rFonts w:ascii="Times New Roman" w:hAnsi="Times New Roman" w:eastAsia="Times New Roman" w:cs="Times New Roman"/>
          <w:i w:val="false"/>
          <w:b w:val="true"/>
          <w:u w:val="none"/>
          <w:strike w:val="false"/>
          <w:sz w:val="22"/>
          <w:szCs w:val="22"/>
          <w:color w:val="000000"/>
          <w:shd w:val="clear" w:color="auto" w:fill="FFFF99"/>
        </w:rPr>
        <w:t xml:space="preserve">not</w:t>
      </w:r>
      <w:r>
        <w:rPr>
          <w:rFonts w:ascii="Times New Roman" w:hAnsi="Times New Roman" w:eastAsia="Times New Roman" w:cs="Times New Roman"/>
          <w:i w:val="false"/>
          <w:b w:val="false"/>
          <w:u w:val="none"/>
          <w:strike w:val="false"/>
          <w:sz w:val="22"/>
          <w:szCs w:val="22"/>
          <w:color w:val="000000"/>
        </w:rPr>
        <w:t xml:space="preserve"> require ethical IRB approval.</w:t>
      </w:r>
    </w:p>
    <w:p>
      <w:pPr>
        <w:pStyle w:val="Normal"/>
      </w:pPr>
      <w:r>
        <w:t xml:space="preserve"/>
      </w:r>
    </w:p>
    <w:p>
      <w:pPr>
        <w:pStyle w:val="Normal"/>
      </w:pPr>
      <w:r>
        <w:rPr>
          <w:rFonts w:ascii="Times New Roman" w:hAnsi="Times New Roman" w:eastAsia="Times New Roman" w:cs="Times New Roman"/>
          <w:i w:val="false"/>
          <w:b w:val="true"/>
          <w:u w:val="none"/>
          <w:strike w:val="false"/>
          <w:sz w:val="22"/>
          <w:szCs w:val="22"/>
          <w:color w:val="1F4E79"/>
        </w:rPr>
        <w:t xml:space="preserve">FIX 2 of 2 — Joinpoint paragraph is already correct ✓</w:t>
      </w:r>
    </w:p>
    <w:p>
      <w:pPr>
        <w:pStyle w:val="Normal"/>
      </w:pPr>
      <w:r>
        <w:rPr>
          <w:rFonts w:ascii="Times New Roman" w:hAnsi="Times New Roman" w:eastAsia="Times New Roman" w:cs="Times New Roman"/>
          <w:i w:val="true"/>
          <w:b w:val="false"/>
          <w:u w:val="none"/>
          <w:strike w:val="false"/>
          <w:sz w:val="20"/>
          <w:szCs w:val="20"/>
          <w:color w:val="555555"/>
        </w:rPr>
        <w:t xml:space="preserve">Your joinpoint paragraph (segmented package, BIC, up to 3 breakpoints, policy milestones, Supplementary Table 7 / Figures 1–3) is complete and well-written. No changes needed.</w:t>
      </w:r>
    </w:p>
    <w:p>
      <w:pPr>
        <w:pStyle w:val="Normal"/>
      </w:pPr>
      <w:r>
        <w:t xml:space="preserve"/>
      </w:r>
    </w:p>
    <w:p>
      <w:pPr>
        <w:pStyle w:val="Normal"/>
      </w:pPr>
      <w:r>
        <w:rPr>
          <w:rFonts w:ascii="Times New Roman" w:hAnsi="Times New Roman" w:eastAsia="Times New Roman" w:cs="Times New Roman"/>
          <w:i w:val="false"/>
          <w:b w:val="true"/>
          <w:u w:val="none"/>
          <w:strike w:val="false"/>
          <w:sz w:val="26"/>
          <w:szCs w:val="26"/>
          <w:color w:val="000000"/>
        </w:rPr>
        <w:t xml:space="preserve">RESULTS</w:t>
      </w:r>
    </w:p>
    <w:p>
      <w:pPr>
        <w:pStyle w:val="Normal"/>
      </w:pPr>
      <w:r>
        <w:t xml:space="preserve"/>
      </w:r>
    </w:p>
    <w:p>
      <w:pPr>
        <w:pStyle w:val="Normal"/>
      </w:pPr>
      <w:r>
        <w:rPr>
          <w:rFonts w:ascii="Times New Roman" w:hAnsi="Times New Roman" w:eastAsia="Times New Roman" w:cs="Times New Roman"/>
          <w:i w:val="false"/>
          <w:b w:val="true"/>
          <w:u w:val="none"/>
          <w:strike w:val="false"/>
          <w:sz w:val="22"/>
          <w:szCs w:val="22"/>
          <w:color w:val="1F4E79"/>
        </w:rPr>
        <w:t xml:space="preserve">FIX 1 of 2 — Remove 'significantly' (Age-Specific Burden section)</w:t>
      </w:r>
    </w:p>
    <w:p>
      <w:pPr>
        <w:pStyle w:val="Normal"/>
      </w:pPr>
      <w:r>
        <w:rPr>
          <w:rFonts w:ascii="Times New Roman" w:hAnsi="Times New Roman" w:eastAsia="Times New Roman" w:cs="Times New Roman"/>
          <w:i w:val="true"/>
          <w:b w:val="false"/>
          <w:u w:val="none"/>
          <w:strike w:val="false"/>
          <w:sz w:val="20"/>
          <w:szCs w:val="20"/>
          <w:color w:val="555555"/>
        </w:rPr>
        <w:t xml:space="preserve">Locate this sentence in the Age-Specific Burden subsection:</w:t>
      </w:r>
    </w:p>
    <w:p>
      <w:pPr>
        <w:pStyle w:val="Normal"/>
      </w:pPr>
      <w:r>
        <w:rPr>
          <w:rFonts w:ascii="Times New Roman" w:hAnsi="Times New Roman" w:eastAsia="Times New Roman" w:cs="Times New Roman"/>
          <w:i w:val="false"/>
          <w:b w:val="false"/>
          <w:u w:val="none"/>
          <w:strike w:val="false"/>
          <w:sz w:val="22"/>
          <w:szCs w:val="22"/>
          <w:color w:val="000000"/>
        </w:rPr>
        <w:t xml:space="preserve">However, the ASMR for lower respiratory infections in children under 5 years old was approximately 2.81/100,000, </w:t>
      </w:r>
      <w:r>
        <w:rPr>
          <w:rFonts w:ascii="Times New Roman" w:hAnsi="Times New Roman" w:eastAsia="Times New Roman" w:cs="Times New Roman"/>
          <w:i w:val="false"/>
          <w:b w:val="false"/>
          <w:u w:val="none"/>
          <w:strike w:val="true"/>
          <w:sz w:val="22"/>
          <w:szCs w:val="22"/>
          <w:color w:val="CC0000"/>
        </w:rPr>
        <w:t xml:space="preserve">significantly</w:t>
      </w:r>
      <w:r>
        <w:rPr>
          <w:rFonts w:ascii="Times New Roman" w:hAnsi="Times New Roman" w:eastAsia="Times New Roman" w:cs="Times New Roman"/>
          <w:i w:val="false"/>
          <w:b w:val="false"/>
          <w:u w:val="none"/>
          <w:strike w:val="false"/>
          <w:sz w:val="22"/>
          <w:szCs w:val="22"/>
          <w:color w:val="000000"/>
        </w:rPr>
        <w:t xml:space="preserve"> higher than other infectious diseases (Supplementary Table 5).</w:t>
      </w:r>
    </w:p>
    <w:p>
      <w:pPr>
        <w:pStyle w:val="Normal"/>
      </w:pPr>
      <w:r>
        <w:t xml:space="preserve"/>
      </w:r>
    </w:p>
    <w:p>
      <w:pPr>
        <w:pStyle w:val="Normal"/>
      </w:pPr>
      <w:r>
        <w:rPr>
          <w:rFonts w:ascii="Times New Roman" w:hAnsi="Times New Roman" w:eastAsia="Times New Roman" w:cs="Times New Roman"/>
          <w:i w:val="true"/>
          <w:b w:val="false"/>
          <w:u w:val="none"/>
          <w:strike w:val="false"/>
          <w:sz w:val="20"/>
          <w:szCs w:val="20"/>
          <w:color w:val="555555"/>
        </w:rPr>
        <w:t xml:space="preserve">Change to:</w:t>
      </w:r>
    </w:p>
    <w:p>
      <w:pPr>
        <w:pStyle w:val="Normal"/>
      </w:pPr>
      <w:r>
        <w:rPr>
          <w:rFonts w:ascii="Times New Roman" w:hAnsi="Times New Roman" w:eastAsia="Times New Roman" w:cs="Times New Roman"/>
          <w:i w:val="false"/>
          <w:b w:val="false"/>
          <w:u w:val="none"/>
          <w:strike w:val="false"/>
          <w:sz w:val="22"/>
          <w:szCs w:val="22"/>
          <w:color w:val="000000"/>
        </w:rPr>
        <w:t xml:space="preserve">However, the ASMR for lower respiratory infections in children under 5 years old was approximately 2.81/100,000, </w:t>
      </w:r>
      <w:r>
        <w:rPr>
          <w:rFonts w:ascii="Times New Roman" w:hAnsi="Times New Roman" w:eastAsia="Times New Roman" w:cs="Times New Roman"/>
          <w:i w:val="false"/>
          <w:b w:val="true"/>
          <w:u w:val="none"/>
          <w:strike w:val="false"/>
          <w:sz w:val="22"/>
          <w:szCs w:val="22"/>
          <w:color w:val="000000"/>
          <w:shd w:val="clear" w:color="auto" w:fill="FFFF99"/>
        </w:rPr>
        <w:t xml:space="preserve">notably</w:t>
      </w:r>
      <w:r>
        <w:rPr>
          <w:rFonts w:ascii="Times New Roman" w:hAnsi="Times New Roman" w:eastAsia="Times New Roman" w:cs="Times New Roman"/>
          <w:i w:val="false"/>
          <w:b w:val="false"/>
          <w:u w:val="none"/>
          <w:strike w:val="false"/>
          <w:sz w:val="22"/>
          <w:szCs w:val="22"/>
          <w:color w:val="000000"/>
        </w:rPr>
        <w:t xml:space="preserve"> higher than other infectious diseases (Supplementary Table 5).</w:t>
      </w:r>
    </w:p>
    <w:p>
      <w:pPr>
        <w:pStyle w:val="Normal"/>
      </w:pPr>
      <w:r>
        <w:t xml:space="preserve"/>
      </w:r>
    </w:p>
    <w:p>
      <w:pPr>
        <w:pStyle w:val="Normal"/>
      </w:pPr>
      <w:r>
        <w:rPr>
          <w:rFonts w:ascii="Times New Roman" w:hAnsi="Times New Roman" w:eastAsia="Times New Roman" w:cs="Times New Roman"/>
          <w:i w:val="false"/>
          <w:b w:val="true"/>
          <w:u w:val="none"/>
          <w:strike w:val="false"/>
          <w:sz w:val="22"/>
          <w:szCs w:val="22"/>
          <w:color w:val="1F4E79"/>
        </w:rPr>
        <w:t xml:space="preserve">FIX 2 of 2 — Enteric joinpoint: small wording improvement</w:t>
      </w:r>
    </w:p>
    <w:p>
      <w:pPr>
        <w:pStyle w:val="Normal"/>
      </w:pPr>
      <w:r>
        <w:rPr>
          <w:rFonts w:ascii="Times New Roman" w:hAnsi="Times New Roman" w:eastAsia="Times New Roman" w:cs="Times New Roman"/>
          <w:i w:val="true"/>
          <w:b w:val="false"/>
          <w:u w:val="none"/>
          <w:strike w:val="false"/>
          <w:sz w:val="20"/>
          <w:szCs w:val="20"/>
          <w:color w:val="555555"/>
        </w:rPr>
        <w:t xml:space="preserve">Current (end of your enteric joinpoint sentence):</w:t>
      </w:r>
    </w:p>
    <w:p>
      <w:pPr>
        <w:pStyle w:val="Normal"/>
      </w:pPr>
      <w:r>
        <w:rPr>
          <w:rFonts w:ascii="Times New Roman" w:hAnsi="Times New Roman" w:eastAsia="Times New Roman" w:cs="Times New Roman"/>
          <w:i w:val="false"/>
          <w:b w:val="false"/>
          <w:u w:val="none"/>
          <w:strike w:val="false"/>
          <w:sz w:val="22"/>
          <w:szCs w:val="22"/>
          <w:color w:val="000000"/>
        </w:rPr>
        <w:t xml:space="preserve">...temporally coinciding with </w:t>
      </w:r>
      <w:r>
        <w:rPr>
          <w:rFonts w:ascii="Times New Roman" w:hAnsi="Times New Roman" w:eastAsia="Times New Roman" w:cs="Times New Roman"/>
          <w:i w:val="false"/>
          <w:b w:val="false"/>
          <w:u w:val="none"/>
          <w:strike w:val="true"/>
          <w:sz w:val="22"/>
          <w:szCs w:val="22"/>
          <w:color w:val="CC0000"/>
        </w:rPr>
        <w:t xml:space="preserve">shifts in rotavirus vaccine uptake patterns</w:t>
      </w:r>
      <w:r>
        <w:rPr>
          <w:rFonts w:ascii="Times New Roman" w:hAnsi="Times New Roman" w:eastAsia="Times New Roman" w:cs="Times New Roman"/>
          <w:i w:val="false"/>
          <w:b w:val="false"/>
          <w:u w:val="none"/>
          <w:strike w:val="false"/>
          <w:sz w:val="22"/>
          <w:szCs w:val="22"/>
          <w:color w:val="000000"/>
        </w:rPr>
        <w:t xml:space="preserve"> (Supplementary Table 7, Supplementary Figure 1).</w:t>
      </w:r>
    </w:p>
    <w:p>
      <w:pPr>
        <w:pStyle w:val="Normal"/>
      </w:pPr>
      <w:r>
        <w:t xml:space="preserve"/>
      </w:r>
    </w:p>
    <w:p>
      <w:pPr>
        <w:pStyle w:val="Normal"/>
      </w:pPr>
      <w:r>
        <w:rPr>
          <w:rFonts w:ascii="Times New Roman" w:hAnsi="Times New Roman" w:eastAsia="Times New Roman" w:cs="Times New Roman"/>
          <w:i w:val="true"/>
          <w:b w:val="false"/>
          <w:u w:val="none"/>
          <w:strike w:val="false"/>
          <w:sz w:val="20"/>
          <w:szCs w:val="20"/>
          <w:color w:val="555555"/>
        </w:rPr>
        <w:t xml:space="preserve">Change to (more precise — rotavirus vaccine was introduced in 2006, not shifts in uptake):</w:t>
      </w:r>
    </w:p>
    <w:p>
      <w:pPr>
        <w:pStyle w:val="Normal"/>
      </w:pPr>
      <w:r>
        <w:rPr>
          <w:rFonts w:ascii="Times New Roman" w:hAnsi="Times New Roman" w:eastAsia="Times New Roman" w:cs="Times New Roman"/>
          <w:i w:val="false"/>
          <w:b w:val="false"/>
          <w:u w:val="none"/>
          <w:strike w:val="false"/>
          <w:sz w:val="22"/>
          <w:szCs w:val="22"/>
          <w:color w:val="000000"/>
        </w:rPr>
        <w:t xml:space="preserve">...temporally coinciding with </w:t>
      </w:r>
      <w:r>
        <w:rPr>
          <w:rFonts w:ascii="Times New Roman" w:hAnsi="Times New Roman" w:eastAsia="Times New Roman" w:cs="Times New Roman"/>
          <w:i w:val="false"/>
          <w:b w:val="true"/>
          <w:u w:val="none"/>
          <w:strike w:val="false"/>
          <w:sz w:val="22"/>
          <w:szCs w:val="22"/>
          <w:color w:val="000000"/>
          <w:shd w:val="clear" w:color="auto" w:fill="FFFF99"/>
        </w:rPr>
        <w:t xml:space="preserve">changes in preventive infrastructure including rotavirus vaccine introduction in 2006</w:t>
      </w:r>
      <w:r>
        <w:rPr>
          <w:rFonts w:ascii="Times New Roman" w:hAnsi="Times New Roman" w:eastAsia="Times New Roman" w:cs="Times New Roman"/>
          <w:i w:val="false"/>
          <w:b w:val="false"/>
          <w:u w:val="none"/>
          <w:strike w:val="false"/>
          <w:sz w:val="22"/>
          <w:szCs w:val="22"/>
          <w:color w:val="000000"/>
        </w:rPr>
        <w:t xml:space="preserve"> (Supplementary Table 7, Supplementary Figure 1).</w:t>
      </w:r>
    </w:p>
    <w:p>
      <w:pPr>
        <w:pStyle w:val="Normal"/>
      </w:pPr>
      <w:r>
        <w:t xml:space="preserve"/>
      </w:r>
    </w:p>
    <w:p>
      <w:pPr>
        <w:pStyle w:val="Normal"/>
      </w:pPr>
      <w:r>
        <w:rPr>
          <w:rFonts w:ascii="Times New Roman" w:hAnsi="Times New Roman" w:eastAsia="Times New Roman" w:cs="Times New Roman"/>
          <w:i w:val="true"/>
          <w:b w:val="false"/>
          <w:u w:val="none"/>
          <w:strike w:val="false"/>
          <w:sz w:val="20"/>
          <w:szCs w:val="20"/>
          <w:color w:val="555555"/>
        </w:rPr>
        <w:t xml:space="preserve">NOTE: All other joinpoint findings (enteric trend reversal +20.71%, LRI/PCV7 −15.94%, NTD variability) are already correctly written in your current draft. ✓</w:t>
      </w:r>
    </w:p>
    <w:p>
      <w:pPr>
        <w:pStyle w:val="Normal"/>
      </w:pPr>
      <w:r>
        <w:t xml:space="preserve"/>
      </w:r>
    </w:p>
    <w:p>
      <w:pPr>
        <w:pStyle w:val="Normal"/>
      </w:pPr>
      <w:r>
        <w:rPr>
          <w:rFonts w:ascii="Times New Roman" w:hAnsi="Times New Roman" w:eastAsia="Times New Roman" w:cs="Times New Roman"/>
          <w:i w:val="false"/>
          <w:b w:val="true"/>
          <w:u w:val="none"/>
          <w:strike w:val="false"/>
          <w:sz w:val="26"/>
          <w:szCs w:val="26"/>
          <w:color w:val="000000"/>
        </w:rPr>
        <w:t xml:space="preserve">SUPPLEMENTARY MATERIALS SECTION — needs update</w:t>
      </w:r>
    </w:p>
    <w:p>
      <w:pPr>
        <w:pStyle w:val="Normal"/>
      </w:pPr>
      <w:r>
        <w:t xml:space="preserve"/>
      </w:r>
    </w:p>
    <w:p>
      <w:pPr>
        <w:pStyle w:val="Normal"/>
      </w:pPr>
      <w:r>
        <w:rPr>
          <w:rFonts w:ascii="Times New Roman" w:hAnsi="Times New Roman" w:eastAsia="Times New Roman" w:cs="Times New Roman"/>
          <w:i w:val="true"/>
          <w:b w:val="false"/>
          <w:u w:val="none"/>
          <w:strike w:val="false"/>
          <w:sz w:val="20"/>
          <w:szCs w:val="20"/>
          <w:color w:val="555555"/>
        </w:rPr>
        <w:t xml:space="preserve">Current text (bottom of manuscript):</w:t>
      </w:r>
    </w:p>
    <w:p>
      <w:pPr>
        <w:pStyle w:val="Normal"/>
      </w:pPr>
      <w:r>
        <w:rPr>
          <w:rFonts w:ascii="Times New Roman" w:hAnsi="Times New Roman" w:eastAsia="Times New Roman" w:cs="Times New Roman"/>
          <w:i w:val="false"/>
          <w:b w:val="false"/>
          <w:u w:val="none"/>
          <w:strike w:val="false"/>
          <w:sz w:val="22"/>
          <w:szCs w:val="22"/>
          <w:color w:val="000000"/>
        </w:rPr>
        <w:t xml:space="preserve">The Supplemental.docx contains </w:t>
      </w:r>
      <w:r>
        <w:rPr>
          <w:rFonts w:ascii="Times New Roman" w:hAnsi="Times New Roman" w:eastAsia="Times New Roman" w:cs="Times New Roman"/>
          <w:i w:val="false"/>
          <w:b w:val="false"/>
          <w:u w:val="none"/>
          <w:strike w:val="true"/>
          <w:sz w:val="22"/>
          <w:szCs w:val="22"/>
          <w:color w:val="CC0000"/>
        </w:rPr>
        <w:t xml:space="preserve">six comprehensive tables</w:t>
      </w:r>
      <w:r>
        <w:rPr>
          <w:rFonts w:ascii="Times New Roman" w:hAnsi="Times New Roman" w:eastAsia="Times New Roman" w:cs="Times New Roman"/>
          <w:i w:val="false"/>
          <w:b w:val="false"/>
          <w:u w:val="none"/>
          <w:strike w:val="false"/>
          <w:sz w:val="22"/>
          <w:szCs w:val="22"/>
          <w:color w:val="000000"/>
        </w:rPr>
        <w:t xml:space="preserve"> supporting the manuscript's statistical findings. (1) age-standardized incidence rates (ASIRs) and estimated annual percentage changes (EAPCs); (2) age-standardized mortality rates (ASMRs); (3) age-standardized DALY rates (ASDRs); (4) age-specific incidence by sex; (5) age-specific mortality by sex; and (6) age-specific DALYs by sex across 1990–2023.</w:t>
      </w:r>
    </w:p>
    <w:p>
      <w:pPr>
        <w:pStyle w:val="Normal"/>
      </w:pPr>
      <w:r>
        <w:t xml:space="preserve"/>
      </w:r>
    </w:p>
    <w:p>
      <w:pPr>
        <w:pStyle w:val="Normal"/>
      </w:pPr>
      <w:r>
        <w:rPr>
          <w:rFonts w:ascii="Times New Roman" w:hAnsi="Times New Roman" w:eastAsia="Times New Roman" w:cs="Times New Roman"/>
          <w:i w:val="true"/>
          <w:b w:val="false"/>
          <w:u w:val="none"/>
          <w:strike w:val="false"/>
          <w:sz w:val="20"/>
          <w:szCs w:val="20"/>
          <w:color w:val="555555"/>
        </w:rPr>
        <w:t xml:space="preserve">Change to:</w:t>
      </w:r>
    </w:p>
    <w:p>
      <w:pPr>
        <w:pStyle w:val="Normal"/>
      </w:pPr>
      <w:r>
        <w:rPr>
          <w:rFonts w:ascii="Times New Roman" w:hAnsi="Times New Roman" w:eastAsia="Times New Roman" w:cs="Times New Roman"/>
          <w:i w:val="false"/>
          <w:b w:val="false"/>
          <w:u w:val="none"/>
          <w:strike w:val="false"/>
          <w:sz w:val="22"/>
          <w:szCs w:val="22"/>
          <w:color w:val="000000"/>
        </w:rPr>
        <w:t xml:space="preserve">The supplementary materials contain </w:t>
      </w:r>
      <w:r>
        <w:rPr>
          <w:rFonts w:ascii="Times New Roman" w:hAnsi="Times New Roman" w:eastAsia="Times New Roman" w:cs="Times New Roman"/>
          <w:i w:val="false"/>
          <w:b w:val="true"/>
          <w:u w:val="none"/>
          <w:strike w:val="false"/>
          <w:sz w:val="22"/>
          <w:szCs w:val="22"/>
          <w:color w:val="000000"/>
          <w:shd w:val="clear" w:color="auto" w:fill="FFFF99"/>
        </w:rPr>
        <w:t xml:space="preserve">seven tables and three supplementary figures</w:t>
      </w:r>
      <w:r>
        <w:rPr>
          <w:rFonts w:ascii="Times New Roman" w:hAnsi="Times New Roman" w:eastAsia="Times New Roman" w:cs="Times New Roman"/>
          <w:i w:val="false"/>
          <w:b w:val="false"/>
          <w:u w:val="none"/>
          <w:strike w:val="false"/>
          <w:sz w:val="22"/>
          <w:szCs w:val="22"/>
          <w:color w:val="000000"/>
        </w:rPr>
        <w:t xml:space="preserve"> supporting the manuscript's statistical findings. (1) age-standardized incidence rates (ASIRs) and estimated annual percentage changes (EAPCs); (2) age-standardized mortality rates (ASMRs); (3) age-standardized DALY rates (ASDRs); (4) age-specific incidence by sex; (5) age-specific mortality by sex; (6) age-specific DALYs by sex across 1990–2023</w:t>
      </w:r>
      <w:r>
        <w:rPr>
          <w:rFonts w:ascii="Times New Roman" w:hAnsi="Times New Roman" w:eastAsia="Times New Roman" w:cs="Times New Roman"/>
          <w:i w:val="false"/>
          <w:b w:val="true"/>
          <w:u w:val="none"/>
          <w:strike w:val="false"/>
          <w:sz w:val="22"/>
          <w:szCs w:val="22"/>
          <w:color w:val="000000"/>
          <w:shd w:val="clear" w:color="auto" w:fill="FFFF99"/>
        </w:rPr>
        <w:t xml:space="preserve">; and (7) joinpoint regression results including segment-specific annual percentage changes for enteric infections, lower respiratory infections, upper respiratory infections, and neglected tropical diseases and malaria. Supplementary Figures 1–3 present joinpoint regression trend plots for incidence, mortality, and DALYs, respectively, with annotated policy milestones.</w:t>
      </w:r>
    </w:p>
    <w:p>
      <w:pPr>
        <w:pStyle w:val="Normal"/>
      </w:pPr>
      <w:r>
        <w:t xml:space="preserve"/>
      </w:r>
    </w:p>
    <w:p>
      <w:pPr>
        <w:pStyle w:val="Normal"/>
      </w:pPr>
      <w:r>
        <w:rPr>
          <w:rFonts w:ascii="Times New Roman" w:hAnsi="Times New Roman" w:eastAsia="Times New Roman" w:cs="Times New Roman"/>
          <w:i w:val="false"/>
          <w:b w:val="true"/>
          <w:u w:val="none"/>
          <w:strike w:val="false"/>
          <w:sz w:val="26"/>
          <w:szCs w:val="26"/>
          <w:color w:val="000000"/>
        </w:rPr>
        <w:t xml:space="preserve">SUMMARY CHECKLIST</w:t>
      </w:r>
    </w:p>
    <w:p>
      <w:pPr>
        <w:pStyle w:val="Normal"/>
      </w:pPr>
      <w:r>
        <w:rPr>
          <w:rFonts w:ascii="Times New Roman" w:hAnsi="Times New Roman" w:eastAsia="Times New Roman" w:cs="Times New Roman"/>
          <w:i w:val="false"/>
          <w:b w:val="false"/>
          <w:u w:val="none"/>
          <w:strike w:val="false"/>
          <w:sz w:val="22"/>
          <w:szCs w:val="22"/>
          <w:color w:val="000000"/>
        </w:rPr>
        <w:t xml:space="preserve">☐  Methods: Remove 'also' from IRB sentence</w:t>
      </w:r>
    </w:p>
    <w:p>
      <w:pPr>
        <w:pStyle w:val="Normal"/>
      </w:pPr>
      <w:r>
        <w:rPr>
          <w:rFonts w:ascii="Times New Roman" w:hAnsi="Times New Roman" w:eastAsia="Times New Roman" w:cs="Times New Roman"/>
          <w:i w:val="false"/>
          <w:b w:val="false"/>
          <w:u w:val="none"/>
          <w:strike w:val="false"/>
          <w:sz w:val="22"/>
          <w:szCs w:val="22"/>
          <w:color w:val="000000"/>
        </w:rPr>
        <w:t xml:space="preserve">☐  Results (Age-Specific): 'significantly' → 'notably'</w:t>
      </w:r>
    </w:p>
    <w:p>
      <w:pPr>
        <w:pStyle w:val="Normal"/>
      </w:pPr>
      <w:r>
        <w:rPr>
          <w:rFonts w:ascii="Times New Roman" w:hAnsi="Times New Roman" w:eastAsia="Times New Roman" w:cs="Times New Roman"/>
          <w:i w:val="false"/>
          <w:b w:val="false"/>
          <w:u w:val="none"/>
          <w:strike w:val="false"/>
          <w:sz w:val="22"/>
          <w:szCs w:val="22"/>
          <w:color w:val="000000"/>
        </w:rPr>
        <w:t xml:space="preserve">☐  Results (Enteric joinpoint): tighten 'shifts in rotavirus vaccine uptake patterns' wording</w:t>
      </w:r>
    </w:p>
    <w:p>
      <w:pPr>
        <w:pStyle w:val="Normal"/>
      </w:pPr>
      <w:r>
        <w:rPr>
          <w:rFonts w:ascii="Times New Roman" w:hAnsi="Times New Roman" w:eastAsia="Times New Roman" w:cs="Times New Roman"/>
          <w:i w:val="false"/>
          <w:b w:val="false"/>
          <w:u w:val="none"/>
          <w:strike w:val="false"/>
          <w:sz w:val="22"/>
          <w:szCs w:val="22"/>
          <w:color w:val="000000"/>
        </w:rPr>
        <w:t xml:space="preserve">☐  Supplementary Materials: update from 6 tables → 7 tables + 3 figures</w:t>
      </w:r>
    </w:p>
    <w:p>
      <w:pPr>
        <w:pStyle w:val="Normal"/>
      </w:pPr>
      <w:r>
        <w:rPr>
          <w:rFonts w:ascii="Times New Roman" w:hAnsi="Times New Roman" w:eastAsia="Times New Roman" w:cs="Times New Roman"/>
          <w:i w:val="false"/>
          <w:b w:val="false"/>
          <w:u w:val="none"/>
          <w:strike w:val="false"/>
          <w:sz w:val="22"/>
          <w:szCs w:val="22"/>
          <w:color w:val="000000"/>
        </w:rPr>
        <w:t xml:space="preserve">☑  Methods joinpoint paragraph — already complete ✓</w:t>
      </w:r>
    </w:p>
    <w:p>
      <w:pPr>
        <w:pStyle w:val="Normal"/>
      </w:pPr>
      <w:r>
        <w:rPr>
          <w:rFonts w:ascii="Times New Roman" w:hAnsi="Times New Roman" w:eastAsia="Times New Roman" w:cs="Times New Roman"/>
          <w:i w:val="false"/>
          <w:b w:val="false"/>
          <w:u w:val="none"/>
          <w:strike w:val="false"/>
          <w:sz w:val="22"/>
          <w:szCs w:val="22"/>
          <w:color w:val="000000"/>
        </w:rPr>
        <w:t xml:space="preserve">☑  Results enteric +20.71% trend reversal — already in ✓</w:t>
      </w:r>
    </w:p>
    <w:p>
      <w:pPr>
        <w:pStyle w:val="Normal"/>
      </w:pPr>
      <w:r>
        <w:rPr>
          <w:rFonts w:ascii="Times New Roman" w:hAnsi="Times New Roman" w:eastAsia="Times New Roman" w:cs="Times New Roman"/>
          <w:i w:val="false"/>
          <w:b w:val="false"/>
          <w:u w:val="none"/>
          <w:strike w:val="false"/>
          <w:sz w:val="22"/>
          <w:szCs w:val="22"/>
          <w:color w:val="000000"/>
        </w:rPr>
        <w:t xml:space="preserve">☑  Results LRI/PCV7 −15.94% APC — already in ✓</w:t>
      </w:r>
    </w:p>
    <w:p>
      <w:pPr>
        <w:pStyle w:val="Normal"/>
      </w:pPr>
      <w:r>
        <w:rPr>
          <w:rFonts w:ascii="Times New Roman" w:hAnsi="Times New Roman" w:eastAsia="Times New Roman" w:cs="Times New Roman"/>
          <w:i w:val="false"/>
          <w:b w:val="false"/>
          <w:u w:val="none"/>
          <w:strike w:val="false"/>
          <w:sz w:val="22"/>
          <w:szCs w:val="22"/>
          <w:color w:val="000000"/>
        </w:rPr>
        <w:t xml:space="preserve">☑  Results NTD variability qualifier — already in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nam.tnguyen2022</cp:lastModifiedBy>
  <cp:revision>9</cp:revision>
  <dcterms:created xsi:type="dcterms:W3CDTF">2017-02-28T11:18:00Z</dcterms:created>
  <dcterms:modified xsi:type="dcterms:W3CDTF">2026-05-04T17:36:09Z</dcterms:modified>
  <cp:category/>
</cp:coreProperties>
</file>