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6"/>
          <w:szCs w:val="26"/>
        </w:rPr>
      </w:pPr>
      <w:r w:rsidDel="00000000" w:rsidR="00000000" w:rsidRPr="00000000">
        <w:rPr>
          <w:b w:val="1"/>
          <w:sz w:val="26"/>
          <w:szCs w:val="26"/>
          <w:rtl w:val="0"/>
        </w:rPr>
        <w:t xml:space="preserve">Consumer Price Index for All Urban Consumers (CPI-U) </w:t>
      </w:r>
    </w:p>
    <w:p w:rsidR="00000000" w:rsidDel="00000000" w:rsidP="00000000" w:rsidRDefault="00000000" w:rsidRPr="00000000" w14:paraId="00000002">
      <w:pPr>
        <w:spacing w:line="480" w:lineRule="auto"/>
        <w:rPr>
          <w:i w:val="1"/>
        </w:rPr>
      </w:pPr>
      <w:r w:rsidDel="00000000" w:rsidR="00000000" w:rsidRPr="00000000">
        <w:rPr>
          <w:i w:val="1"/>
          <w:rtl w:val="0"/>
        </w:rPr>
        <w:t xml:space="preserve">*data is seasonally adjusted</w:t>
      </w:r>
    </w:p>
    <w:p w:rsidR="00000000" w:rsidDel="00000000" w:rsidP="00000000" w:rsidRDefault="00000000" w:rsidRPr="00000000" w14:paraId="00000003">
      <w:pPr>
        <w:spacing w:line="480" w:lineRule="auto"/>
        <w:rPr>
          <w:i w:val="1"/>
        </w:rPr>
      </w:pPr>
      <w:r w:rsidDel="00000000" w:rsidR="00000000" w:rsidRPr="00000000">
        <w:rPr>
          <w:rtl w:val="0"/>
        </w:rPr>
      </w:r>
    </w:p>
    <w:p w:rsidR="00000000" w:rsidDel="00000000" w:rsidP="00000000" w:rsidRDefault="00000000" w:rsidRPr="00000000" w14:paraId="00000004">
      <w:pPr>
        <w:spacing w:line="480" w:lineRule="auto"/>
        <w:rPr>
          <w:i w:val="1"/>
        </w:rPr>
      </w:pPr>
      <w:r w:rsidDel="00000000" w:rsidR="00000000" w:rsidRPr="00000000">
        <w:rPr>
          <w:i w:val="1"/>
        </w:rPr>
        <w:drawing>
          <wp:inline distB="114300" distT="114300" distL="114300" distR="114300">
            <wp:extent cx="4643438" cy="20463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43438" cy="204638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pStyle w:val="Heading1"/>
        <w:spacing w:line="480" w:lineRule="auto"/>
        <w:rPr/>
      </w:pPr>
      <w:bookmarkStart w:colFirst="0" w:colLast="0" w:name="_29h3qk6wsrxi" w:id="0"/>
      <w:bookmarkEnd w:id="0"/>
      <w:r w:rsidDel="00000000" w:rsidR="00000000" w:rsidRPr="00000000">
        <w:rPr>
          <w:rtl w:val="0"/>
        </w:rPr>
        <w:t xml:space="preserve">Objectives</w:t>
      </w:r>
    </w:p>
    <w:p w:rsidR="00000000" w:rsidDel="00000000" w:rsidP="00000000" w:rsidRDefault="00000000" w:rsidRPr="00000000" w14:paraId="00000007">
      <w:pPr>
        <w:spacing w:line="480" w:lineRule="auto"/>
        <w:rPr/>
      </w:pPr>
      <w:r w:rsidDel="00000000" w:rsidR="00000000" w:rsidRPr="00000000">
        <w:rPr>
          <w:rtl w:val="0"/>
        </w:rPr>
        <w:t xml:space="preserve">Our a plan is to create a time series analysis to predict CPI values (not rate of change). To be specific, since a prediction model normally can predict one label, predicting CPI values allows us to calculate both monthly and yearly inflation. </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pStyle w:val="Heading1"/>
        <w:spacing w:line="480" w:lineRule="auto"/>
        <w:rPr/>
      </w:pPr>
      <w:bookmarkStart w:colFirst="0" w:colLast="0" w:name="_4gckw4683n4d" w:id="1"/>
      <w:bookmarkEnd w:id="1"/>
      <w:r w:rsidDel="00000000" w:rsidR="00000000" w:rsidRPr="00000000">
        <w:rPr>
          <w:rtl w:val="0"/>
        </w:rPr>
        <w:t xml:space="preserve">CPI Information</w:t>
      </w:r>
    </w:p>
    <w:p w:rsidR="00000000" w:rsidDel="00000000" w:rsidP="00000000" w:rsidRDefault="00000000" w:rsidRPr="00000000" w14:paraId="0000000A">
      <w:pPr>
        <w:numPr>
          <w:ilvl w:val="0"/>
          <w:numId w:val="1"/>
        </w:numPr>
        <w:spacing w:line="480" w:lineRule="auto"/>
        <w:ind w:left="720" w:hanging="360"/>
        <w:rPr>
          <w:u w:val="none"/>
        </w:rPr>
      </w:pPr>
      <w:r w:rsidDel="00000000" w:rsidR="00000000" w:rsidRPr="00000000">
        <w:rPr>
          <w:rtl w:val="0"/>
        </w:rPr>
        <w:t xml:space="preserve">According to U.S. Bureau of Labor Statistics, CPI is ameasure of the average change over time in the prices paid by urban consumer for a market basket of consumer goods and services. </w:t>
      </w:r>
    </w:p>
    <w:p w:rsidR="00000000" w:rsidDel="00000000" w:rsidP="00000000" w:rsidRDefault="00000000" w:rsidRPr="00000000" w14:paraId="0000000B">
      <w:pPr>
        <w:numPr>
          <w:ilvl w:val="0"/>
          <w:numId w:val="1"/>
        </w:numPr>
        <w:spacing w:line="480" w:lineRule="auto"/>
        <w:ind w:left="720" w:hanging="360"/>
        <w:rPr>
          <w:u w:val="none"/>
        </w:rPr>
      </w:pPr>
      <w:r w:rsidDel="00000000" w:rsidR="00000000" w:rsidRPr="00000000">
        <w:rPr>
          <w:rtl w:val="0"/>
        </w:rPr>
        <w:t xml:space="preserve">There are two common versions of the CPI, which are the CSP for all urban consumer (</w:t>
      </w:r>
      <w:r w:rsidDel="00000000" w:rsidR="00000000" w:rsidRPr="00000000">
        <w:rPr>
          <w:color w:val="ff0000"/>
          <w:rtl w:val="0"/>
        </w:rPr>
        <w:t xml:space="preserve">CPI-U</w:t>
      </w:r>
      <w:r w:rsidDel="00000000" w:rsidR="00000000" w:rsidRPr="00000000">
        <w:rPr>
          <w:rtl w:val="0"/>
        </w:rPr>
        <w:t xml:space="preserve">)  and the CPI for urban wage earners and clerical workers (CPI-W). The CPI-U is designed to measure price changes faced by urban consumers, who represents 93% of the U.S. population. </w:t>
      </w:r>
      <w:r w:rsidDel="00000000" w:rsidR="00000000" w:rsidRPr="00000000">
        <w:rPr>
          <w:color w:val="ff0000"/>
          <w:rtl w:val="0"/>
        </w:rPr>
        <w:t xml:space="preserve">This is also the direct figure used to measure inflation</w:t>
      </w:r>
      <w:r w:rsidDel="00000000" w:rsidR="00000000" w:rsidRPr="00000000">
        <w:rPr>
          <w:rtl w:val="0"/>
        </w:rPr>
        <w:t xml:space="preserve">. The CPI-W is used to adjust Social Security benefits. (</w:t>
      </w:r>
      <w:hyperlink r:id="rId7">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rtl w:val="0"/>
        </w:rPr>
        <w:t xml:space="preserve">The rate is calculate by determining the current value of a particular basket of goods and services, then dividing it by the value of those same goods and services from a year or </w:t>
      </w:r>
      <w:r w:rsidDel="00000000" w:rsidR="00000000" w:rsidRPr="00000000">
        <w:rPr>
          <w:rtl w:val="0"/>
        </w:rPr>
        <w:t xml:space="preserve">month prior</w:t>
      </w:r>
      <w:r w:rsidDel="00000000" w:rsidR="00000000" w:rsidRPr="00000000">
        <w:rPr>
          <w:rtl w:val="0"/>
        </w:rPr>
        <w:t xml:space="preserve">. The result is then multiplied by 100.</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u w:val="single"/>
          <w:rtl w:val="0"/>
        </w:rPr>
        <w:t xml:space="preserve">Sources of data:</w:t>
      </w:r>
      <w:r w:rsidDel="00000000" w:rsidR="00000000" w:rsidRPr="00000000">
        <w:rPr>
          <w:rtl w:val="0"/>
        </w:rPr>
        <w:t xml:space="preserve"> Prices of goods and services used to calculate the CPI are collected in 75 urban areas throughout the country and from about 23,000 retail and service establishments. The weight for an item is derived from reported expenditures on that item as estimated by the Consumer Expenditure Survey. </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Without context or comparison to other periods, the CPI value alone does not provide information about the rate of inflation, the direction of price changes, or the trends in price movements. To gain meaningful insights about inflation or price trends, you need to compare CPI values across different time periods, such as month-to-month or year to year. </w:t>
      </w:r>
    </w:p>
    <w:p w:rsidR="00000000" w:rsidDel="00000000" w:rsidP="00000000" w:rsidRDefault="00000000" w:rsidRPr="00000000" w14:paraId="0000000F">
      <w:pPr>
        <w:spacing w:line="480" w:lineRule="auto"/>
        <w:ind w:left="0" w:firstLine="0"/>
        <w:rPr/>
      </w:pPr>
      <w:r w:rsidDel="00000000" w:rsidR="00000000" w:rsidRPr="00000000">
        <w:rPr/>
        <w:drawing>
          <wp:inline distB="114300" distT="114300" distL="114300" distR="114300">
            <wp:extent cx="5943600" cy="4851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spacing w:line="480" w:lineRule="auto"/>
        <w:ind w:left="720" w:hanging="360"/>
        <w:rPr>
          <w:u w:val="none"/>
        </w:rPr>
      </w:pPr>
      <w:r w:rsidDel="00000000" w:rsidR="00000000" w:rsidRPr="00000000">
        <w:rPr>
          <w:u w:val="single"/>
          <w:rtl w:val="0"/>
        </w:rPr>
        <w:t xml:space="preserve">Uses</w:t>
      </w:r>
      <w:r w:rsidDel="00000000" w:rsidR="00000000" w:rsidRPr="00000000">
        <w:rPr>
          <w:rtl w:val="0"/>
        </w:rPr>
      </w:r>
    </w:p>
    <w:p w:rsidR="00000000" w:rsidDel="00000000" w:rsidP="00000000" w:rsidRDefault="00000000" w:rsidRPr="00000000" w14:paraId="00000011">
      <w:pPr>
        <w:numPr>
          <w:ilvl w:val="0"/>
          <w:numId w:val="7"/>
        </w:numPr>
        <w:spacing w:line="480" w:lineRule="auto"/>
        <w:ind w:left="1440" w:hanging="360"/>
        <w:rPr>
          <w:u w:val="none"/>
        </w:rPr>
      </w:pPr>
      <w:r w:rsidDel="00000000" w:rsidR="00000000" w:rsidRPr="00000000">
        <w:rPr>
          <w:rtl w:val="0"/>
        </w:rPr>
        <w:t xml:space="preserve">CPI can be used as an economic indicator. It is the most widely used measure of inflation and deflation. Changes in this figure affect nearly every market and person in America. Therefore, it is an indicator of the effectiveness of government policy.</w:t>
      </w:r>
    </w:p>
    <w:p w:rsidR="00000000" w:rsidDel="00000000" w:rsidP="00000000" w:rsidRDefault="00000000" w:rsidRPr="00000000" w14:paraId="00000012">
      <w:pPr>
        <w:numPr>
          <w:ilvl w:val="0"/>
          <w:numId w:val="7"/>
        </w:numPr>
        <w:spacing w:line="480" w:lineRule="auto"/>
        <w:ind w:left="1440" w:hanging="360"/>
        <w:rPr>
          <w:u w:val="none"/>
        </w:rPr>
      </w:pPr>
      <w:r w:rsidDel="00000000" w:rsidR="00000000" w:rsidRPr="00000000">
        <w:rPr>
          <w:rtl w:val="0"/>
        </w:rPr>
        <w:t xml:space="preserve">Business executives, labor leaders and other private citizens use the index as a guide in making economic decisions. </w:t>
      </w:r>
    </w:p>
    <w:p w:rsidR="00000000" w:rsidDel="00000000" w:rsidP="00000000" w:rsidRDefault="00000000" w:rsidRPr="00000000" w14:paraId="00000013">
      <w:pPr>
        <w:numPr>
          <w:ilvl w:val="0"/>
          <w:numId w:val="7"/>
        </w:numPr>
        <w:spacing w:line="480" w:lineRule="auto"/>
        <w:ind w:left="1440" w:hanging="360"/>
        <w:rPr>
          <w:u w:val="none"/>
        </w:rPr>
      </w:pPr>
      <w:r w:rsidDel="00000000" w:rsidR="00000000" w:rsidRPr="00000000">
        <w:rPr>
          <w:rtl w:val="0"/>
        </w:rPr>
        <w:t xml:space="preserve">…</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pStyle w:val="Heading1"/>
        <w:spacing w:line="480" w:lineRule="auto"/>
        <w:rPr>
          <w:u w:val="single"/>
        </w:rPr>
      </w:pPr>
      <w:bookmarkStart w:colFirst="0" w:colLast="0" w:name="_en4f1irt8nt7" w:id="2"/>
      <w:bookmarkEnd w:id="2"/>
      <w:r w:rsidDel="00000000" w:rsidR="00000000" w:rsidRPr="00000000">
        <w:rPr>
          <w:rtl w:val="0"/>
        </w:rPr>
        <w:t xml:space="preserve">Outlined thoughts: </w:t>
      </w:r>
      <w:r w:rsidDel="00000000" w:rsidR="00000000" w:rsidRPr="00000000">
        <w:rPr>
          <w:rtl w:val="0"/>
        </w:rPr>
      </w:r>
    </w:p>
    <w:p w:rsidR="00000000" w:rsidDel="00000000" w:rsidP="00000000" w:rsidRDefault="00000000" w:rsidRPr="00000000" w14:paraId="00000017">
      <w:pPr>
        <w:pStyle w:val="Heading2"/>
        <w:numPr>
          <w:ilvl w:val="0"/>
          <w:numId w:val="6"/>
        </w:numPr>
        <w:spacing w:after="0" w:afterAutospacing="0" w:line="480" w:lineRule="auto"/>
        <w:ind w:left="720" w:hanging="360"/>
        <w:rPr/>
      </w:pPr>
      <w:bookmarkStart w:colFirst="0" w:colLast="0" w:name="_27428bc9nr3" w:id="3"/>
      <w:bookmarkEnd w:id="3"/>
      <w:r w:rsidDel="00000000" w:rsidR="00000000" w:rsidRPr="00000000">
        <w:rPr>
          <w:rtl w:val="0"/>
        </w:rPr>
        <w:t xml:space="preserve">Preprocessing</w:t>
      </w:r>
    </w:p>
    <w:p w:rsidR="00000000" w:rsidDel="00000000" w:rsidP="00000000" w:rsidRDefault="00000000" w:rsidRPr="00000000" w14:paraId="00000018">
      <w:pPr>
        <w:numPr>
          <w:ilvl w:val="0"/>
          <w:numId w:val="8"/>
        </w:numPr>
        <w:spacing w:line="480" w:lineRule="auto"/>
        <w:ind w:left="720" w:hanging="360"/>
        <w:rPr/>
      </w:pPr>
      <w:r w:rsidDel="00000000" w:rsidR="00000000" w:rsidRPr="00000000">
        <w:rPr>
          <w:rtl w:val="0"/>
        </w:rPr>
        <w:t xml:space="preserve">Let’s gather CPI data from Fred first. I can retrieve it quickly from R. The data would be monthly. </w:t>
      </w:r>
    </w:p>
    <w:p w:rsidR="00000000" w:rsidDel="00000000" w:rsidP="00000000" w:rsidRDefault="00000000" w:rsidRPr="00000000" w14:paraId="00000019">
      <w:pPr>
        <w:numPr>
          <w:ilvl w:val="0"/>
          <w:numId w:val="8"/>
        </w:numPr>
        <w:spacing w:line="480" w:lineRule="auto"/>
        <w:ind w:left="720" w:hanging="360"/>
        <w:rPr>
          <w:u w:val="none"/>
        </w:rPr>
      </w:pPr>
      <w:r w:rsidDel="00000000" w:rsidR="00000000" w:rsidRPr="00000000">
        <w:rPr>
          <w:rtl w:val="0"/>
        </w:rPr>
        <w:t xml:space="preserve">Please find other relevant economic indicators and variables that could influence the CPI: unemployment rate, Change in 1 year treasury bonds, Change in 10 years treasury bonds, gap between these two, etc (</w:t>
      </w:r>
      <w:r w:rsidDel="00000000" w:rsidR="00000000" w:rsidRPr="00000000">
        <w:rPr>
          <w:color w:val="ff0000"/>
          <w:rtl w:val="0"/>
        </w:rPr>
        <w:t xml:space="preserve">We need to find more here)</w:t>
      </w:r>
    </w:p>
    <w:p w:rsidR="00000000" w:rsidDel="00000000" w:rsidP="00000000" w:rsidRDefault="00000000" w:rsidRPr="00000000" w14:paraId="0000001A">
      <w:pPr>
        <w:numPr>
          <w:ilvl w:val="0"/>
          <w:numId w:val="8"/>
        </w:numPr>
        <w:spacing w:after="0" w:afterAutospacing="0" w:line="480" w:lineRule="auto"/>
        <w:ind w:left="720" w:hanging="360"/>
        <w:rPr>
          <w:u w:val="none"/>
        </w:rPr>
      </w:pPr>
      <w:r w:rsidDel="00000000" w:rsidR="00000000" w:rsidRPr="00000000">
        <w:rPr>
          <w:rtl w:val="0"/>
        </w:rPr>
        <w:t xml:space="preserve">Clean</w:t>
      </w:r>
    </w:p>
    <w:p w:rsidR="00000000" w:rsidDel="00000000" w:rsidP="00000000" w:rsidRDefault="00000000" w:rsidRPr="00000000" w14:paraId="0000001B">
      <w:pPr>
        <w:pStyle w:val="Heading2"/>
        <w:numPr>
          <w:ilvl w:val="0"/>
          <w:numId w:val="6"/>
        </w:numPr>
        <w:spacing w:after="0" w:afterAutospacing="0" w:before="0" w:beforeAutospacing="0" w:line="480" w:lineRule="auto"/>
        <w:ind w:left="720" w:hanging="360"/>
        <w:rPr/>
      </w:pPr>
      <w:bookmarkStart w:colFirst="0" w:colLast="0" w:name="_qbyvji7xvwom" w:id="4"/>
      <w:bookmarkEnd w:id="4"/>
      <w:r w:rsidDel="00000000" w:rsidR="00000000" w:rsidRPr="00000000">
        <w:rPr>
          <w:rtl w:val="0"/>
        </w:rPr>
        <w:t xml:space="preserve">Explore the data</w:t>
      </w:r>
    </w:p>
    <w:p w:rsidR="00000000" w:rsidDel="00000000" w:rsidP="00000000" w:rsidRDefault="00000000" w:rsidRPr="00000000" w14:paraId="0000001C">
      <w:pPr>
        <w:numPr>
          <w:ilvl w:val="0"/>
          <w:numId w:val="10"/>
        </w:numPr>
        <w:spacing w:line="480" w:lineRule="auto"/>
        <w:ind w:left="720" w:hanging="360"/>
        <w:rPr>
          <w:u w:val="none"/>
        </w:rPr>
      </w:pPr>
      <w:r w:rsidDel="00000000" w:rsidR="00000000" w:rsidRPr="00000000">
        <w:rPr>
          <w:rtl w:val="0"/>
        </w:rPr>
        <w:t xml:space="preserve">CPI: Analyze trends, seasonality, patterns </w:t>
      </w:r>
    </w:p>
    <w:p w:rsidR="00000000" w:rsidDel="00000000" w:rsidP="00000000" w:rsidRDefault="00000000" w:rsidRPr="00000000" w14:paraId="0000001D">
      <w:pPr>
        <w:numPr>
          <w:ilvl w:val="0"/>
          <w:numId w:val="10"/>
        </w:numPr>
        <w:spacing w:after="0" w:afterAutospacing="0" w:line="480" w:lineRule="auto"/>
        <w:ind w:left="720" w:hanging="360"/>
        <w:rPr>
          <w:u w:val="none"/>
        </w:rPr>
      </w:pPr>
      <w:r w:rsidDel="00000000" w:rsidR="00000000" w:rsidRPr="00000000">
        <w:rPr>
          <w:rtl w:val="0"/>
        </w:rPr>
        <w:t xml:space="preserve">Relationship potential predictors</w:t>
      </w:r>
    </w:p>
    <w:p w:rsidR="00000000" w:rsidDel="00000000" w:rsidP="00000000" w:rsidRDefault="00000000" w:rsidRPr="00000000" w14:paraId="0000001E">
      <w:pPr>
        <w:pStyle w:val="Heading2"/>
        <w:numPr>
          <w:ilvl w:val="0"/>
          <w:numId w:val="6"/>
        </w:numPr>
        <w:spacing w:after="0" w:afterAutospacing="0" w:before="0" w:beforeAutospacing="0" w:line="480" w:lineRule="auto"/>
        <w:ind w:left="720" w:hanging="360"/>
        <w:rPr/>
      </w:pPr>
      <w:bookmarkStart w:colFirst="0" w:colLast="0" w:name="_1v3hptbgkf7p" w:id="5"/>
      <w:bookmarkEnd w:id="5"/>
      <w:r w:rsidDel="00000000" w:rsidR="00000000" w:rsidRPr="00000000">
        <w:rPr>
          <w:rtl w:val="0"/>
        </w:rPr>
        <w:t xml:space="preserve">Feature Engineering</w:t>
      </w:r>
    </w:p>
    <w:p w:rsidR="00000000" w:rsidDel="00000000" w:rsidP="00000000" w:rsidRDefault="00000000" w:rsidRPr="00000000" w14:paraId="0000001F">
      <w:pPr>
        <w:numPr>
          <w:ilvl w:val="0"/>
          <w:numId w:val="2"/>
        </w:numPr>
        <w:spacing w:line="480" w:lineRule="auto"/>
        <w:ind w:left="720" w:hanging="360"/>
        <w:rPr>
          <w:u w:val="none"/>
        </w:rPr>
      </w:pPr>
      <w:r w:rsidDel="00000000" w:rsidR="00000000" w:rsidRPr="00000000">
        <w:rPr>
          <w:rtl w:val="0"/>
        </w:rPr>
        <w:t xml:space="preserve">Explore lags, moving average.</w:t>
      </w:r>
    </w:p>
    <w:p w:rsidR="00000000" w:rsidDel="00000000" w:rsidP="00000000" w:rsidRDefault="00000000" w:rsidRPr="00000000" w14:paraId="00000020">
      <w:pPr>
        <w:numPr>
          <w:ilvl w:val="0"/>
          <w:numId w:val="2"/>
        </w:numPr>
        <w:spacing w:after="0" w:afterAutospacing="0" w:line="480" w:lineRule="auto"/>
        <w:ind w:left="720" w:hanging="360"/>
        <w:rPr>
          <w:u w:val="none"/>
        </w:rPr>
      </w:pPr>
      <w:r w:rsidDel="00000000" w:rsidR="00000000" w:rsidRPr="00000000">
        <w:rPr>
          <w:rtl w:val="0"/>
        </w:rPr>
        <w:t xml:space="preserve">Autocorrelation plot, Partial Autocorrelation</w:t>
      </w:r>
    </w:p>
    <w:p w:rsidR="00000000" w:rsidDel="00000000" w:rsidP="00000000" w:rsidRDefault="00000000" w:rsidRPr="00000000" w14:paraId="00000021">
      <w:pPr>
        <w:pStyle w:val="Heading2"/>
        <w:numPr>
          <w:ilvl w:val="0"/>
          <w:numId w:val="6"/>
        </w:numPr>
        <w:spacing w:after="0" w:afterAutospacing="0" w:before="0" w:beforeAutospacing="0" w:line="480" w:lineRule="auto"/>
        <w:ind w:left="720" w:hanging="360"/>
        <w:rPr/>
      </w:pPr>
      <w:bookmarkStart w:colFirst="0" w:colLast="0" w:name="_mt3xcwqnqhom" w:id="6"/>
      <w:bookmarkEnd w:id="6"/>
      <w:r w:rsidDel="00000000" w:rsidR="00000000" w:rsidRPr="00000000">
        <w:rPr>
          <w:rtl w:val="0"/>
        </w:rPr>
        <w:t xml:space="preserve">Model Selection </w:t>
      </w:r>
    </w:p>
    <w:p w:rsidR="00000000" w:rsidDel="00000000" w:rsidP="00000000" w:rsidRDefault="00000000" w:rsidRPr="00000000" w14:paraId="00000022">
      <w:pPr>
        <w:numPr>
          <w:ilvl w:val="0"/>
          <w:numId w:val="3"/>
        </w:numPr>
        <w:spacing w:line="480" w:lineRule="auto"/>
        <w:ind w:left="720" w:hanging="360"/>
        <w:rPr>
          <w:u w:val="none"/>
        </w:rPr>
      </w:pPr>
      <w:r w:rsidDel="00000000" w:rsidR="00000000" w:rsidRPr="00000000">
        <w:rPr>
          <w:rtl w:val="0"/>
        </w:rPr>
        <w:t xml:space="preserve">ARIMA, SARIMA, XGBoost, </w:t>
      </w:r>
      <w:r w:rsidDel="00000000" w:rsidR="00000000" w:rsidRPr="00000000">
        <w:rPr>
          <w:b w:val="1"/>
          <w:rtl w:val="0"/>
        </w:rPr>
        <w:t xml:space="preserve">Gets</w:t>
      </w:r>
    </w:p>
    <w:p w:rsidR="00000000" w:rsidDel="00000000" w:rsidP="00000000" w:rsidRDefault="00000000" w:rsidRPr="00000000" w14:paraId="00000023">
      <w:pPr>
        <w:numPr>
          <w:ilvl w:val="0"/>
          <w:numId w:val="3"/>
        </w:numPr>
        <w:spacing w:line="480" w:lineRule="auto"/>
        <w:ind w:left="720" w:hanging="360"/>
        <w:rPr>
          <w:u w:val="none"/>
        </w:rPr>
      </w:pPr>
      <w:r w:rsidDel="00000000" w:rsidR="00000000" w:rsidRPr="00000000">
        <w:rPr>
          <w:rtl w:val="0"/>
        </w:rPr>
        <w:t xml:space="preserve">Experimenting Long Short-Term Memory (LSTM), or hybrid model that combine traditional time series models with machine learning approaches </w:t>
      </w:r>
    </w:p>
    <w:p w:rsidR="00000000" w:rsidDel="00000000" w:rsidP="00000000" w:rsidRDefault="00000000" w:rsidRPr="00000000" w14:paraId="00000024">
      <w:pPr>
        <w:numPr>
          <w:ilvl w:val="0"/>
          <w:numId w:val="3"/>
        </w:numPr>
        <w:spacing w:line="480" w:lineRule="auto"/>
        <w:ind w:left="720" w:hanging="360"/>
        <w:rPr>
          <w:u w:val="none"/>
        </w:rPr>
      </w:pPr>
      <w:r w:rsidDel="00000000" w:rsidR="00000000" w:rsidRPr="00000000">
        <w:rPr>
          <w:rtl w:val="0"/>
        </w:rPr>
        <w:t xml:space="preserve">Baseline model for comparison: Naive, random walk? </w:t>
      </w:r>
    </w:p>
    <w:p w:rsidR="00000000" w:rsidDel="00000000" w:rsidP="00000000" w:rsidRDefault="00000000" w:rsidRPr="00000000" w14:paraId="00000025">
      <w:pPr>
        <w:spacing w:line="480" w:lineRule="auto"/>
        <w:ind w:left="0" w:firstLine="0"/>
        <w:rPr/>
      </w:pPr>
      <w:r w:rsidDel="00000000" w:rsidR="00000000" w:rsidRPr="00000000">
        <w:rPr>
          <w:rtl w:val="0"/>
        </w:rPr>
      </w:r>
    </w:p>
    <w:p w:rsidR="00000000" w:rsidDel="00000000" w:rsidP="00000000" w:rsidRDefault="00000000" w:rsidRPr="00000000" w14:paraId="00000026">
      <w:pPr>
        <w:pStyle w:val="Heading2"/>
        <w:numPr>
          <w:ilvl w:val="0"/>
          <w:numId w:val="6"/>
        </w:numPr>
        <w:spacing w:after="0" w:afterAutospacing="0" w:line="480" w:lineRule="auto"/>
        <w:ind w:left="720" w:hanging="360"/>
        <w:rPr/>
      </w:pPr>
      <w:bookmarkStart w:colFirst="0" w:colLast="0" w:name="_amaodrd14yxk" w:id="7"/>
      <w:bookmarkEnd w:id="7"/>
      <w:r w:rsidDel="00000000" w:rsidR="00000000" w:rsidRPr="00000000">
        <w:rPr>
          <w:rtl w:val="0"/>
        </w:rPr>
        <w:t xml:space="preserve">Training and Validation </w:t>
      </w:r>
    </w:p>
    <w:p w:rsidR="00000000" w:rsidDel="00000000" w:rsidP="00000000" w:rsidRDefault="00000000" w:rsidRPr="00000000" w14:paraId="00000027">
      <w:pPr>
        <w:numPr>
          <w:ilvl w:val="0"/>
          <w:numId w:val="9"/>
        </w:numPr>
        <w:spacing w:line="480" w:lineRule="auto"/>
        <w:ind w:left="720" w:hanging="360"/>
        <w:rPr>
          <w:u w:val="none"/>
        </w:rPr>
      </w:pPr>
      <w:r w:rsidDel="00000000" w:rsidR="00000000" w:rsidRPr="00000000">
        <w:rPr>
          <w:rtl w:val="0"/>
        </w:rPr>
        <w:t xml:space="preserve">Find a reasonable cut-off point. The covid time may severely affect the model performance. We may need to cut them into 3 different periods: train - validation - test</w:t>
      </w:r>
    </w:p>
    <w:p w:rsidR="00000000" w:rsidDel="00000000" w:rsidP="00000000" w:rsidRDefault="00000000" w:rsidRPr="00000000" w14:paraId="00000028">
      <w:pPr>
        <w:numPr>
          <w:ilvl w:val="0"/>
          <w:numId w:val="9"/>
        </w:numPr>
        <w:spacing w:line="480" w:lineRule="auto"/>
        <w:ind w:left="720" w:hanging="360"/>
        <w:rPr>
          <w:u w:val="none"/>
        </w:rPr>
      </w:pPr>
      <w:r w:rsidDel="00000000" w:rsidR="00000000" w:rsidRPr="00000000">
        <w:rPr>
          <w:rtl w:val="0"/>
        </w:rPr>
        <w:t xml:space="preserve">Metrics used for validation: RMSE, MSE, MAE. </w:t>
      </w:r>
    </w:p>
    <w:p w:rsidR="00000000" w:rsidDel="00000000" w:rsidP="00000000" w:rsidRDefault="00000000" w:rsidRPr="00000000" w14:paraId="00000029">
      <w:pPr>
        <w:numPr>
          <w:ilvl w:val="0"/>
          <w:numId w:val="9"/>
        </w:numPr>
        <w:spacing w:line="480" w:lineRule="auto"/>
        <w:ind w:left="720" w:hanging="360"/>
        <w:rPr>
          <w:u w:val="none"/>
        </w:rPr>
      </w:pPr>
      <w:r w:rsidDel="00000000" w:rsidR="00000000" w:rsidRPr="00000000">
        <w:rPr>
          <w:rtl w:val="0"/>
        </w:rPr>
        <w:t xml:space="preserve">For each model, make sure we satisfy the model's assumption by checking residual plots -  autocorrelation, partial autocorrelation.</w:t>
      </w:r>
    </w:p>
    <w:p w:rsidR="00000000" w:rsidDel="00000000" w:rsidP="00000000" w:rsidRDefault="00000000" w:rsidRPr="00000000" w14:paraId="0000002A">
      <w:pPr>
        <w:pStyle w:val="Heading1"/>
        <w:spacing w:line="480" w:lineRule="auto"/>
        <w:rPr/>
      </w:pPr>
      <w:bookmarkStart w:colFirst="0" w:colLast="0" w:name="_kh8nle6jnwtb" w:id="8"/>
      <w:bookmarkEnd w:id="8"/>
      <w:r w:rsidDel="00000000" w:rsidR="00000000" w:rsidRPr="00000000">
        <w:rPr>
          <w:rtl w:val="0"/>
        </w:rPr>
        <w:t xml:space="preserve">A few question to ask Professor: </w:t>
      </w:r>
    </w:p>
    <w:p w:rsidR="00000000" w:rsidDel="00000000" w:rsidP="00000000" w:rsidRDefault="00000000" w:rsidRPr="00000000" w14:paraId="0000002B">
      <w:pPr>
        <w:numPr>
          <w:ilvl w:val="0"/>
          <w:numId w:val="11"/>
        </w:numPr>
        <w:spacing w:line="480" w:lineRule="auto"/>
        <w:ind w:left="720" w:hanging="360"/>
        <w:rPr>
          <w:u w:val="none"/>
        </w:rPr>
      </w:pPr>
      <w:r w:rsidDel="00000000" w:rsidR="00000000" w:rsidRPr="00000000">
        <w:rPr>
          <w:rtl w:val="0"/>
        </w:rPr>
        <w:t xml:space="preserve">Should I normalize the all variables, both label, lags, and other predictors? </w:t>
      </w:r>
    </w:p>
    <w:p w:rsidR="00000000" w:rsidDel="00000000" w:rsidP="00000000" w:rsidRDefault="00000000" w:rsidRPr="00000000" w14:paraId="0000002C">
      <w:pPr>
        <w:numPr>
          <w:ilvl w:val="0"/>
          <w:numId w:val="11"/>
        </w:numPr>
        <w:spacing w:line="480" w:lineRule="auto"/>
        <w:ind w:left="720" w:hanging="360"/>
        <w:rPr>
          <w:u w:val="none"/>
        </w:rPr>
      </w:pPr>
      <w:r w:rsidDel="00000000" w:rsidR="00000000" w:rsidRPr="00000000">
        <w:rPr>
          <w:rtl w:val="0"/>
        </w:rPr>
        <w:t xml:space="preserve">What would be the best model I should use as baseline? Naive? </w:t>
      </w:r>
    </w:p>
    <w:p w:rsidR="00000000" w:rsidDel="00000000" w:rsidP="00000000" w:rsidRDefault="00000000" w:rsidRPr="00000000" w14:paraId="0000002D">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480" w:lineRule="auto"/>
        <w:rPr/>
      </w:pPr>
      <w:bookmarkStart w:colFirst="0" w:colLast="0" w:name="_hsynq2yf15di" w:id="9"/>
      <w:bookmarkEnd w:id="9"/>
      <w:r w:rsidDel="00000000" w:rsidR="00000000" w:rsidRPr="00000000">
        <w:rPr>
          <w:rtl w:val="0"/>
        </w:rPr>
        <w:t xml:space="preserve">Data Dictionary</w:t>
      </w:r>
    </w:p>
    <w:p w:rsidR="00000000" w:rsidDel="00000000" w:rsidP="00000000" w:rsidRDefault="00000000" w:rsidRPr="00000000" w14:paraId="0000002F">
      <w:pPr>
        <w:ind w:left="0" w:firstLine="0"/>
        <w:rPr/>
      </w:pPr>
      <w:r w:rsidDel="00000000" w:rsidR="00000000" w:rsidRPr="00000000">
        <w:rPr>
          <w:rtl w:val="0"/>
        </w:rPr>
        <w:t xml:space="preserve">CPI</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Units: Growth rate previous period,Not Seasonally Adjusted</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Frequency: Monthly</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Time range:</w:t>
      </w:r>
    </w:p>
    <w:p w:rsidR="00000000" w:rsidDel="00000000" w:rsidP="00000000" w:rsidRDefault="00000000" w:rsidRPr="00000000" w14:paraId="00000033">
      <w:pPr>
        <w:numPr>
          <w:ilvl w:val="0"/>
          <w:numId w:val="4"/>
        </w:numPr>
        <w:ind w:left="720" w:hanging="360"/>
        <w:rPr>
          <w:u w:val="none"/>
        </w:rPr>
      </w:pPr>
      <w:hyperlink r:id="rId9">
        <w:r w:rsidDel="00000000" w:rsidR="00000000" w:rsidRPr="00000000">
          <w:rPr>
            <w:color w:val="1155cc"/>
            <w:u w:val="single"/>
            <w:rtl w:val="0"/>
          </w:rPr>
          <w:t xml:space="preserve">https://fred.stlouisfed.org/series/CPALTT01USM657N</w:t>
        </w:r>
      </w:hyperlink>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hyperlink r:id="rId10">
        <w:r w:rsidDel="00000000" w:rsidR="00000000" w:rsidRPr="00000000">
          <w:rPr>
            <w:color w:val="1155cc"/>
            <w:u w:val="single"/>
            <w:rtl w:val="0"/>
          </w:rPr>
          <w:t xml:space="preserve">https://beta.bls.gov/dataViewer/view/timeseries/SUUR0000SA0</w:t>
        </w:r>
      </w:hyperlink>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PCE</w:t>
      </w:r>
    </w:p>
    <w:p w:rsidR="00000000" w:rsidDel="00000000" w:rsidP="00000000" w:rsidRDefault="00000000" w:rsidRPr="00000000" w14:paraId="00000036">
      <w:pPr>
        <w:numPr>
          <w:ilvl w:val="0"/>
          <w:numId w:val="12"/>
        </w:numPr>
        <w:ind w:left="720" w:hanging="360"/>
        <w:rPr>
          <w:u w:val="none"/>
        </w:rPr>
      </w:pPr>
      <w:r w:rsidDel="00000000" w:rsidR="00000000" w:rsidRPr="00000000">
        <w:rPr>
          <w:rtl w:val="0"/>
        </w:rPr>
        <w:t xml:space="preserve">Units: Percent Change,Seasonally Adjusted Annual Rate</w:t>
      </w:r>
    </w:p>
    <w:p w:rsidR="00000000" w:rsidDel="00000000" w:rsidP="00000000" w:rsidRDefault="00000000" w:rsidRPr="00000000" w14:paraId="00000037">
      <w:pPr>
        <w:numPr>
          <w:ilvl w:val="0"/>
          <w:numId w:val="12"/>
        </w:numPr>
        <w:ind w:left="720" w:hanging="360"/>
        <w:rPr>
          <w:u w:val="none"/>
        </w:rPr>
      </w:pPr>
      <w:r w:rsidDel="00000000" w:rsidR="00000000" w:rsidRPr="00000000">
        <w:rPr>
          <w:rtl w:val="0"/>
        </w:rPr>
        <w:t xml:space="preserve">Frequency: Monthly</w:t>
      </w:r>
    </w:p>
    <w:p w:rsidR="00000000" w:rsidDel="00000000" w:rsidP="00000000" w:rsidRDefault="00000000" w:rsidRPr="00000000" w14:paraId="00000038">
      <w:pPr>
        <w:numPr>
          <w:ilvl w:val="0"/>
          <w:numId w:val="12"/>
        </w:numPr>
        <w:ind w:left="720" w:hanging="360"/>
        <w:rPr>
          <w:u w:val="none"/>
        </w:rPr>
      </w:pPr>
      <w:r w:rsidDel="00000000" w:rsidR="00000000" w:rsidRPr="00000000">
        <w:rPr>
          <w:rtl w:val="0"/>
        </w:rPr>
        <w:t xml:space="preserve">Time range:</w:t>
      </w:r>
    </w:p>
    <w:p w:rsidR="00000000" w:rsidDel="00000000" w:rsidP="00000000" w:rsidRDefault="00000000" w:rsidRPr="00000000" w14:paraId="00000039">
      <w:pPr>
        <w:numPr>
          <w:ilvl w:val="0"/>
          <w:numId w:val="12"/>
        </w:numPr>
        <w:ind w:left="720" w:hanging="360"/>
        <w:rPr/>
      </w:pPr>
      <w:hyperlink r:id="rId11">
        <w:r w:rsidDel="00000000" w:rsidR="00000000" w:rsidRPr="00000000">
          <w:rPr>
            <w:color w:val="1155cc"/>
            <w:u w:val="single"/>
            <w:rtl w:val="0"/>
          </w:rPr>
          <w:t xml:space="preserve">https://fred.stlouisfed.org/series/PCE</w:t>
        </w:r>
      </w:hyperlink>
      <w:r w:rsidDel="00000000" w:rsidR="00000000" w:rsidRPr="00000000">
        <w:rPr>
          <w:rtl w:val="0"/>
        </w:rPr>
      </w:r>
    </w:p>
    <w:p w:rsidR="00000000" w:rsidDel="00000000" w:rsidP="00000000" w:rsidRDefault="00000000" w:rsidRPr="00000000" w14:paraId="0000003A">
      <w:pPr>
        <w:numPr>
          <w:ilvl w:val="0"/>
          <w:numId w:val="12"/>
        </w:numPr>
        <w:ind w:left="720" w:hanging="360"/>
        <w:rPr>
          <w:u w:val="none"/>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Unemployment Rate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Units: Percent Change,Seasonally Adjusted Annual Rate</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Frequency: Monthly</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Time range:</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https://fred.stlouisfed.org/series/UNRATE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red.stlouisfed.org/series/PCE" TargetMode="External"/><Relationship Id="rId10" Type="http://schemas.openxmlformats.org/officeDocument/2006/relationships/hyperlink" Target="https://beta.bls.gov/dataViewer/view/timeseries/SUUR0000SA0" TargetMode="External"/><Relationship Id="rId9" Type="http://schemas.openxmlformats.org/officeDocument/2006/relationships/hyperlink" Target="https://fred.stlouisfed.org/series/CPALTT01USM657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bls.gov/cpi/overview.ht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