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RFC: Journey-First Frontend Delivery and Risk-Based Code Review</w:t>
      </w:r>
    </w:p>
    <w:p>
      <w:pPr>
        <w:jc w:val="left"/>
      </w:pPr>
      <w:r>
        <w:rPr>
          <w:b/>
          <w:color w:val="505050"/>
          <w:sz w:val="26"/>
        </w:rPr>
        <w:t>Proof of Concept for React, Webpack, Playwright, GitHub and GCP Cloud Run</w:t>
      </w:r>
    </w:p>
    <w:tbl>
      <w:tblPr>
        <w:tblStyle w:val="TableGrid"/>
        <w:tblW w:type="auto" w:w="0"/>
        <w:jc w:val="center"/>
        <w:tblLook w:firstColumn="1" w:firstRow="1" w:lastColumn="0" w:lastRow="0" w:noHBand="0" w:noVBand="1" w:val="04A0"/>
      </w:tblPr>
      <w:tblGrid>
        <w:gridCol w:w="4968"/>
        <w:gridCol w:w="4968"/>
      </w:tblGrid>
      <w:tr>
        <w:tc>
          <w:tcPr>
            <w:tcW w:type="dxa" w:w="4968"/>
            <w:shd w:fill="F2F4F4"/>
            <w:vAlign w:val="top"/>
            <w:tcMar>
              <w:top w:w="100" w:type="dxa"/>
              <w:start w:w="120" w:type="dxa"/>
              <w:bottom w:w="100" w:type="dxa"/>
              <w:end w:w="120" w:type="dxa"/>
            </w:tcMar>
          </w:tcPr>
          <w:p>
            <w:r>
              <w:rPr>
                <w:b/>
              </w:rPr>
              <w:t>Status</w:t>
            </w:r>
          </w:p>
        </w:tc>
        <w:tc>
          <w:tcPr>
            <w:tcW w:type="dxa" w:w="4968"/>
            <w:vAlign w:val="top"/>
            <w:tcMar>
              <w:top w:w="100" w:type="dxa"/>
              <w:start w:w="120" w:type="dxa"/>
              <w:bottom w:w="100" w:type="dxa"/>
              <w:end w:w="120" w:type="dxa"/>
            </w:tcMar>
          </w:tcPr>
          <w:p>
            <w:r>
              <w:t>Proposed proof of concept</w:t>
            </w:r>
          </w:p>
        </w:tc>
      </w:tr>
      <w:tr>
        <w:tc>
          <w:tcPr>
            <w:tcW w:type="dxa" w:w="4968"/>
            <w:shd w:fill="F2F4F4"/>
            <w:vAlign w:val="top"/>
            <w:tcMar>
              <w:top w:w="100" w:type="dxa"/>
              <w:start w:w="120" w:type="dxa"/>
              <w:bottom w:w="100" w:type="dxa"/>
              <w:end w:w="120" w:type="dxa"/>
            </w:tcMar>
          </w:tcPr>
          <w:p>
            <w:r>
              <w:rPr>
                <w:b/>
              </w:rPr>
              <w:t>Audience</w:t>
            </w:r>
          </w:p>
        </w:tc>
        <w:tc>
          <w:tcPr>
            <w:tcW w:type="dxa" w:w="4968"/>
            <w:vAlign w:val="top"/>
            <w:tcMar>
              <w:top w:w="100" w:type="dxa"/>
              <w:start w:w="120" w:type="dxa"/>
              <w:bottom w:w="100" w:type="dxa"/>
              <w:end w:w="120" w:type="dxa"/>
            </w:tcMar>
          </w:tcPr>
          <w:p>
            <w:r>
              <w:t>Frontend engineering, quality engineering, platform/DevEx, product engineering leads</w:t>
            </w:r>
          </w:p>
        </w:tc>
      </w:tr>
      <w:tr>
        <w:tc>
          <w:tcPr>
            <w:tcW w:type="dxa" w:w="4968"/>
            <w:shd w:fill="F2F4F4"/>
            <w:vAlign w:val="top"/>
            <w:tcMar>
              <w:top w:w="100" w:type="dxa"/>
              <w:start w:w="120" w:type="dxa"/>
              <w:bottom w:w="100" w:type="dxa"/>
              <w:end w:w="120" w:type="dxa"/>
            </w:tcMar>
          </w:tcPr>
          <w:p>
            <w:r>
              <w:rPr>
                <w:b/>
              </w:rPr>
              <w:t>Primary goal</w:t>
            </w:r>
          </w:p>
        </w:tc>
        <w:tc>
          <w:tcPr>
            <w:tcW w:type="dxa" w:w="4968"/>
            <w:vAlign w:val="top"/>
            <w:tcMar>
              <w:top w:w="100" w:type="dxa"/>
              <w:start w:w="120" w:type="dxa"/>
              <w:bottom w:w="100" w:type="dxa"/>
              <w:end w:w="120" w:type="dxa"/>
            </w:tcMar>
          </w:tcPr>
          <w:p>
            <w:r>
              <w:t>Reduce human code-review bottlenecks while maintaining or improving confidence in user-visible correctness.</w:t>
            </w:r>
          </w:p>
        </w:tc>
      </w:tr>
      <w:tr>
        <w:tc>
          <w:tcPr>
            <w:tcW w:type="dxa" w:w="4968"/>
            <w:shd w:fill="F2F4F4"/>
            <w:vAlign w:val="top"/>
            <w:tcMar>
              <w:top w:w="100" w:type="dxa"/>
              <w:start w:w="120" w:type="dxa"/>
              <w:bottom w:w="100" w:type="dxa"/>
              <w:end w:w="120" w:type="dxa"/>
            </w:tcMar>
          </w:tcPr>
          <w:p>
            <w:r>
              <w:rPr>
                <w:b/>
              </w:rPr>
              <w:t>Testing philosophy</w:t>
            </w:r>
          </w:p>
        </w:tc>
        <w:tc>
          <w:tcPr>
            <w:tcW w:type="dxa" w:w="4968"/>
            <w:vAlign w:val="top"/>
            <w:tcMar>
              <w:top w:w="100" w:type="dxa"/>
              <w:start w:w="120" w:type="dxa"/>
              <w:bottom w:w="100" w:type="dxa"/>
              <w:end w:w="120" w:type="dxa"/>
            </w:tcMar>
          </w:tcPr>
          <w:p>
            <w:r>
              <w:t>Journey-first; unit tests are used selectively where they provide unique value, not to satisfy aggregate code-coverage targets.</w:t>
            </w:r>
          </w:p>
        </w:tc>
      </w:tr>
      <w:tr>
        <w:tc>
          <w:tcPr>
            <w:tcW w:type="dxa" w:w="4968"/>
            <w:shd w:fill="F2F4F4"/>
            <w:vAlign w:val="top"/>
            <w:tcMar>
              <w:top w:w="100" w:type="dxa"/>
              <w:start w:w="120" w:type="dxa"/>
              <w:bottom w:w="100" w:type="dxa"/>
              <w:end w:w="120" w:type="dxa"/>
            </w:tcMar>
          </w:tcPr>
          <w:p>
            <w:r>
              <w:rPr>
                <w:b/>
              </w:rPr>
              <w:t>Scope</w:t>
            </w:r>
          </w:p>
        </w:tc>
        <w:tc>
          <w:tcPr>
            <w:tcW w:type="dxa" w:w="4968"/>
            <w:vAlign w:val="top"/>
            <w:tcMar>
              <w:top w:w="100" w:type="dxa"/>
              <w:start w:w="120" w:type="dxa"/>
              <w:bottom w:w="100" w:type="dxa"/>
              <w:end w:w="120" w:type="dxa"/>
            </w:tcMar>
          </w:tcPr>
          <w:p>
            <w:r>
              <w:t>Pure frontend React application bundled with Webpack, automated with Playwright, deployed on GCP Cloud Run.</w:t>
            </w:r>
          </w:p>
        </w:tc>
      </w:tr>
      <w:tr>
        <w:tc>
          <w:tcPr>
            <w:tcW w:type="dxa" w:w="4968"/>
            <w:shd w:fill="F2F4F4"/>
            <w:vAlign w:val="top"/>
            <w:tcMar>
              <w:top w:w="100" w:type="dxa"/>
              <w:start w:w="120" w:type="dxa"/>
              <w:bottom w:w="100" w:type="dxa"/>
              <w:end w:w="120" w:type="dxa"/>
            </w:tcMar>
          </w:tcPr>
          <w:p>
            <w:r>
              <w:rPr>
                <w:b/>
              </w:rPr>
              <w:t>Explicit exclusion</w:t>
            </w:r>
          </w:p>
        </w:tc>
        <w:tc>
          <w:tcPr>
            <w:tcW w:type="dxa" w:w="4968"/>
            <w:vAlign w:val="top"/>
            <w:tcMar>
              <w:top w:w="100" w:type="dxa"/>
              <w:start w:w="120" w:type="dxa"/>
              <w:bottom w:w="100" w:type="dxa"/>
              <w:end w:w="120" w:type="dxa"/>
            </w:tcMar>
          </w:tcPr>
          <w:p>
            <w:r>
              <w:t>This RFC contains no timelines, dates, phases tied to duration, or delivery scheduling.</w:t>
            </w:r>
          </w:p>
        </w:tc>
      </w:tr>
    </w:tbl>
    <w:tbl>
      <w:tblPr>
        <w:tblW w:type="auto" w:w="0"/>
        <w:jc w:val="center"/>
        <w:tblLayout w:type="autofit"/>
        <w:tblLook w:firstColumn="1" w:firstRow="1" w:lastColumn="0" w:lastRow="0" w:noHBand="0" w:noVBand="1" w:val="04A0"/>
      </w:tblPr>
      <w:tblGrid>
        <w:gridCol w:w="9936"/>
      </w:tblGrid>
      <w:tr>
        <w:tc>
          <w:tcPr>
            <w:tcW w:type="dxa" w:w="9936"/>
            <w:shd w:fill="DDEBF7"/>
            <w:tcMar>
              <w:top w:w="140" w:type="dxa"/>
              <w:start w:w="180" w:type="dxa"/>
              <w:bottom w:w="140" w:type="dxa"/>
              <w:end w:w="180" w:type="dxa"/>
            </w:tcMar>
          </w:tcPr>
          <w:p>
            <w:r>
              <w:rPr>
                <w:b/>
                <w:sz w:val="21"/>
              </w:rPr>
              <w:t>Decision proposed</w:t>
            </w:r>
          </w:p>
          <w:p>
            <w:pPr>
              <w:spacing w:after="0"/>
            </w:pPr>
            <w:r>
              <w:t>Build a proof of concept in which story definitions express observable user behavior, Playwright provides executable evidence, CI classifies change risk, and low-risk changes may bypass mandatory human review when all automated safety gates pass. Code coverage is not used as a blanket quality target.</w:t>
            </w:r>
          </w:p>
        </w:tc>
      </w:tr>
    </w:tbl>
    <w:p>
      <w:pPr>
        <w:pStyle w:val="Heading1"/>
      </w:pPr>
      <w:r>
        <w:t>1. Executive Summary</w:t>
      </w:r>
    </w:p>
    <w:p>
      <w:r>
        <w:t>The current review model assumes that another engineer should inspect nearly every code change before it can be merged. That model becomes increasingly expensive as code-generation tools, automation and higher developer throughput increase the number and size of changes. For a frontend product whose correctness is largely observable through the browser, a significant portion of routine review can be shifted from manual inspection to automated behavioral verification.</w:t>
      </w:r>
    </w:p>
    <w:p>
      <w:r>
        <w:t>This RFC proposes a proof of concept for a journey-first delivery model. Product intent is captured as observable behavior when a Jira story is written. Playwright tests encode that behavior as executable user journeys. GitHub CI validates the implementation, determines which journeys are affected, executes required safety checks, and classifies the pull request into a review lane. Human review remains mandatory for changes that carry architectural, security, operational, ambiguous or otherwise elevated risk.</w:t>
      </w:r>
    </w:p>
    <w:p>
      <w:r>
        <w:t>The proof of concept also introduces a Product Reachability report. During the full Playwright journey suite, the Webpack-built application is instrumented using Istanbul-compatible instrumentation. The resulting runtime information is used as a stale-code signal: production modules that are not reached by any supported automated user journey are surfaced for investigation. This is deliberately not treated as a percentage-based code-coverage target.</w:t>
      </w:r>
    </w:p>
    <w:p>
      <w:pPr>
        <w:pStyle w:val="Heading1"/>
      </w:pPr>
      <w:r>
        <w:t>2. Context and Motivation</w:t>
      </w:r>
    </w:p>
    <w:p>
      <w:pPr>
        <w:pStyle w:val="Heading2"/>
      </w:pPr>
      <w:r>
        <w:t>2.1 The bottleneck we are addressing</w:t>
      </w:r>
    </w:p>
    <w:p>
      <w:pPr>
        <w:pStyle w:val="ListBullet"/>
      </w:pPr>
      <w:r>
        <w:t>Human review capacity does not scale linearly with code-generation capacity.</w:t>
      </w:r>
    </w:p>
    <w:p>
      <w:pPr>
        <w:pStyle w:val="ListBullet"/>
      </w:pPr>
      <w:r>
        <w:t>Many frontend reviews spend substantial time checking behavior that can be exercised more consistently in a browser.</w:t>
      </w:r>
    </w:p>
    <w:p>
      <w:pPr>
        <w:pStyle w:val="ListBullet"/>
      </w:pPr>
      <w:r>
        <w:t>Routine review often mixes two distinct concerns: proving correctness and applying engineering judgment.</w:t>
      </w:r>
    </w:p>
    <w:p>
      <w:pPr>
        <w:pStyle w:val="ListBullet"/>
      </w:pPr>
      <w:r>
        <w:t>Tests that exist mainly to satisfy code-coverage thresholds can create maintenance cost without proportionate product confidence.</w:t>
      </w:r>
    </w:p>
    <w:p>
      <w:pPr>
        <w:pStyle w:val="ListBullet"/>
      </w:pPr>
      <w:r>
        <w:t>A frontend application has a natural verification boundary: the user-visible browser experience.</w:t>
      </w:r>
    </w:p>
    <w:p>
      <w:pPr>
        <w:pStyle w:val="Heading2"/>
      </w:pPr>
      <w:r>
        <w:t>2.2 Hypothesis</w:t>
      </w:r>
    </w:p>
    <w:tbl>
      <w:tblPr>
        <w:tblW w:type="auto" w:w="0"/>
        <w:jc w:val="center"/>
        <w:tblLayout w:type="autofit"/>
        <w:tblLook w:firstColumn="1" w:firstRow="1" w:lastColumn="0" w:lastRow="0" w:noHBand="0" w:noVBand="1" w:val="04A0"/>
      </w:tblPr>
      <w:tblGrid>
        <w:gridCol w:w="9936"/>
      </w:tblGrid>
      <w:tr>
        <w:tc>
          <w:tcPr>
            <w:tcW w:type="dxa" w:w="9936"/>
            <w:shd w:fill="E8F8F5"/>
            <w:tcMar>
              <w:top w:w="140" w:type="dxa"/>
              <w:start w:w="180" w:type="dxa"/>
              <w:bottom w:w="140" w:type="dxa"/>
              <w:end w:w="180" w:type="dxa"/>
            </w:tcMar>
          </w:tcPr>
          <w:p>
            <w:r>
              <w:rPr>
                <w:b/>
                <w:sz w:val="21"/>
              </w:rPr>
              <w:t>POC hypothesis</w:t>
            </w:r>
          </w:p>
          <w:p>
            <w:pPr>
              <w:spacing w:after="0"/>
            </w:pPr>
            <w:r>
              <w:t>If supported user behavior is explicitly defined up front and comprehensively exercised through reliable Playwright journeys, then many low-risk frontend changes can be merged based on automated evidence rather than mandatory line-by-line human review, while human attention is reserved for higher-risk decisions.</w:t>
            </w:r>
          </w:p>
        </w:tc>
      </w:tr>
    </w:tbl>
    <w:p>
      <w:pPr>
        <w:pStyle w:val="Heading2"/>
      </w:pPr>
      <w:r>
        <w:t>2.3 What this RFC does not claim</w:t>
      </w:r>
    </w:p>
    <w:p>
      <w:pPr>
        <w:pStyle w:val="ListBullet"/>
      </w:pPr>
      <w:r>
        <w:t>That Playwright can prove every possible property of the application.</w:t>
      </w:r>
    </w:p>
    <w:p>
      <w:pPr>
        <w:pStyle w:val="ListBullet"/>
      </w:pPr>
      <w:r>
        <w:t>That 100% of a journey catalogue means every conceivable path or permutation is covered.</w:t>
      </w:r>
    </w:p>
    <w:p>
      <w:pPr>
        <w:pStyle w:val="ListBullet"/>
      </w:pPr>
      <w:r>
        <w:t>That unit tests have no value.</w:t>
      </w:r>
    </w:p>
    <w:p>
      <w:pPr>
        <w:pStyle w:val="ListBullet"/>
      </w:pPr>
      <w:r>
        <w:t>That an LLM should be given unconditional authority to approve code.</w:t>
      </w:r>
    </w:p>
    <w:p>
      <w:pPr>
        <w:pStyle w:val="ListBullet"/>
      </w:pPr>
      <w:r>
        <w:t>That passing tests make security, architecture, performance or operational review unnecessary.</w:t>
      </w:r>
    </w:p>
    <w:p>
      <w:pPr>
        <w:pStyle w:val="ListBullet"/>
      </w:pPr>
      <w:r>
        <w:t>That code which is not reached by Playwright is automatically dead and safe to delete.</w:t>
      </w:r>
    </w:p>
    <w:p>
      <w:pPr>
        <w:pStyle w:val="Heading1"/>
      </w:pPr>
      <w:r>
        <w:t>3. Goals and Non-Goals</w:t>
      </w:r>
    </w:p>
    <w:p>
      <w:pPr>
        <w:pStyle w:val="Heading2"/>
      </w:pPr>
      <w:r>
        <w:t>3.1 Goals</w:t>
      </w:r>
    </w:p>
    <w:p>
      <w:pPr>
        <w:pStyle w:val="ListBullet"/>
      </w:pPr>
      <w:r>
        <w:t>Make user behavior and automated proof part of story definition rather than an activity performed after implementation.</w:t>
      </w:r>
    </w:p>
    <w:p>
      <w:pPr>
        <w:pStyle w:val="ListBullet"/>
      </w:pPr>
      <w:r>
        <w:t>Treat Playwright user journeys as the primary evidence for routine frontend behavioral correctness.</w:t>
      </w:r>
    </w:p>
    <w:p>
      <w:pPr>
        <w:pStyle w:val="ListBullet"/>
      </w:pPr>
      <w:r>
        <w:t>Avoid journey IDs or a separately maintained test-case registry.</w:t>
      </w:r>
    </w:p>
    <w:p>
      <w:pPr>
        <w:pStyle w:val="ListBullet"/>
      </w:pPr>
      <w:r>
        <w:t>Avoid aggregate code-coverage percentages as a merge requirement.</w:t>
      </w:r>
    </w:p>
    <w:p>
      <w:pPr>
        <w:pStyle w:val="ListBullet"/>
      </w:pPr>
      <w:r>
        <w:t>Use unit tests only where they are the clearest or most efficient way to verify logic that is difficult to prove through journeys.</w:t>
      </w:r>
    </w:p>
    <w:p>
      <w:pPr>
        <w:pStyle w:val="ListBullet"/>
      </w:pPr>
      <w:r>
        <w:t>Automatically classify PRs by risk and route only appropriate changes to a mandatory human reviewer.</w:t>
      </w:r>
    </w:p>
    <w:p>
      <w:pPr>
        <w:pStyle w:val="ListBullet"/>
      </w:pPr>
      <w:r>
        <w:t>Make low-risk changes eligible for automatic merge when deterministic safety conditions pass.</w:t>
      </w:r>
    </w:p>
    <w:p>
      <w:pPr>
        <w:pStyle w:val="ListBullet"/>
      </w:pPr>
      <w:r>
        <w:t>Use runtime journey reachability to identify potentially stale or unsupported production code.</w:t>
      </w:r>
    </w:p>
    <w:p>
      <w:pPr>
        <w:pStyle w:val="ListBullet"/>
      </w:pPr>
      <w:r>
        <w:t>Collect evidence that allows the review policy to be made stricter or more permissive based on observed outcomes.</w:t>
      </w:r>
    </w:p>
    <w:p>
      <w:pPr>
        <w:pStyle w:val="Heading2"/>
      </w:pPr>
      <w:r>
        <w:t>3.2 Non-goals</w:t>
      </w:r>
    </w:p>
    <w:p>
      <w:pPr>
        <w:pStyle w:val="ListBullet"/>
      </w:pPr>
      <w:r>
        <w:t>Replacing product discovery, design review or architectural decision-making with automation.</w:t>
      </w:r>
    </w:p>
    <w:p>
      <w:pPr>
        <w:pStyle w:val="ListBullet"/>
      </w:pPr>
      <w:r>
        <w:t>Achieving 100% line, statement, function or branch coverage.</w:t>
      </w:r>
    </w:p>
    <w:p>
      <w:pPr>
        <w:pStyle w:val="ListBullet"/>
      </w:pPr>
      <w:r>
        <w:t>Generating unit tests solely to improve code-coverage metrics.</w:t>
      </w:r>
    </w:p>
    <w:p>
      <w:pPr>
        <w:pStyle w:val="ListBullet"/>
      </w:pPr>
      <w:r>
        <w:t>Building a universal risk-scoring machine-learning model in the proof of concept.</w:t>
      </w:r>
    </w:p>
    <w:p>
      <w:pPr>
        <w:pStyle w:val="ListBullet"/>
      </w:pPr>
      <w:r>
        <w:t>Automatically deleting stale-code candidates.</w:t>
      </w:r>
    </w:p>
    <w:p>
      <w:pPr>
        <w:pStyle w:val="ListBullet"/>
      </w:pPr>
      <w:r>
        <w:t>Eliminating human review for security-sensitive or operationally sensitive changes.</w:t>
      </w:r>
    </w:p>
    <w:p>
      <w:pPr>
        <w:pStyle w:val="ListBullet"/>
      </w:pPr>
      <w:r>
        <w:t>Creating a heavyweight test-management system.</w:t>
      </w:r>
    </w:p>
    <w:p>
      <w:pPr>
        <w:pStyle w:val="Heading1"/>
      </w:pPr>
      <w:r>
        <w:t>4. Design Principles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Principle</w:t>
            </w:r>
          </w:p>
        </w:tc>
        <w:tc>
          <w:tcPr>
            <w:tcW w:type="dxa" w:w="4968"/>
            <w:shd w:fill="D9EAF7"/>
          </w:tcPr>
          <w:p>
            <w:r>
              <w:t>Meaning</w:t>
            </w:r>
          </w:p>
        </w:tc>
      </w:tr>
      <w:tr>
        <w:tc>
          <w:tcPr>
            <w:tcW w:type="dxa" w:w="4968"/>
            <w:tcMar>
              <w:top w:w="100" w:type="dxa"/>
              <w:start w:w="120" w:type="dxa"/>
              <w:bottom w:w="100" w:type="dxa"/>
              <w:end w:w="120" w:type="dxa"/>
            </w:tcMar>
            <w:vAlign w:val="top"/>
          </w:tcPr>
          <w:p>
            <w:r>
              <w:t>Behavior before implementation</w:t>
            </w:r>
          </w:p>
        </w:tc>
        <w:tc>
          <w:tcPr>
            <w:tcW w:type="dxa" w:w="4968"/>
            <w:tcMar>
              <w:top w:w="100" w:type="dxa"/>
              <w:start w:w="120" w:type="dxa"/>
              <w:bottom w:w="100" w:type="dxa"/>
              <w:end w:w="120" w:type="dxa"/>
            </w:tcMar>
            <w:vAlign w:val="top"/>
          </w:tcPr>
          <w:p>
            <w:r>
              <w:t>Stories describe what a user can observe, not internal implementation steps.</w:t>
            </w:r>
          </w:p>
        </w:tc>
      </w:tr>
      <w:tr>
        <w:tc>
          <w:tcPr>
            <w:tcW w:type="dxa" w:w="4968"/>
            <w:tcMar>
              <w:top w:w="100" w:type="dxa"/>
              <w:start w:w="120" w:type="dxa"/>
              <w:bottom w:w="100" w:type="dxa"/>
              <w:end w:w="120" w:type="dxa"/>
            </w:tcMar>
            <w:vAlign w:val="top"/>
          </w:tcPr>
          <w:p>
            <w:r>
              <w:t>Evidence over assertion</w:t>
            </w:r>
          </w:p>
        </w:tc>
        <w:tc>
          <w:tcPr>
            <w:tcW w:type="dxa" w:w="4968"/>
            <w:tcMar>
              <w:top w:w="100" w:type="dxa"/>
              <w:start w:w="120" w:type="dxa"/>
              <w:bottom w:w="100" w:type="dxa"/>
              <w:end w:w="120" w:type="dxa"/>
            </w:tcMar>
            <w:vAlign w:val="top"/>
          </w:tcPr>
          <w:p>
            <w:r>
              <w:t>A PR should carry machine-verifiable evidence that the affected behavior works.</w:t>
            </w:r>
          </w:p>
        </w:tc>
      </w:tr>
      <w:tr>
        <w:tc>
          <w:tcPr>
            <w:tcW w:type="dxa" w:w="4968"/>
            <w:tcMar>
              <w:top w:w="100" w:type="dxa"/>
              <w:start w:w="120" w:type="dxa"/>
              <w:bottom w:w="100" w:type="dxa"/>
              <w:end w:w="120" w:type="dxa"/>
            </w:tcMar>
            <w:vAlign w:val="top"/>
          </w:tcPr>
          <w:p>
            <w:r>
              <w:t>Journey-first, not journey-only</w:t>
            </w:r>
          </w:p>
        </w:tc>
        <w:tc>
          <w:tcPr>
            <w:tcW w:type="dxa" w:w="4968"/>
            <w:tcMar>
              <w:top w:w="100" w:type="dxa"/>
              <w:start w:w="120" w:type="dxa"/>
              <w:bottom w:w="100" w:type="dxa"/>
              <w:end w:w="120" w:type="dxa"/>
            </w:tcMar>
            <w:vAlign w:val="top"/>
          </w:tcPr>
          <w:p>
            <w:r>
              <w:t>Browser journeys are the default. Lower-level tests remain available when they add unique value.</w:t>
            </w:r>
          </w:p>
        </w:tc>
      </w:tr>
      <w:tr>
        <w:tc>
          <w:tcPr>
            <w:tcW w:type="dxa" w:w="4968"/>
            <w:tcMar>
              <w:top w:w="100" w:type="dxa"/>
              <w:start w:w="120" w:type="dxa"/>
              <w:bottom w:w="100" w:type="dxa"/>
              <w:end w:w="120" w:type="dxa"/>
            </w:tcMar>
            <w:vAlign w:val="top"/>
          </w:tcPr>
          <w:p>
            <w:r>
              <w:t>Risk determines review</w:t>
            </w:r>
          </w:p>
        </w:tc>
        <w:tc>
          <w:tcPr>
            <w:tcW w:type="dxa" w:w="4968"/>
            <w:tcMar>
              <w:top w:w="100" w:type="dxa"/>
              <w:start w:w="120" w:type="dxa"/>
              <w:bottom w:w="100" w:type="dxa"/>
              <w:end w:w="120" w:type="dxa"/>
            </w:tcMar>
            <w:vAlign w:val="top"/>
          </w:tcPr>
          <w:p>
            <w:r>
              <w:t>Human review is allocated according to risk rather than applied uniformly.</w:t>
            </w:r>
          </w:p>
        </w:tc>
      </w:tr>
      <w:tr>
        <w:tc>
          <w:tcPr>
            <w:tcW w:type="dxa" w:w="4968"/>
            <w:tcMar>
              <w:top w:w="100" w:type="dxa"/>
              <w:start w:w="120" w:type="dxa"/>
              <w:bottom w:w="100" w:type="dxa"/>
              <w:end w:w="120" w:type="dxa"/>
            </w:tcMar>
            <w:vAlign w:val="top"/>
          </w:tcPr>
          <w:p>
            <w:r>
              <w:t>Deterministic gates before AI</w:t>
            </w:r>
          </w:p>
        </w:tc>
        <w:tc>
          <w:tcPr>
            <w:tcW w:type="dxa" w:w="4968"/>
            <w:tcMar>
              <w:top w:w="100" w:type="dxa"/>
              <w:start w:w="120" w:type="dxa"/>
              <w:bottom w:w="100" w:type="dxa"/>
              <w:end w:w="120" w:type="dxa"/>
            </w:tcMar>
            <w:vAlign w:val="top"/>
          </w:tcPr>
          <w:p>
            <w:r>
              <w:t>Build, lint, test, dependency, path and configuration checks should drive decisions before any LLM opinion.</w:t>
            </w:r>
          </w:p>
        </w:tc>
      </w:tr>
      <w:tr>
        <w:tc>
          <w:tcPr>
            <w:tcW w:type="dxa" w:w="4968"/>
            <w:tcMar>
              <w:top w:w="100" w:type="dxa"/>
              <w:start w:w="120" w:type="dxa"/>
              <w:bottom w:w="100" w:type="dxa"/>
              <w:end w:w="120" w:type="dxa"/>
            </w:tcMar>
            <w:vAlign w:val="top"/>
          </w:tcPr>
          <w:p>
            <w:r>
              <w:t>No secondary taxonomy</w:t>
            </w:r>
          </w:p>
        </w:tc>
        <w:tc>
          <w:tcPr>
            <w:tcW w:type="dxa" w:w="4968"/>
            <w:tcMar>
              <w:top w:w="100" w:type="dxa"/>
              <w:start w:w="120" w:type="dxa"/>
              <w:bottom w:w="100" w:type="dxa"/>
              <w:end w:w="120" w:type="dxa"/>
            </w:tcMar>
            <w:vAlign w:val="top"/>
          </w:tcPr>
          <w:p>
            <w:r>
              <w:t>Tests use clear human-readable names and feature grouping instead of journey IDs.</w:t>
            </w:r>
          </w:p>
        </w:tc>
      </w:tr>
      <w:tr>
        <w:tc>
          <w:tcPr>
            <w:tcW w:type="dxa" w:w="4968"/>
            <w:tcMar>
              <w:top w:w="100" w:type="dxa"/>
              <w:start w:w="120" w:type="dxa"/>
              <w:bottom w:w="100" w:type="dxa"/>
              <w:end w:w="120" w:type="dxa"/>
            </w:tcMar>
            <w:vAlign w:val="top"/>
          </w:tcPr>
          <w:p>
            <w:r>
              <w:t>Warnings before hard gates</w:t>
            </w:r>
          </w:p>
        </w:tc>
        <w:tc>
          <w:tcPr>
            <w:tcW w:type="dxa" w:w="4968"/>
            <w:tcMar>
              <w:top w:w="100" w:type="dxa"/>
              <w:start w:w="120" w:type="dxa"/>
              <w:bottom w:w="100" w:type="dxa"/>
              <w:end w:w="120" w:type="dxa"/>
            </w:tcMar>
            <w:vAlign w:val="top"/>
          </w:tcPr>
          <w:p>
            <w:r>
              <w:t>Signals that are uncertain, such as stale-code detection, should initially inform rather than block.</w:t>
            </w:r>
          </w:p>
        </w:tc>
      </w:tr>
      <w:tr>
        <w:tc>
          <w:tcPr>
            <w:tcW w:type="dxa" w:w="4968"/>
            <w:tcMar>
              <w:top w:w="100" w:type="dxa"/>
              <w:start w:w="120" w:type="dxa"/>
              <w:bottom w:w="100" w:type="dxa"/>
              <w:end w:w="120" w:type="dxa"/>
            </w:tcMar>
            <w:vAlign w:val="top"/>
          </w:tcPr>
          <w:p>
            <w:r>
              <w:t>Observability is part of safety</w:t>
            </w:r>
          </w:p>
        </w:tc>
        <w:tc>
          <w:tcPr>
            <w:tcW w:type="dxa" w:w="4968"/>
            <w:tcMar>
              <w:top w:w="100" w:type="dxa"/>
              <w:start w:w="120" w:type="dxa"/>
              <w:bottom w:w="100" w:type="dxa"/>
              <w:end w:w="120" w:type="dxa"/>
            </w:tcMar>
            <w:vAlign w:val="top"/>
          </w:tcPr>
          <w:p>
            <w:r>
              <w:t>Fast rollback, client error visibility and deployment health reduce reliance on review as the only safety barrier.</w:t>
            </w:r>
          </w:p>
        </w:tc>
      </w:tr>
      <w:tr>
        <w:tc>
          <w:tcPr>
            <w:tcW w:type="dxa" w:w="4968"/>
            <w:tcMar>
              <w:top w:w="100" w:type="dxa"/>
              <w:start w:w="120" w:type="dxa"/>
              <w:bottom w:w="100" w:type="dxa"/>
              <w:end w:w="120" w:type="dxa"/>
            </w:tcMar>
            <w:vAlign w:val="top"/>
          </w:tcPr>
          <w:p>
            <w:r>
              <w:t>Optimize for maintainability</w:t>
            </w:r>
          </w:p>
        </w:tc>
        <w:tc>
          <w:tcPr>
            <w:tcW w:type="dxa" w:w="4968"/>
            <w:tcMar>
              <w:top w:w="100" w:type="dxa"/>
              <w:start w:w="120" w:type="dxa"/>
              <w:bottom w:w="100" w:type="dxa"/>
              <w:end w:w="120" w:type="dxa"/>
            </w:tcMar>
            <w:vAlign w:val="top"/>
          </w:tcPr>
          <w:p>
            <w:r>
              <w:t>Any process cue that cannot be automated or understood quickly is likely to become ceremony.</w:t>
            </w:r>
          </w:p>
        </w:tc>
      </w:tr>
    </w:tbl>
    <w:p>
      <w:pPr>
        <w:pStyle w:val="Heading1"/>
      </w:pPr>
      <w:r>
        <w:t>5. Proposed System</w:t>
      </w:r>
    </w:p>
    <w:p>
      <w:pPr>
        <w:pStyle w:val="Heading2"/>
      </w:pPr>
      <w:r>
        <w:t>5.1 End-to-end flow</w:t>
      </w:r>
    </w:p>
    <w:p>
      <w:pPr>
        <w:pStyle w:val="CodeBlock"/>
      </w:pPr>
      <w:r>
        <w:t>Jira story</w:t>
        <w:br/>
        <w:t xml:space="preserve">  ↓</w:t>
        <w:br/>
        <w:t>Observable user outcome + proof scenarios</w:t>
        <w:br/>
        <w:t xml:space="preserve">  ↓</w:t>
        <w:br/>
        <w:t>Implementation + Playwright journey changes</w:t>
        <w:br/>
        <w:t xml:space="preserve">  ↓</w:t>
        <w:br/>
        <w:t>GitHub pull request</w:t>
        <w:br/>
        <w:t xml:space="preserve">  ↓</w:t>
        <w:br/>
        <w:t>Deterministic checks</w:t>
        <w:br/>
        <w:t xml:space="preserve">  ↓</w:t>
        <w:br/>
        <w:t>Diff-based risk classification</w:t>
        <w:br/>
        <w:t xml:space="preserve">  ↓</w:t>
        <w:br/>
        <w:t>Affected Playwright suites + global critical journeys</w:t>
        <w:br/>
        <w:t xml:space="preserve">  ↓</w:t>
        <w:br/>
        <w:t>Visual / accessibility / dependency / build checks as applicable</w:t>
        <w:br/>
        <w:t xml:space="preserve">  ↓</w:t>
        <w:br/>
        <w:t>┌──────────────────────────────┬───────────────────────────────┐</w:t>
        <w:br/>
        <w:t>│ Low-risk, strong evidence    │ Elevated / ambiguous risk     │</w:t>
        <w:br/>
        <w:t>│ → auto-merge eligible       │ → mandatory human review      │</w:t>
        <w:br/>
        <w:t>└──────────────────────────────┴───────────────────────────────┘</w:t>
        <w:br/>
        <w:t xml:space="preserve">  ↓</w:t>
        <w:br/>
        <w:t>Cloud Run deployment + monitoring + rollback capability</w:t>
      </w:r>
    </w:p>
    <w:p>
      <w:pPr>
        <w:pStyle w:val="Heading2"/>
      </w:pPr>
      <w:r>
        <w:t>5.2 Core components</w:t>
      </w:r>
    </w:p>
    <w:p>
      <w:pPr>
        <w:pStyle w:val="ListBullet"/>
      </w:pPr>
      <w:r>
        <w:t>Jira story template: prompts observable behavior and relevant failure conditions.</w:t>
      </w:r>
    </w:p>
    <w:p>
      <w:pPr>
        <w:pStyle w:val="ListBullet"/>
      </w:pPr>
      <w:r>
        <w:t>Playwright journey suite: executable specification of supported user behavior.</w:t>
      </w:r>
    </w:p>
    <w:p>
      <w:pPr>
        <w:pStyle w:val="ListBullet"/>
      </w:pPr>
      <w:r>
        <w:t>PR template: requests concise evidence and risk context without duplicating the Jira story.</w:t>
      </w:r>
    </w:p>
    <w:p>
      <w:pPr>
        <w:pStyle w:val="ListBullet"/>
      </w:pPr>
      <w:r>
        <w:t>CI policy engine: evaluates paths, diff size, test changes and sensitive areas.</w:t>
      </w:r>
    </w:p>
    <w:p>
      <w:pPr>
        <w:pStyle w:val="ListBullet"/>
      </w:pPr>
      <w:r>
        <w:t>Journey selection mechanism: runs feature-related suites plus a critical global suite.</w:t>
      </w:r>
    </w:p>
    <w:p>
      <w:pPr>
        <w:pStyle w:val="ListBullet"/>
      </w:pPr>
      <w:r>
        <w:t>Visual regression checks: used when UI appearance changes.</w:t>
      </w:r>
    </w:p>
    <w:p>
      <w:pPr>
        <w:pStyle w:val="ListBullet"/>
      </w:pPr>
      <w:r>
        <w:t>Product Reachability collector: instruments the Webpack test build and records source execution across journeys.</w:t>
      </w:r>
    </w:p>
    <w:p>
      <w:pPr>
        <w:pStyle w:val="ListBullet"/>
      </w:pPr>
      <w:r>
        <w:t>Post-merge safety controls: frontend error monitoring, deployment health and rollback.</w:t>
      </w:r>
    </w:p>
    <w:p>
      <w:pPr>
        <w:pStyle w:val="Heading1"/>
      </w:pPr>
      <w:r>
        <w:t>6. Jira Story Design</w:t>
      </w:r>
    </w:p>
    <w:p>
      <w:r>
        <w:t>The Jira template is intended to create the right cues at story creation and refinement. It avoids a static Definition of Ready checklist and avoids separately managed journey identifiers.</w:t>
      </w:r>
    </w:p>
    <w:p>
      <w:pPr>
        <w:pStyle w:val="Heading2"/>
      </w:pPr>
      <w:r>
        <w:t>6.1 Recommended template</w:t>
      </w:r>
    </w:p>
    <w:p>
      <w:pPr>
        <w:pStyle w:val="CodeBlock"/>
      </w:pPr>
      <w:r>
        <w:t>USER OUTCOME</w:t>
        <w:br/>
        <w:t>As a &lt;user/persona&gt;</w:t>
        <w:br/>
        <w:t>I want to &lt;observable action or capability&gt;</w:t>
        <w:br/>
        <w:t>So that &lt;user/business outcome&gt;</w:t>
        <w:br/>
        <w:br/>
        <w:t>HOW WILL WE KNOW THIS WORKS?</w:t>
        <w:br/>
        <w:t>Describe what a user would do in the browser to prove the story is complete.</w:t>
        <w:br/>
        <w:br/>
        <w:t>Main behaviour</w:t>
        <w:br/>
        <w:t>- Given ...</w:t>
        <w:br/>
        <w:t>- When ...</w:t>
        <w:br/>
        <w:t>- Then ...</w:t>
        <w:br/>
        <w:br/>
        <w:t>WHAT ELSE COULD HAPPEN?</w:t>
        <w:br/>
        <w:t>Complete only the prompts that apply:</w:t>
        <w:br/>
        <w:t>- Validation: What happens with invalid input?</w:t>
        <w:br/>
        <w:t>- Permission: What happens when the user is not allowed?</w:t>
        <w:br/>
        <w:t>- API/network failure: What should the user experience?</w:t>
        <w:br/>
        <w:t>- Empty/loading: What should be visible with no data or while loading?</w:t>
        <w:br/>
        <w:t>- Persistence: Should the result survive refresh/navigation?</w:t>
        <w:br/>
        <w:t>- Recovery: Can the user retry, cancel or recover?</w:t>
        <w:br/>
        <w:br/>
        <w:t>EXISTING BEHAVIOUR AFFECTED</w:t>
        <w:br/>
        <w:t>What current user behaviour could this change accidentally break?</w:t>
        <w:br/>
        <w:br/>
        <w:t>AUTOMATED PROOF EXPECTATION</w:t>
        <w:br/>
        <w:t>New or changed observable behaviour should be represented by Playwright unless a</w:t>
        <w:br/>
        <w:t>lower-level test is clearly more appropriate.</w:t>
      </w:r>
    </w:p>
    <w:p>
      <w:pPr>
        <w:pStyle w:val="Heading2"/>
      </w:pPr>
      <w:r>
        <w:t>6.2 Why these cues</w:t>
      </w:r>
    </w:p>
    <w:p>
      <w:pPr>
        <w:pStyle w:val="ListBullet"/>
      </w:pPr>
      <w:r>
        <w:t>“How will we know this works?” is more concrete than a generic acceptance-criteria heading.</w:t>
      </w:r>
    </w:p>
    <w:p>
      <w:pPr>
        <w:pStyle w:val="ListBullet"/>
      </w:pPr>
      <w:r>
        <w:t>Failure prompts are conditional rather than mandatory checkboxes, reducing ritualistic completion.</w:t>
      </w:r>
    </w:p>
    <w:p>
      <w:pPr>
        <w:pStyle w:val="ListBullet"/>
      </w:pPr>
      <w:r>
        <w:t>The existing-behavior prompt forces consideration of regression impact before code is written.</w:t>
      </w:r>
    </w:p>
    <w:p>
      <w:pPr>
        <w:pStyle w:val="ListBullet"/>
      </w:pPr>
      <w:r>
        <w:t>The test expectation is expressed in product language and does not dictate implementation detail.</w:t>
      </w:r>
    </w:p>
    <w:p>
      <w:pPr>
        <w:pStyle w:val="Heading2"/>
      </w:pPr>
      <w:r>
        <w:t>6.3 Story quality examples</w:t>
      </w:r>
    </w:p>
    <w:p>
      <w:r>
        <w:t>Weak: “Add address editing and handle errors gracefully.”</w:t>
      </w:r>
    </w:p>
    <w:p>
      <w:r>
        <w:t>Stronger: “A signed-in customer can update a delivery address, sees the saved address after reload, cannot submit missing required fields, and retains the previous address if the update fails.”</w:t>
      </w:r>
    </w:p>
    <w:p>
      <w:pPr>
        <w:pStyle w:val="Heading1"/>
      </w:pPr>
      <w:r>
        <w:t>7. Playwright Journey Model</w:t>
      </w:r>
    </w:p>
    <w:p>
      <w:pPr>
        <w:pStyle w:val="Heading2"/>
      </w:pPr>
      <w:r>
        <w:t>7.1 Definition of journey coverage</w:t>
      </w:r>
    </w:p>
    <w:tbl>
      <w:tblPr>
        <w:tblW w:type="auto" w:w="0"/>
        <w:jc w:val="center"/>
        <w:tblLayout w:type="autofit"/>
        <w:tblLook w:firstColumn="1" w:firstRow="1" w:lastColumn="0" w:lastRow="0" w:noHBand="0" w:noVBand="1" w:val="04A0"/>
      </w:tblPr>
      <w:tblGrid>
        <w:gridCol w:w="9936"/>
      </w:tblGrid>
      <w:tr>
        <w:tc>
          <w:tcPr>
            <w:tcW w:type="dxa" w:w="9936"/>
            <w:shd w:fill="FFF2CC"/>
            <w:tcMar>
              <w:top w:w="140" w:type="dxa"/>
              <w:start w:w="180" w:type="dxa"/>
              <w:bottom w:w="140" w:type="dxa"/>
              <w:end w:w="180" w:type="dxa"/>
            </w:tcMar>
          </w:tcPr>
          <w:p>
            <w:r>
              <w:rPr>
                <w:b/>
                <w:sz w:val="21"/>
              </w:rPr>
              <w:t>Working definition</w:t>
            </w:r>
          </w:p>
          <w:p>
            <w:pPr>
              <w:spacing w:after="0"/>
            </w:pPr>
            <w:r>
              <w:t>100% journey coverage means 100% of the supported user behaviors explicitly represented in the team’s story/product model have automated Playwright evidence. It does not mean every possible data permutation, browser state or implementation branch is covered.</w:t>
            </w:r>
          </w:p>
        </w:tc>
      </w:tr>
    </w:tbl>
    <w:p>
      <w:pPr>
        <w:pStyle w:val="Heading2"/>
      </w:pPr>
      <w:r>
        <w:t>7.2 Test naming convention</w:t>
      </w:r>
    </w:p>
    <w:p>
      <w:pPr>
        <w:pStyle w:val="CodeBlock"/>
      </w:pPr>
      <w:r>
        <w:t>test.describe('Delivery address', () =&gt; {</w:t>
        <w:br/>
        <w:t xml:space="preserve">  test('customer can change their delivery address and sees it after refresh', ...);</w:t>
        <w:br/>
        <w:t xml:space="preserve">  test('customer cannot save an address without required fields', ...);</w:t>
        <w:br/>
        <w:t xml:space="preserve">  test('customer keeps the previous address when the update fails', ...);</w:t>
        <w:br/>
        <w:t>});</w:t>
      </w:r>
    </w:p>
    <w:p>
      <w:r>
        <w:t>Names should describe user outcomes. Avoid names such as “submit button works”, “calls endpoint”, or “component renders”, because they couple tests to implementation details rather than supported behavior.</w:t>
      </w:r>
    </w:p>
    <w:p>
      <w:pPr>
        <w:pStyle w:val="Heading2"/>
      </w:pPr>
      <w:r>
        <w:t>7.3 Tags instead of journey IDs</w:t>
      </w:r>
    </w:p>
    <w:p>
      <w:pPr>
        <w:pStyle w:val="CodeBlock"/>
      </w:pPr>
      <w:r>
        <w:t>test('customer can change their delivery address and sees it after refresh', {</w:t>
        <w:br/>
        <w:t xml:space="preserve">  tag: ['@profile', '@critical']</w:t>
        <w:br/>
        <w:t>}, async ({ page }) =&gt; {</w:t>
        <w:br/>
        <w:t xml:space="preserve">  // user-level interactions and assertions</w:t>
        <w:br/>
        <w:t>});</w:t>
      </w:r>
    </w:p>
    <w:p>
      <w:pPr>
        <w:pStyle w:val="ListBullet"/>
      </w:pPr>
      <w:r>
        <w:t>Feature tags group tests by product area, e.g. @profile, @checkout, @search.</w:t>
      </w:r>
    </w:p>
    <w:p>
      <w:pPr>
        <w:pStyle w:val="ListBullet"/>
      </w:pPr>
      <w:r>
        <w:t>Risk/importance tags express cross-cutting importance, e.g. @critical.</w:t>
      </w:r>
    </w:p>
    <w:p>
      <w:pPr>
        <w:pStyle w:val="ListBullet"/>
      </w:pPr>
      <w:r>
        <w:t>Tags may be many-to-many and do not need globally unique numbering.</w:t>
      </w:r>
    </w:p>
    <w:p>
      <w:pPr>
        <w:pStyle w:val="ListBullet"/>
      </w:pPr>
      <w:r>
        <w:t>Test names remain the primary human-readable specification.</w:t>
      </w:r>
    </w:p>
    <w:p>
      <w:pPr>
        <w:pStyle w:val="Heading2"/>
      </w:pPr>
      <w:r>
        <w:t>7.4 Test design guidance</w:t>
      </w:r>
    </w:p>
    <w:p>
      <w:pPr>
        <w:pStyle w:val="ListBullet"/>
      </w:pPr>
      <w:r>
        <w:t>Prefer user-visible locators and assertions.</w:t>
      </w:r>
    </w:p>
    <w:p>
      <w:pPr>
        <w:pStyle w:val="ListBullet"/>
      </w:pPr>
      <w:r>
        <w:t>Exercise the application through the browser boundary rather than importing application internals.</w:t>
      </w:r>
    </w:p>
    <w:p>
      <w:pPr>
        <w:pStyle w:val="ListBullet"/>
      </w:pPr>
      <w:r>
        <w:t>Use realistic API integration where practical; when services must be stubbed, test both success and relevant failure responses.</w:t>
      </w:r>
    </w:p>
    <w:p>
      <w:pPr>
        <w:pStyle w:val="ListBullet"/>
      </w:pPr>
      <w:r>
        <w:t>Keep tests independent and deterministic.</w:t>
      </w:r>
    </w:p>
    <w:p>
      <w:pPr>
        <w:pStyle w:val="ListBullet"/>
      </w:pPr>
      <w:r>
        <w:t>Use retries as a diagnostic last resort, not as a substitute for reliability.</w:t>
      </w:r>
    </w:p>
    <w:p>
      <w:pPr>
        <w:pStyle w:val="ListBullet"/>
      </w:pPr>
      <w:r>
        <w:t>Treat flaky tests as defects in the safety system.</w:t>
      </w:r>
    </w:p>
    <w:p>
      <w:pPr>
        <w:pStyle w:val="Heading1"/>
      </w:pPr>
      <w:r>
        <w:t>8. Role of Unit Tests and Code Coverage</w:t>
      </w:r>
    </w:p>
    <w:p>
      <w:pPr>
        <w:pStyle w:val="Heading2"/>
      </w:pPr>
      <w:r>
        <w:t>8.1 Default position</w:t>
      </w:r>
    </w:p>
    <w:p>
      <w:r>
        <w:t>Unit tests are not required simply to increase a code-coverage percentage. The default evidence for user-facing frontend behavior is Playwright. Unit tests are added when they can validate an important property more clearly, cheaply or exhaustively than browser journeys.</w:t>
      </w:r>
    </w:p>
    <w:p>
      <w:pPr>
        <w:pStyle w:val="Heading2"/>
      </w:pPr>
      <w:r>
        <w:t>8.2 Good candidates for unit tests</w:t>
      </w:r>
    </w:p>
    <w:p>
      <w:pPr>
        <w:pStyle w:val="ListBullet"/>
      </w:pPr>
      <w:r>
        <w:t>Algorithmic or combinatorial logic with many input/output cases.</w:t>
      </w:r>
    </w:p>
    <w:p>
      <w:pPr>
        <w:pStyle w:val="ListBullet"/>
      </w:pPr>
      <w:r>
        <w:t>Complex data transformations.</w:t>
      </w:r>
    </w:p>
    <w:p>
      <w:pPr>
        <w:pStyle w:val="ListBullet"/>
      </w:pPr>
      <w:r>
        <w:t>State-machine transition logic.</w:t>
      </w:r>
    </w:p>
    <w:p>
      <w:pPr>
        <w:pStyle w:val="ListBullet"/>
      </w:pPr>
      <w:r>
        <w:t>Permission matrices whose permutations would make browser tests unnecessarily large.</w:t>
      </w:r>
    </w:p>
    <w:p>
      <w:pPr>
        <w:pStyle w:val="ListBullet"/>
      </w:pPr>
      <w:r>
        <w:t>Date/time or financial calculations.</w:t>
      </w:r>
    </w:p>
    <w:p>
      <w:pPr>
        <w:pStyle w:val="ListBullet"/>
      </w:pPr>
      <w:r>
        <w:t>Parsers, validators or pure domain rules.</w:t>
      </w:r>
    </w:p>
    <w:p>
      <w:pPr>
        <w:pStyle w:val="ListBullet"/>
      </w:pPr>
      <w:r>
        <w:t>Logic that is extremely expensive or impractical to trigger through the browser.</w:t>
      </w:r>
    </w:p>
    <w:p>
      <w:pPr>
        <w:pStyle w:val="Heading2"/>
      </w:pPr>
      <w:r>
        <w:t>8.3 Code coverage policy</w:t>
      </w:r>
    </w:p>
    <w:p>
      <w:pPr>
        <w:pStyle w:val="ListBullet"/>
      </w:pPr>
      <w:r>
        <w:t>No aggregate repository coverage threshold is proposed.</w:t>
      </w:r>
    </w:p>
    <w:p>
      <w:pPr>
        <w:pStyle w:val="ListBullet"/>
      </w:pPr>
      <w:r>
        <w:t>Coverage data may be used diagnostically to discover code not exercised by supported journeys.</w:t>
      </w:r>
    </w:p>
    <w:p>
      <w:pPr>
        <w:pStyle w:val="ListBullet"/>
      </w:pPr>
      <w:r>
        <w:t>A changed-code or branch warning may be useful for high-risk pure logic, but should not create a universal target.</w:t>
      </w:r>
    </w:p>
    <w:p>
      <w:pPr>
        <w:pStyle w:val="ListBullet"/>
      </w:pPr>
      <w:r>
        <w:t>Instrumentation used for Product Reachability must not be interpreted as a requirement to make every line green.</w:t>
      </w:r>
    </w:p>
    <w:p>
      <w:pPr>
        <w:pStyle w:val="Heading1"/>
      </w:pPr>
      <w:r>
        <w:t>9. GitHub Pull Request Template</w:t>
      </w:r>
    </w:p>
    <w:p>
      <w:pPr>
        <w:pStyle w:val="CodeBlock"/>
      </w:pPr>
      <w:r>
        <w:t>## What changed?</w:t>
        <w:br/>
        <w:t>Describe the user-visible behavior changed by this PR.</w:t>
        <w:br/>
        <w:t>Jira: &lt;link&gt;</w:t>
        <w:br/>
        <w:br/>
        <w:t>## How is this proved?</w:t>
        <w:br/>
        <w:t>List the Playwright behavior(s) that demonstrate the change works.</w:t>
        <w:br/>
        <w:t>Use human-readable test names.</w:t>
        <w:br/>
        <w:br/>
        <w:t>Test evidence:</w:t>
        <w:br/>
        <w:t>- [ ] Existing Playwright journeys already cover this behavior</w:t>
        <w:br/>
        <w:t>- [ ] I added or updated Playwright journeys</w:t>
        <w:br/>
        <w:t>- [ ] No user-visible behavior changed</w:t>
        <w:br/>
        <w:br/>
        <w:t>## What could this break?</w:t>
        <w:br/>
        <w:t>Name existing behavior that could be affected, or state "None known".</w:t>
        <w:br/>
        <w:br/>
        <w:t>## Risk signals</w:t>
        <w:br/>
        <w:t>- [ ] Authentication / authorization</w:t>
        <w:br/>
        <w:t>- [ ] Routing / navigation infrastructure</w:t>
        <w:br/>
        <w:t>- [ ] Shared application state</w:t>
        <w:br/>
        <w:t>- [ ] API contracts / data transformation</w:t>
        <w:br/>
        <w:t>- [ ] User action that modifies data</w:t>
        <w:br/>
        <w:t>- [ ] Dependencies / lockfile</w:t>
        <w:br/>
        <w:t>- [ ] Build / Webpack configuration</w:t>
        <w:br/>
        <w:t>- [ ] Cloud Run / deployment configuration</w:t>
        <w:br/>
        <w:t>- [ ] Feature-flag infrastructure</w:t>
        <w:br/>
        <w:t>- [ ] Analytics semantics</w:t>
        <w:br/>
        <w:t>- [ ] None of the above</w:t>
        <w:br/>
        <w:br/>
        <w:t>## Visual evidence</w:t>
        <w:br/>
        <w:t>Add before/after evidence when appearance intentionally changes.</w:t>
      </w:r>
    </w:p>
    <w:p>
      <w:pPr>
        <w:pStyle w:val="Heading2"/>
      </w:pPr>
      <w:r>
        <w:t>9.1 Template philosophy</w:t>
      </w:r>
    </w:p>
    <w:p>
      <w:pPr>
        <w:pStyle w:val="ListBullet"/>
      </w:pPr>
      <w:r>
        <w:t>Manual checkboxes are cues, not trusted evidence.</w:t>
      </w:r>
    </w:p>
    <w:p>
      <w:pPr>
        <w:pStyle w:val="ListBullet"/>
      </w:pPr>
      <w:r>
        <w:t>CI independently determines sensitive paths and whether Playwright files changed.</w:t>
      </w:r>
    </w:p>
    <w:p>
      <w:pPr>
        <w:pStyle w:val="ListBullet"/>
      </w:pPr>
      <w:r>
        <w:t>The PR should be concise and point to executable evidence rather than reproduce the story.</w:t>
      </w:r>
    </w:p>
    <w:p>
      <w:pPr>
        <w:pStyle w:val="ListBullet"/>
      </w:pPr>
      <w:r>
        <w:t>A developer may explain why no new test is needed, but that explanation should prevent automatic merge if the system cannot independently establish coverage.</w:t>
      </w:r>
    </w:p>
    <w:p>
      <w:pPr>
        <w:pStyle w:val="Heading1"/>
      </w:pPr>
      <w:r>
        <w:t>10. Risk-Based Review Policy</w:t>
      </w:r>
    </w:p>
    <w:p>
      <w:pPr>
        <w:pStyle w:val="Heading2"/>
      </w:pPr>
      <w:r>
        <w:t>10.1 Review lanes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Lane</w:t>
            </w:r>
          </w:p>
        </w:tc>
        <w:tc>
          <w:tcPr>
            <w:tcW w:type="dxa" w:w="2484"/>
            <w:shd w:fill="D9EAF7"/>
          </w:tcPr>
          <w:p>
            <w:r>
              <w:t>Typical change</w:t>
            </w:r>
          </w:p>
        </w:tc>
        <w:tc>
          <w:tcPr>
            <w:tcW w:type="dxa" w:w="2484"/>
            <w:shd w:fill="D9EAF7"/>
          </w:tcPr>
          <w:p>
            <w:r>
              <w:t>Automated evidence</w:t>
            </w:r>
          </w:p>
        </w:tc>
        <w:tc>
          <w:tcPr>
            <w:tcW w:type="dxa" w:w="2484"/>
            <w:shd w:fill="D9EAF7"/>
          </w:tcPr>
          <w:p>
            <w:r>
              <w:t>Human review</w:t>
            </w:r>
          </w:p>
        </w:tc>
      </w:tr>
      <w:tr>
        <w:tc>
          <w:tcPr>
            <w:tcW w:type="dxa" w:w="2484"/>
            <w:tcMar>
              <w:top w:w="100" w:type="dxa"/>
              <w:start w:w="120" w:type="dxa"/>
              <w:bottom w:w="100" w:type="dxa"/>
              <w:end w:w="120" w:type="dxa"/>
            </w:tcMar>
            <w:vAlign w:val="top"/>
          </w:tcPr>
          <w:p>
            <w:r>
              <w:t>Fast path</w:t>
            </w:r>
          </w:p>
        </w:tc>
        <w:tc>
          <w:tcPr>
            <w:tcW w:type="dxa" w:w="2484"/>
            <w:tcMar>
              <w:top w:w="100" w:type="dxa"/>
              <w:start w:w="120" w:type="dxa"/>
              <w:bottom w:w="100" w:type="dxa"/>
              <w:end w:w="120" w:type="dxa"/>
            </w:tcMar>
            <w:vAlign w:val="top"/>
          </w:tcPr>
          <w:p>
            <w:r>
              <w:t>Documentation, tests-only, narrowly scoped non-behavioral changes</w:t>
            </w:r>
          </w:p>
        </w:tc>
        <w:tc>
          <w:tcPr>
            <w:tcW w:type="dxa" w:w="2484"/>
            <w:tcMar>
              <w:top w:w="100" w:type="dxa"/>
              <w:start w:w="120" w:type="dxa"/>
              <w:bottom w:w="100" w:type="dxa"/>
              <w:end w:w="120" w:type="dxa"/>
            </w:tcMar>
            <w:vAlign w:val="top"/>
          </w:tcPr>
          <w:p>
            <w:r>
              <w:t>Build/lint/smoke as relevant</w:t>
            </w:r>
          </w:p>
        </w:tc>
        <w:tc>
          <w:tcPr>
            <w:tcW w:type="dxa" w:w="2484"/>
            <w:tcMar>
              <w:top w:w="100" w:type="dxa"/>
              <w:start w:w="120" w:type="dxa"/>
              <w:bottom w:w="100" w:type="dxa"/>
              <w:end w:w="120" w:type="dxa"/>
            </w:tcMar>
            <w:vAlign w:val="top"/>
          </w:tcPr>
          <w:p>
            <w:r>
              <w:t>Not normally required</w:t>
            </w:r>
          </w:p>
        </w:tc>
      </w:tr>
      <w:tr>
        <w:tc>
          <w:tcPr>
            <w:tcW w:type="dxa" w:w="2484"/>
            <w:tcMar>
              <w:top w:w="100" w:type="dxa"/>
              <w:start w:w="120" w:type="dxa"/>
              <w:bottom w:w="100" w:type="dxa"/>
              <w:end w:w="120" w:type="dxa"/>
            </w:tcMar>
            <w:vAlign w:val="top"/>
          </w:tcPr>
          <w:p>
            <w:r>
              <w:t>Low-risk behavioral</w:t>
            </w:r>
          </w:p>
        </w:tc>
        <w:tc>
          <w:tcPr>
            <w:tcW w:type="dxa" w:w="2484"/>
            <w:tcMar>
              <w:top w:w="100" w:type="dxa"/>
              <w:start w:w="120" w:type="dxa"/>
              <w:bottom w:w="100" w:type="dxa"/>
              <w:end w:w="120" w:type="dxa"/>
            </w:tcMar>
            <w:vAlign w:val="top"/>
          </w:tcPr>
          <w:p>
            <w:r>
              <w:t>Small UI behavior change within one feature; no sensitive paths</w:t>
            </w:r>
          </w:p>
        </w:tc>
        <w:tc>
          <w:tcPr>
            <w:tcW w:type="dxa" w:w="2484"/>
            <w:tcMar>
              <w:top w:w="100" w:type="dxa"/>
              <w:start w:w="120" w:type="dxa"/>
              <w:bottom w:w="100" w:type="dxa"/>
              <w:end w:w="120" w:type="dxa"/>
            </w:tcMar>
            <w:vAlign w:val="top"/>
          </w:tcPr>
          <w:p>
            <w:r>
              <w:t>Affected journeys + critical journeys + applicable visual checks</w:t>
            </w:r>
          </w:p>
        </w:tc>
        <w:tc>
          <w:tcPr>
            <w:tcW w:type="dxa" w:w="2484"/>
            <w:tcMar>
              <w:top w:w="100" w:type="dxa"/>
              <w:start w:w="120" w:type="dxa"/>
              <w:bottom w:w="100" w:type="dxa"/>
              <w:end w:w="120" w:type="dxa"/>
            </w:tcMar>
            <w:vAlign w:val="top"/>
          </w:tcPr>
          <w:p>
            <w:r>
              <w:t>May be bypassed when policy passes</w:t>
            </w:r>
          </w:p>
        </w:tc>
      </w:tr>
      <w:tr>
        <w:tc>
          <w:tcPr>
            <w:tcW w:type="dxa" w:w="2484"/>
            <w:tcMar>
              <w:top w:w="100" w:type="dxa"/>
              <w:start w:w="120" w:type="dxa"/>
              <w:bottom w:w="100" w:type="dxa"/>
              <w:end w:w="120" w:type="dxa"/>
            </w:tcMar>
            <w:vAlign w:val="top"/>
          </w:tcPr>
          <w:p>
            <w:r>
              <w:t>Standard</w:t>
            </w:r>
          </w:p>
        </w:tc>
        <w:tc>
          <w:tcPr>
            <w:tcW w:type="dxa" w:w="2484"/>
            <w:tcMar>
              <w:top w:w="100" w:type="dxa"/>
              <w:start w:w="120" w:type="dxa"/>
              <w:bottom w:w="100" w:type="dxa"/>
              <w:end w:w="120" w:type="dxa"/>
            </w:tcMar>
            <w:vAlign w:val="top"/>
          </w:tcPr>
          <w:p>
            <w:r>
              <w:t>Broader behavior or multi-feature change</w:t>
            </w:r>
          </w:p>
        </w:tc>
        <w:tc>
          <w:tcPr>
            <w:tcW w:type="dxa" w:w="2484"/>
            <w:tcMar>
              <w:top w:w="100" w:type="dxa"/>
              <w:start w:w="120" w:type="dxa"/>
              <w:bottom w:w="100" w:type="dxa"/>
              <w:end w:w="120" w:type="dxa"/>
            </w:tcMar>
            <w:vAlign w:val="top"/>
          </w:tcPr>
          <w:p>
            <w:r>
              <w:t>Full deterministic checks and impacted suites</w:t>
            </w:r>
          </w:p>
        </w:tc>
        <w:tc>
          <w:tcPr>
            <w:tcW w:type="dxa" w:w="2484"/>
            <w:tcMar>
              <w:top w:w="100" w:type="dxa"/>
              <w:start w:w="120" w:type="dxa"/>
              <w:bottom w:w="100" w:type="dxa"/>
              <w:end w:w="120" w:type="dxa"/>
            </w:tcMar>
            <w:vAlign w:val="top"/>
          </w:tcPr>
          <w:p>
            <w:r>
              <w:t>Required</w:t>
            </w:r>
          </w:p>
        </w:tc>
      </w:tr>
      <w:tr>
        <w:tc>
          <w:tcPr>
            <w:tcW w:type="dxa" w:w="2484"/>
            <w:tcMar>
              <w:top w:w="100" w:type="dxa"/>
              <w:start w:w="120" w:type="dxa"/>
              <w:bottom w:w="100" w:type="dxa"/>
              <w:end w:w="120" w:type="dxa"/>
            </w:tcMar>
            <w:vAlign w:val="top"/>
          </w:tcPr>
          <w:p>
            <w:r>
              <w:t>High-risk</w:t>
            </w:r>
          </w:p>
        </w:tc>
        <w:tc>
          <w:tcPr>
            <w:tcW w:type="dxa" w:w="2484"/>
            <w:tcMar>
              <w:top w:w="100" w:type="dxa"/>
              <w:start w:w="120" w:type="dxa"/>
              <w:bottom w:w="100" w:type="dxa"/>
              <w:end w:w="120" w:type="dxa"/>
            </w:tcMar>
            <w:vAlign w:val="top"/>
          </w:tcPr>
          <w:p>
            <w:r>
              <w:t>Auth, permissions, routing infra, shared state infra, API contract infra, dependencies, build/deploy config</w:t>
            </w:r>
          </w:p>
        </w:tc>
        <w:tc>
          <w:tcPr>
            <w:tcW w:type="dxa" w:w="2484"/>
            <w:tcMar>
              <w:top w:w="100" w:type="dxa"/>
              <w:start w:w="120" w:type="dxa"/>
              <w:bottom w:w="100" w:type="dxa"/>
              <w:end w:w="120" w:type="dxa"/>
            </w:tcMar>
            <w:vAlign w:val="top"/>
          </w:tcPr>
          <w:p>
            <w:r>
              <w:t>All applicable checks</w:t>
            </w:r>
          </w:p>
        </w:tc>
        <w:tc>
          <w:tcPr>
            <w:tcW w:type="dxa" w:w="2484"/>
            <w:tcMar>
              <w:top w:w="100" w:type="dxa"/>
              <w:start w:w="120" w:type="dxa"/>
              <w:bottom w:w="100" w:type="dxa"/>
              <w:end w:w="120" w:type="dxa"/>
            </w:tcMar>
            <w:vAlign w:val="top"/>
          </w:tcPr>
          <w:p>
            <w:r>
              <w:t>Always required</w:t>
            </w:r>
          </w:p>
        </w:tc>
      </w:tr>
    </w:tbl>
    <w:p>
      <w:pPr>
        <w:pStyle w:val="Heading2"/>
      </w:pPr>
      <w:r>
        <w:t>10.2 Automatic risk signals</w:t>
      </w:r>
    </w:p>
    <w:p>
      <w:pPr>
        <w:pStyle w:val="ListBullet"/>
      </w:pPr>
      <w:r>
        <w:t>Sensitive path patterns.</w:t>
      </w:r>
    </w:p>
    <w:p>
      <w:pPr>
        <w:pStyle w:val="ListBullet"/>
      </w:pPr>
      <w:r>
        <w:t>Production files changed.</w:t>
      </w:r>
    </w:p>
    <w:p>
      <w:pPr>
        <w:pStyle w:val="ListBullet"/>
      </w:pPr>
      <w:r>
        <w:t>Changed production lines.</w:t>
      </w:r>
    </w:p>
    <w:p>
      <w:pPr>
        <w:pStyle w:val="ListBullet"/>
      </w:pPr>
      <w:r>
        <w:t>Number of feature areas touched.</w:t>
      </w:r>
    </w:p>
    <w:p>
      <w:pPr>
        <w:pStyle w:val="ListBullet"/>
      </w:pPr>
      <w:r>
        <w:t>Dependency manifest or lockfile changes.</w:t>
      </w:r>
    </w:p>
    <w:p>
      <w:pPr>
        <w:pStyle w:val="ListBullet"/>
      </w:pPr>
      <w:r>
        <w:t>Webpack, Docker, Cloud Run or CI configuration changes.</w:t>
      </w:r>
    </w:p>
    <w:p>
      <w:pPr>
        <w:pStyle w:val="ListBullet"/>
      </w:pPr>
      <w:r>
        <w:t>Authentication/authorization modules.</w:t>
      </w:r>
    </w:p>
    <w:p>
      <w:pPr>
        <w:pStyle w:val="ListBullet"/>
      </w:pPr>
      <w:r>
        <w:t>Shared/global state infrastructure.</w:t>
      </w:r>
    </w:p>
    <w:p>
      <w:pPr>
        <w:pStyle w:val="ListBullet"/>
      </w:pPr>
      <w:r>
        <w:t>API-client or schema infrastructure.</w:t>
      </w:r>
    </w:p>
    <w:p>
      <w:pPr>
        <w:pStyle w:val="ListBullet"/>
      </w:pPr>
      <w:r>
        <w:t>Presence or absence of affected Playwright evidence.</w:t>
      </w:r>
    </w:p>
    <w:p>
      <w:pPr>
        <w:pStyle w:val="ListBullet"/>
      </w:pPr>
      <w:r>
        <w:t>Unexpected visual-regression changes.</w:t>
      </w:r>
    </w:p>
    <w:p>
      <w:pPr>
        <w:pStyle w:val="ListBullet"/>
      </w:pPr>
      <w:r>
        <w:t>Any failed or flaky critical journey.</w:t>
      </w:r>
    </w:p>
    <w:p>
      <w:pPr>
        <w:pStyle w:val="Heading2"/>
      </w:pPr>
      <w:r>
        <w:t>10.3 Initial POC decision logic</w:t>
      </w:r>
    </w:p>
    <w:p>
      <w:pPr>
        <w:pStyle w:val="CodeBlock"/>
      </w:pPr>
      <w:r>
        <w:t>AUTO-MERGE ELIGIBLE only when ALL are true:</w:t>
        <w:br/>
        <w:t>- deterministic checks pass</w:t>
        <w:br/>
        <w:t>- change is classified as low-risk</w:t>
        <w:br/>
        <w:t>- no sensitive path changed</w:t>
        <w:br/>
        <w:t>- PR is within configured size/feature-area limits</w:t>
        <w:br/>
        <w:t>- impacted Playwright journeys pass</w:t>
        <w:br/>
        <w:t>- @critical Playwright suite passes</w:t>
        <w:br/>
        <w:t>- visual regression passes when UI appearance changed</w:t>
        <w:br/>
        <w:t>- no dependency/build/deploy configuration changed</w:t>
        <w:br/>
        <w:t>- no unexplained behavioral change without automated evidence</w:t>
        <w:br/>
        <w:br/>
        <w:t>Otherwise:</w:t>
        <w:br/>
        <w:t>- route to human review</w:t>
        <w:br/>
        <w:t>- do not attempt to force an automated approval</w:t>
      </w:r>
    </w:p>
    <w:p>
      <w:pPr>
        <w:pStyle w:val="Heading1"/>
      </w:pPr>
      <w:r>
        <w:t>11. CI Rules</w:t>
      </w:r>
    </w:p>
    <w:p>
      <w:pPr>
        <w:pStyle w:val="Heading2"/>
      </w:pPr>
      <w:r>
        <w:t>11.1 Checks for every PR</w:t>
      </w:r>
    </w:p>
    <w:p>
      <w:pPr>
        <w:pStyle w:val="ListBullet"/>
      </w:pPr>
      <w:r>
        <w:t>TypeScript compilation.</w:t>
      </w:r>
    </w:p>
    <w:p>
      <w:pPr>
        <w:pStyle w:val="ListBullet"/>
      </w:pPr>
      <w:r>
        <w:t>ESLint and formatting policy where applicable.</w:t>
      </w:r>
    </w:p>
    <w:p>
      <w:pPr>
        <w:pStyle w:val="ListBullet"/>
      </w:pPr>
      <w:r>
        <w:t>Webpack production build.</w:t>
      </w:r>
    </w:p>
    <w:p>
      <w:pPr>
        <w:pStyle w:val="ListBullet"/>
      </w:pPr>
      <w:r>
        <w:t>Dependency/security scanning.</w:t>
      </w:r>
    </w:p>
    <w:p>
      <w:pPr>
        <w:pStyle w:val="ListBullet"/>
      </w:pPr>
      <w:r>
        <w:t>Secret scanning.</w:t>
      </w:r>
    </w:p>
    <w:p>
      <w:pPr>
        <w:pStyle w:val="ListBullet"/>
      </w:pPr>
      <w:r>
        <w:t>Playwright smoke/boot check.</w:t>
      </w:r>
    </w:p>
    <w:p>
      <w:pPr>
        <w:pStyle w:val="ListBullet"/>
      </w:pPr>
      <w:r>
        <w:t>Risk-classification job.</w:t>
      </w:r>
    </w:p>
    <w:p>
      <w:pPr>
        <w:pStyle w:val="Heading2"/>
      </w:pPr>
      <w:r>
        <w:t>11.2 Behavioral-change detection</w:t>
      </w:r>
    </w:p>
    <w:p>
      <w:r>
        <w:t>CI should classify a PR as behavior-affecting when production files under feature, component, route, hook, validation, API-client or state directories change. The exact path model should reflect the repository structure. The developer’s checkbox is not authoritative.</w:t>
      </w:r>
    </w:p>
    <w:p>
      <w:pPr>
        <w:pStyle w:val="Heading2"/>
      </w:pPr>
      <w:r>
        <w:t>11.3 Affected journey selection</w:t>
      </w:r>
    </w:p>
    <w:p>
      <w:r>
        <w:t>The simplest POC uses a repository-owned mapping from product source areas to Playwright test directories or tags. This is intentionally coarse-grained and maintainable.</w:t>
      </w:r>
    </w:p>
    <w:p>
      <w:pPr>
        <w:pStyle w:val="CodeBlock"/>
      </w:pPr>
      <w:r>
        <w:t>src/features/profile/**   -&gt; tests/profile/** or @profile</w:t>
        <w:br/>
        <w:t>src/features/checkout/**  -&gt; tests/checkout/** or @checkout</w:t>
        <w:br/>
        <w:t>src/features/search/**    -&gt; tests/search/** or @search</w:t>
        <w:br/>
        <w:t>src/auth/**               -&gt; tests/auth/** + @critical</w:t>
        <w:br/>
        <w:t>src/routing/**            -&gt; all critical journeys + mandatory review</w:t>
      </w:r>
    </w:p>
    <w:p>
      <w:r>
        <w:t>A later system may infer impact through dependency graphs, but the POC should prefer transparent rules over a sophisticated mechanism that is hard to trust.</w:t>
      </w:r>
    </w:p>
    <w:p>
      <w:pPr>
        <w:pStyle w:val="Heading2"/>
      </w:pPr>
      <w:r>
        <w:t>11.4 Visual regression</w:t>
      </w:r>
    </w:p>
    <w:p>
      <w:pPr>
        <w:pStyle w:val="ListBullet"/>
      </w:pPr>
      <w:r>
        <w:t>Trigger visual checks when JSX/TSX markup, style modules, CSS/Sass or shared visual primitives change.</w:t>
      </w:r>
    </w:p>
    <w:p>
      <w:pPr>
        <w:pStyle w:val="ListBullet"/>
      </w:pPr>
      <w:r>
        <w:t>Unexpected diffs fail the check.</w:t>
      </w:r>
    </w:p>
    <w:p>
      <w:pPr>
        <w:pStyle w:val="ListBullet"/>
      </w:pPr>
      <w:r>
        <w:t>Intentional baseline updates must be explicit and reviewable.</w:t>
      </w:r>
    </w:p>
    <w:p>
      <w:pPr>
        <w:pStyle w:val="ListBullet"/>
      </w:pPr>
      <w:r>
        <w:t>Visual checks should cover representative screen states rather than every pixel of every journey if doing so creates instability.</w:t>
      </w:r>
    </w:p>
    <w:p>
      <w:pPr>
        <w:pStyle w:val="Heading2"/>
      </w:pPr>
      <w:r>
        <w:t>11.5 Accessibility</w:t>
      </w:r>
    </w:p>
    <w:p>
      <w:r>
        <w:t>Accessibility checks can be attached to critical or changed screens using automated browser-level tooling. Violations should be treated as behavioral quality signals. The POC may begin with high-confidence automated rules rather than attempting to replace manual accessibility assessment.</w:t>
      </w:r>
    </w:p>
    <w:p>
      <w:pPr>
        <w:pStyle w:val="Heading1"/>
      </w:pPr>
      <w:r>
        <w:t>12. Product Reachability and Stale-Code Detection</w:t>
      </w:r>
    </w:p>
    <w:p>
      <w:pPr>
        <w:pStyle w:val="Heading2"/>
      </w:pPr>
      <w:r>
        <w:t>12.1 Objective</w:t>
      </w:r>
    </w:p>
    <w:p>
      <w:r>
        <w:t>The objective is to identify production code that appears to have no relationship to any supported automated user journey. The result is an investigation queue, not an automatic deletion list and not a code-coverage KPI.</w:t>
      </w:r>
    </w:p>
    <w:p>
      <w:pPr>
        <w:pStyle w:val="Heading2"/>
      </w:pPr>
      <w:r>
        <w:t>12.2 Signals</w:t>
      </w:r>
    </w:p>
    <w:p>
      <w:pPr>
        <w:pStyle w:val="ListBullet"/>
      </w:pPr>
      <w:r>
        <w:t>Webpack production module graph: whether the module is part of the built application.</w:t>
      </w:r>
    </w:p>
    <w:p>
      <w:pPr>
        <w:pStyle w:val="ListBullet"/>
      </w:pPr>
      <w:r>
        <w:t>Istanbul runtime execution during the complete Playwright journey suite.</w:t>
      </w:r>
    </w:p>
    <w:p>
      <w:pPr>
        <w:pStyle w:val="ListBullet"/>
      </w:pPr>
      <w:r>
        <w:t>Static references/import reachability.</w:t>
      </w:r>
    </w:p>
    <w:p>
      <w:pPr>
        <w:pStyle w:val="ListBullet"/>
      </w:pPr>
      <w:r>
        <w:t>Route/feature-flag reachability where metadata is available.</w:t>
      </w:r>
    </w:p>
    <w:p>
      <w:pPr>
        <w:pStyle w:val="ListBullet"/>
      </w:pPr>
      <w:r>
        <w:t>Git age / last meaningful modification.</w:t>
      </w:r>
    </w:p>
    <w:p>
      <w:pPr>
        <w:pStyle w:val="ListBullet"/>
      </w:pPr>
      <w:r>
        <w:t>Explicit allowlist for rare or intentionally dormant behavior.</w:t>
      </w:r>
    </w:p>
    <w:p>
      <w:pPr>
        <w:pStyle w:val="Heading2"/>
      </w:pPr>
      <w:r>
        <w:t>12.3 Classification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Classification</w:t>
            </w:r>
          </w:p>
        </w:tc>
        <w:tc>
          <w:tcPr>
            <w:tcW w:type="dxa" w:w="3312"/>
            <w:shd w:fill="D9EAF7"/>
          </w:tcPr>
          <w:p>
            <w:r>
              <w:t>Evidence</w:t>
            </w:r>
          </w:p>
        </w:tc>
        <w:tc>
          <w:tcPr>
            <w:tcW w:type="dxa" w:w="3312"/>
            <w:shd w:fill="D9EAF7"/>
          </w:tcPr>
          <w:p>
            <w:r>
              <w:t>Action</w:t>
            </w:r>
          </w:p>
        </w:tc>
      </w:tr>
      <w:tr>
        <w:tc>
          <w:tcPr>
            <w:tcW w:type="dxa" w:w="3312"/>
            <w:tcMar>
              <w:top w:w="100" w:type="dxa"/>
              <w:start w:w="120" w:type="dxa"/>
              <w:bottom w:w="100" w:type="dxa"/>
              <w:end w:w="120" w:type="dxa"/>
            </w:tcMar>
            <w:vAlign w:val="top"/>
          </w:tcPr>
          <w:p>
            <w:r>
              <w:t>Active</w:t>
            </w:r>
          </w:p>
        </w:tc>
        <w:tc>
          <w:tcPr>
            <w:tcW w:type="dxa" w:w="3312"/>
            <w:tcMar>
              <w:top w:w="100" w:type="dxa"/>
              <w:start w:w="120" w:type="dxa"/>
              <w:bottom w:w="100" w:type="dxa"/>
              <w:end w:w="120" w:type="dxa"/>
            </w:tcMar>
            <w:vAlign w:val="top"/>
          </w:tcPr>
          <w:p>
            <w:r>
              <w:t>Reached by one or more supported Playwright journeys</w:t>
            </w:r>
          </w:p>
        </w:tc>
        <w:tc>
          <w:tcPr>
            <w:tcW w:type="dxa" w:w="3312"/>
            <w:tcMar>
              <w:top w:w="100" w:type="dxa"/>
              <w:start w:w="120" w:type="dxa"/>
              <w:bottom w:w="100" w:type="dxa"/>
              <w:end w:w="120" w:type="dxa"/>
            </w:tcMar>
            <w:vAlign w:val="top"/>
          </w:tcPr>
          <w:p>
            <w:r>
              <w:t>No stale-code action</w:t>
            </w:r>
          </w:p>
        </w:tc>
      </w:tr>
      <w:tr>
        <w:tc>
          <w:tcPr>
            <w:tcW w:type="dxa" w:w="3312"/>
            <w:tcMar>
              <w:top w:w="100" w:type="dxa"/>
              <w:start w:w="120" w:type="dxa"/>
              <w:bottom w:w="100" w:type="dxa"/>
              <w:end w:w="120" w:type="dxa"/>
            </w:tcMar>
            <w:vAlign w:val="top"/>
          </w:tcPr>
          <w:p>
            <w:r>
              <w:t>Expected rare</w:t>
            </w:r>
          </w:p>
        </w:tc>
        <w:tc>
          <w:tcPr>
            <w:tcW w:type="dxa" w:w="3312"/>
            <w:tcMar>
              <w:top w:w="100" w:type="dxa"/>
              <w:start w:w="120" w:type="dxa"/>
              <w:bottom w:w="100" w:type="dxa"/>
              <w:end w:w="120" w:type="dxa"/>
            </w:tcMar>
            <w:vAlign w:val="top"/>
          </w:tcPr>
          <w:p>
            <w:r>
              <w:t>Not reached in routine journeys but explicitly documented/allowlisted</w:t>
            </w:r>
          </w:p>
        </w:tc>
        <w:tc>
          <w:tcPr>
            <w:tcW w:type="dxa" w:w="3312"/>
            <w:tcMar>
              <w:top w:w="100" w:type="dxa"/>
              <w:start w:w="120" w:type="dxa"/>
              <w:bottom w:w="100" w:type="dxa"/>
              <w:end w:w="120" w:type="dxa"/>
            </w:tcMar>
            <w:vAlign w:val="top"/>
          </w:tcPr>
          <w:p>
            <w:r>
              <w:t>Keep; periodically validate reason</w:t>
            </w:r>
          </w:p>
        </w:tc>
      </w:tr>
      <w:tr>
        <w:tc>
          <w:tcPr>
            <w:tcW w:type="dxa" w:w="3312"/>
            <w:tcMar>
              <w:top w:w="100" w:type="dxa"/>
              <w:start w:w="120" w:type="dxa"/>
              <w:bottom w:w="100" w:type="dxa"/>
              <w:end w:w="120" w:type="dxa"/>
            </w:tcMar>
            <w:vAlign w:val="top"/>
          </w:tcPr>
          <w:p>
            <w:r>
              <w:t>Suspicious</w:t>
            </w:r>
          </w:p>
        </w:tc>
        <w:tc>
          <w:tcPr>
            <w:tcW w:type="dxa" w:w="3312"/>
            <w:tcMar>
              <w:top w:w="100" w:type="dxa"/>
              <w:start w:w="120" w:type="dxa"/>
              <w:bottom w:w="100" w:type="dxa"/>
              <w:end w:w="120" w:type="dxa"/>
            </w:tcMar>
            <w:vAlign w:val="top"/>
          </w:tcPr>
          <w:p>
            <w:r>
              <w:t>In production graph but never reached by journeys</w:t>
            </w:r>
          </w:p>
        </w:tc>
        <w:tc>
          <w:tcPr>
            <w:tcW w:type="dxa" w:w="3312"/>
            <w:tcMar>
              <w:top w:w="100" w:type="dxa"/>
              <w:start w:w="120" w:type="dxa"/>
              <w:bottom w:w="100" w:type="dxa"/>
              <w:end w:w="120" w:type="dxa"/>
            </w:tcMar>
            <w:vAlign w:val="top"/>
          </w:tcPr>
          <w:p>
            <w:r>
              <w:t>Investigate product relevance and missing journey coverage</w:t>
            </w:r>
          </w:p>
        </w:tc>
      </w:tr>
      <w:tr>
        <w:tc>
          <w:tcPr>
            <w:tcW w:type="dxa" w:w="3312"/>
            <w:tcMar>
              <w:top w:w="100" w:type="dxa"/>
              <w:start w:w="120" w:type="dxa"/>
              <w:bottom w:w="100" w:type="dxa"/>
              <w:end w:w="120" w:type="dxa"/>
            </w:tcMar>
            <w:vAlign w:val="top"/>
          </w:tcPr>
          <w:p>
            <w:r>
              <w:t>High-confidence stale candidate</w:t>
            </w:r>
          </w:p>
        </w:tc>
        <w:tc>
          <w:tcPr>
            <w:tcW w:type="dxa" w:w="3312"/>
            <w:tcMar>
              <w:top w:w="100" w:type="dxa"/>
              <w:start w:w="120" w:type="dxa"/>
              <w:bottom w:w="100" w:type="dxa"/>
              <w:end w:w="120" w:type="dxa"/>
            </w:tcMar>
            <w:vAlign w:val="top"/>
          </w:tcPr>
          <w:p>
            <w:r>
              <w:t>No runtime reachability, no meaningful active reference/route/flag, old or orphaned code</w:t>
            </w:r>
          </w:p>
        </w:tc>
        <w:tc>
          <w:tcPr>
            <w:tcW w:type="dxa" w:w="3312"/>
            <w:tcMar>
              <w:top w:w="100" w:type="dxa"/>
              <w:start w:w="120" w:type="dxa"/>
              <w:bottom w:w="100" w:type="dxa"/>
              <w:end w:w="120" w:type="dxa"/>
            </w:tcMar>
            <w:vAlign w:val="top"/>
          </w:tcPr>
          <w:p>
            <w:r>
              <w:t>Candidate for deletion through a normal change</w:t>
            </w:r>
          </w:p>
        </w:tc>
      </w:tr>
      <w:tr>
        <w:tc>
          <w:tcPr>
            <w:tcW w:type="dxa" w:w="3312"/>
            <w:tcMar>
              <w:top w:w="100" w:type="dxa"/>
              <w:start w:w="120" w:type="dxa"/>
              <w:bottom w:w="100" w:type="dxa"/>
              <w:end w:w="120" w:type="dxa"/>
            </w:tcMar>
            <w:vAlign w:val="top"/>
          </w:tcPr>
          <w:p>
            <w:r>
              <w:t>Statically dead candidate</w:t>
            </w:r>
          </w:p>
        </w:tc>
        <w:tc>
          <w:tcPr>
            <w:tcW w:type="dxa" w:w="3312"/>
            <w:tcMar>
              <w:top w:w="100" w:type="dxa"/>
              <w:start w:w="120" w:type="dxa"/>
              <w:bottom w:w="100" w:type="dxa"/>
              <w:end w:w="120" w:type="dxa"/>
            </w:tcMar>
            <w:vAlign w:val="top"/>
          </w:tcPr>
          <w:p>
            <w:r>
              <w:t>Not part of production graph and no intended dynamic loading path</w:t>
            </w:r>
          </w:p>
        </w:tc>
        <w:tc>
          <w:tcPr>
            <w:tcW w:type="dxa" w:w="3312"/>
            <w:tcMar>
              <w:top w:w="100" w:type="dxa"/>
              <w:start w:w="120" w:type="dxa"/>
              <w:bottom w:w="100" w:type="dxa"/>
              <w:end w:w="120" w:type="dxa"/>
            </w:tcMar>
            <w:vAlign w:val="top"/>
          </w:tcPr>
          <w:p>
            <w:r>
              <w:t>Investigate with static tooling; likely removable</w:t>
            </w:r>
          </w:p>
        </w:tc>
      </w:tr>
    </w:tbl>
    <w:p>
      <w:pPr>
        <w:pStyle w:val="Heading1"/>
      </w:pPr>
      <w:r>
        <w:t>13. Webpack + Istanbul Reachability Implementation</w:t>
      </w:r>
    </w:p>
    <w:p>
      <w:pPr>
        <w:pStyle w:val="Heading2"/>
      </w:pPr>
      <w:r>
        <w:t>13.1 Instrumented test build</w:t>
      </w:r>
    </w:p>
    <w:p>
      <w:r>
        <w:t>The normal production bundle remains uninstrumented. A dedicated reachability build enables Istanbul instrumentation through the existing Babel/Webpack pipeline.</w:t>
      </w:r>
    </w:p>
    <w:p>
      <w:pPr>
        <w:pStyle w:val="CodeBlock"/>
      </w:pPr>
      <w:r>
        <w:t>// babel.config.js (illustrative)</w:t>
        <w:br/>
        <w:t>module.exports = function (api) {</w:t>
        <w:br/>
        <w:t xml:space="preserve">  const reachability = process.env.REACHABILITY === 'true';</w:t>
        <w:br/>
        <w:t xml:space="preserve">  api.cache(false);</w:t>
        <w:br/>
        <w:br/>
        <w:t xml:space="preserve">  return {</w:t>
        <w:br/>
        <w:t xml:space="preserve">    presets: [</w:t>
        <w:br/>
        <w:t xml:space="preserve">      '@babel/preset-env',</w:t>
        <w:br/>
        <w:t xml:space="preserve">      ['@babel/preset-react', { runtime: 'automatic' }],</w:t>
        <w:br/>
        <w:t xml:space="preserve">      '@babel/preset-typescript'</w:t>
        <w:br/>
        <w:t xml:space="preserve">    ],</w:t>
        <w:br/>
        <w:t xml:space="preserve">    plugins: [</w:t>
        <w:br/>
        <w:t xml:space="preserve">      ...(reachability ? [[</w:t>
        <w:br/>
        <w:t xml:space="preserve">        'istanbul',</w:t>
        <w:br/>
        <w:t xml:space="preserve">        {</w:t>
        <w:br/>
        <w:t xml:space="preserve">          include: ['src/**/*.{js,jsx,ts,tsx}'],</w:t>
        <w:br/>
        <w:t xml:space="preserve">          exclude: ['**/*.test.*', '**/*.spec.*', '**/*.stories.*', '**/*.d.ts']</w:t>
        <w:br/>
        <w:t xml:space="preserve">        }</w:t>
        <w:br/>
        <w:t xml:space="preserve">      ]] : [])</w:t>
        <w:br/>
        <w:t xml:space="preserve">    ]</w:t>
        <w:br/>
        <w:t xml:space="preserve">  };</w:t>
        <w:br/>
        <w:t>};</w:t>
      </w:r>
    </w:p>
    <w:p>
      <w:pPr>
        <w:pStyle w:val="Heading2"/>
      </w:pPr>
      <w:r>
        <w:t>13.2 Runtime collection</w:t>
      </w:r>
    </w:p>
    <w:p>
      <w:r>
        <w:t>Playwright captures window.__coverage__ from the instrumented application and persists the data. The collector must account for page reloads/navigation and merge coverage snapshots across tests and workers.</w:t>
      </w:r>
    </w:p>
    <w:p>
      <w:pPr>
        <w:pStyle w:val="CodeBlock"/>
      </w:pPr>
      <w:r>
        <w:t>Playwright journeys</w:t>
        <w:br/>
        <w:t xml:space="preserve">   -&gt; browser executes instrumented bundle</w:t>
        <w:br/>
        <w:t xml:space="preserve">   -&gt; window.__coverage__ counters are updated</w:t>
        <w:br/>
        <w:t xml:space="preserve">   -&gt; coverage snapshots persisted per test/worker/context</w:t>
        <w:br/>
        <w:t xml:space="preserve">   -&gt; snapshots merged with istanbul-lib-coverage</w:t>
        <w:br/>
        <w:t xml:space="preserve">   -&gt; paths normalized to repository-relative TS/TSX source files</w:t>
      </w:r>
    </w:p>
    <w:p>
      <w:pPr>
        <w:pStyle w:val="Heading2"/>
      </w:pPr>
      <w:r>
        <w:t>13.3 Source inventory</w:t>
      </w:r>
    </w:p>
    <w:p>
      <w:pPr>
        <w:pStyle w:val="ListBullet"/>
      </w:pPr>
      <w:r>
        <w:t>Enumerate production source files from the repository.</w:t>
      </w:r>
    </w:p>
    <w:p>
      <w:pPr>
        <w:pStyle w:val="ListBullet"/>
      </w:pPr>
      <w:r>
        <w:t>Exclude type declarations, tests, stories, generated output and explicitly non-production files.</w:t>
      </w:r>
    </w:p>
    <w:p>
      <w:pPr>
        <w:pStyle w:val="ListBullet"/>
      </w:pPr>
      <w:r>
        <w:t>Compare the source inventory with runtime-observed files.</w:t>
      </w:r>
    </w:p>
    <w:p>
      <w:pPr>
        <w:pStyle w:val="ListBullet"/>
      </w:pPr>
      <w:r>
        <w:t>Enrich candidates with Webpack graph/static-reference information and optional Git age.</w:t>
      </w:r>
    </w:p>
    <w:p>
      <w:pPr>
        <w:pStyle w:val="Heading2"/>
      </w:pPr>
      <w:r>
        <w:t>13.4 Example report</w:t>
      </w:r>
    </w:p>
    <w:p>
      <w:pPr>
        <w:pStyle w:val="CodeBlock"/>
      </w:pPr>
      <w:r>
        <w:t>PRODUCT REACHABILITY</w:t>
        <w:br/>
        <w:t>====================</w:t>
        <w:br/>
        <w:t>Playwright journeys passed: 184 / 184</w:t>
        <w:br/>
        <w:t>Production modules:          817</w:t>
        <w:br/>
        <w:t>Reached by journeys:         779</w:t>
        <w:br/>
        <w:t>Not reached:                  38</w:t>
        <w:br/>
        <w:t>Expected rare:                21</w:t>
        <w:br/>
        <w:t>Stale candidates:             17</w:t>
        <w:br/>
        <w:br/>
        <w:t>HIGH-CONFIDENCE CANDIDATES</w:t>
        <w:br/>
        <w:t>--------------------------</w:t>
        <w:br/>
        <w:t>src/features/legacy/OldSearch.tsx</w:t>
        <w:br/>
        <w:t xml:space="preserve">  runtime reachability: none</w:t>
        <w:br/>
        <w:t xml:space="preserve">  active production import: none</w:t>
        <w:br/>
        <w:t xml:space="preserve">  active route/flag: none</w:t>
        <w:br/>
        <w:t xml:space="preserve">  last meaningful change: old</w:t>
        <w:br/>
        <w:br/>
        <w:t>REVIEW</w:t>
        <w:br/>
        <w:t>------</w:t>
        <w:br/>
        <w:t>src/errors/OfflineRecovery.tsx</w:t>
        <w:br/>
        <w:t xml:space="preserve">  runtime reachability: none</w:t>
        <w:br/>
        <w:t xml:space="preserve">  production import: yes</w:t>
        <w:br/>
        <w:t xml:space="preserve">  classification: rare/error path; determine whether to add a journey or allowlist</w:t>
      </w:r>
    </w:p>
    <w:p>
      <w:pPr>
        <w:pStyle w:val="Heading1"/>
      </w:pPr>
      <w:r>
        <w:t>14. Rare-Code Allowlist</w:t>
      </w:r>
    </w:p>
    <w:p>
      <w:r>
        <w:t>Some code is intentionally not exercised in ordinary journeys. The POC should support a small repository-owned allowlist with a reason. Where practical, exceptions should have an expiry or review trigger so the allowlist does not become permanent storage for unexplained code.</w:t>
      </w:r>
    </w:p>
    <w:p>
      <w:pPr>
        <w:pStyle w:val="CodeBlock"/>
      </w:pPr>
      <w:r>
        <w:t># stale-code-allowlist.yml</w:t>
        <w:br/>
        <w:t>- path: src/errors/UnsupportedBrowser.tsx</w:t>
        <w:br/>
        <w:t xml:space="preserve">  reason: Browser compatibility fallback</w:t>
        <w:br/>
        <w:br/>
        <w:t>- path: src/features/emergency-recovery/**</w:t>
        <w:br/>
        <w:t xml:space="preserve">  reason: Emergency-only recovery path</w:t>
        <w:br/>
        <w:br/>
        <w:t>- path: src/features/new-checkout/**</w:t>
        <w:br/>
        <w:t xml:space="preserve">  reason: Feature-flagged capability not yet generally reachable</w:t>
        <w:br/>
        <w:t xml:space="preserve">  review_when: feature flag becomes generally enabled</w:t>
      </w:r>
    </w:p>
    <w:p>
      <w:pPr>
        <w:pStyle w:val="Heading1"/>
      </w:pPr>
      <w:r>
        <w:t>15. Optional Automated Semantic Reviewer</w:t>
      </w:r>
    </w:p>
    <w:p>
      <w:r>
        <w:t>An LLM reviewer may be evaluated as an additional risk signal, but it should not be the foundation of the POC. Deterministic evidence and path-based policy should remain authoritative.</w:t>
      </w:r>
    </w:p>
    <w:p>
      <w:pPr>
        <w:pStyle w:val="ListBullet"/>
      </w:pPr>
      <w:r>
        <w:t>Review the diff for obvious logic, security, accessibility, state-management or error-handling concerns.</w:t>
      </w:r>
    </w:p>
    <w:p>
      <w:pPr>
        <w:pStyle w:val="ListBullet"/>
      </w:pPr>
      <w:r>
        <w:t>Compare implementation with the PR’s stated behavior and test evidence.</w:t>
      </w:r>
    </w:p>
    <w:p>
      <w:pPr>
        <w:pStyle w:val="ListBullet"/>
      </w:pPr>
      <w:r>
        <w:t>Flag potentially missing user scenarios.</w:t>
      </w:r>
    </w:p>
    <w:p>
      <w:pPr>
        <w:pStyle w:val="ListBullet"/>
      </w:pPr>
      <w:r>
        <w:t>Never override failed deterministic checks.</w:t>
      </w:r>
    </w:p>
    <w:p>
      <w:pPr>
        <w:pStyle w:val="ListBullet"/>
      </w:pPr>
      <w:r>
        <w:t>A low-confidence or negative model result routes to human review rather than blocking or force-approving by itself.</w:t>
      </w:r>
    </w:p>
    <w:p>
      <w:pPr>
        <w:pStyle w:val="ListBullet"/>
      </w:pPr>
      <w:r>
        <w:t>Model output should be observable and auditable so false positives and false negatives can be assessed.</w:t>
      </w:r>
    </w:p>
    <w:p>
      <w:pPr>
        <w:pStyle w:val="Heading1"/>
      </w:pPr>
      <w:r>
        <w:t>16. GCP Cloud Run Safety Controls</w:t>
      </w:r>
    </w:p>
    <w:p>
      <w:r>
        <w:t>Reducing mandatory review is safer when deployment is not treated as an irreversible event. The proof of concept should assume that review is only one layer of protection.</w:t>
      </w:r>
    </w:p>
    <w:p>
      <w:pPr>
        <w:pStyle w:val="ListBullet"/>
      </w:pPr>
      <w:r>
        <w:t>Build immutable application/container artifacts.</w:t>
      </w:r>
    </w:p>
    <w:p>
      <w:pPr>
        <w:pStyle w:val="ListBullet"/>
      </w:pPr>
      <w:r>
        <w:t>Retain a known-good previous Cloud Run revision.</w:t>
      </w:r>
    </w:p>
    <w:p>
      <w:pPr>
        <w:pStyle w:val="ListBullet"/>
      </w:pPr>
      <w:r>
        <w:t>Make rollback operationally simple and tested.</w:t>
      </w:r>
    </w:p>
    <w:p>
      <w:pPr>
        <w:pStyle w:val="ListBullet"/>
      </w:pPr>
      <w:r>
        <w:t>Monitor browser/client errors and failed network requests.</w:t>
      </w:r>
    </w:p>
    <w:p>
      <w:pPr>
        <w:pStyle w:val="ListBullet"/>
      </w:pPr>
      <w:r>
        <w:t>Monitor application availability and deployment health.</w:t>
      </w:r>
    </w:p>
    <w:p>
      <w:pPr>
        <w:pStyle w:val="ListBullet"/>
      </w:pPr>
      <w:r>
        <w:t>Track regressions in critical user flows where synthetic checks are practical.</w:t>
      </w:r>
    </w:p>
    <w:p>
      <w:pPr>
        <w:pStyle w:val="ListBullet"/>
      </w:pPr>
      <w:r>
        <w:t>Record which merge lane a deployed change used so post-deploy defects can be correlated with review policy.</w:t>
      </w:r>
    </w:p>
    <w:p>
      <w:pPr>
        <w:pStyle w:val="Heading1"/>
      </w:pPr>
      <w:r>
        <w:t>17. POC Evaluation Metrics</w:t>
      </w:r>
    </w:p>
    <w:p>
      <w:r>
        <w:t>The POC should be judged by outcomes, not by the percentage of PRs that avoid review. A high auto-merge rate is undesirable if defects, flakiness or uncertainty increase.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Metric</w:t>
            </w:r>
          </w:p>
        </w:tc>
        <w:tc>
          <w:tcPr>
            <w:tcW w:type="dxa" w:w="3312"/>
            <w:shd w:fill="D9EAF7"/>
          </w:tcPr>
          <w:p>
            <w:r>
              <w:t>Why it matters</w:t>
            </w:r>
          </w:p>
        </w:tc>
        <w:tc>
          <w:tcPr>
            <w:tcW w:type="dxa" w:w="3312"/>
            <w:shd w:fill="D9EAF7"/>
          </w:tcPr>
          <w:p>
            <w:r>
              <w:t>Desired interpretation</w:t>
            </w:r>
          </w:p>
        </w:tc>
      </w:tr>
      <w:tr>
        <w:tc>
          <w:tcPr>
            <w:tcW w:type="dxa" w:w="3312"/>
            <w:tcMar>
              <w:top w:w="100" w:type="dxa"/>
              <w:start w:w="120" w:type="dxa"/>
              <w:bottom w:w="100" w:type="dxa"/>
              <w:end w:w="120" w:type="dxa"/>
            </w:tcMar>
            <w:vAlign w:val="top"/>
          </w:tcPr>
          <w:p>
            <w:r>
              <w:t>Time waiting for human review</w:t>
            </w:r>
          </w:p>
        </w:tc>
        <w:tc>
          <w:tcPr>
            <w:tcW w:type="dxa" w:w="3312"/>
            <w:tcMar>
              <w:top w:w="100" w:type="dxa"/>
              <w:start w:w="120" w:type="dxa"/>
              <w:bottom w:w="100" w:type="dxa"/>
              <w:end w:w="120" w:type="dxa"/>
            </w:tcMar>
            <w:vAlign w:val="top"/>
          </w:tcPr>
          <w:p>
            <w:r>
              <w:t>Direct measure of the bottleneck</w:t>
            </w:r>
          </w:p>
        </w:tc>
        <w:tc>
          <w:tcPr>
            <w:tcW w:type="dxa" w:w="3312"/>
            <w:tcMar>
              <w:top w:w="100" w:type="dxa"/>
              <w:start w:w="120" w:type="dxa"/>
              <w:bottom w:w="100" w:type="dxa"/>
              <w:end w:w="120" w:type="dxa"/>
            </w:tcMar>
            <w:vAlign w:val="top"/>
          </w:tcPr>
          <w:p>
            <w:r>
              <w:t>Should decline for eligible low-risk changes</w:t>
            </w:r>
          </w:p>
        </w:tc>
      </w:tr>
      <w:tr>
        <w:tc>
          <w:tcPr>
            <w:tcW w:type="dxa" w:w="3312"/>
            <w:tcMar>
              <w:top w:w="100" w:type="dxa"/>
              <w:start w:w="120" w:type="dxa"/>
              <w:bottom w:w="100" w:type="dxa"/>
              <w:end w:w="120" w:type="dxa"/>
            </w:tcMar>
            <w:vAlign w:val="top"/>
          </w:tcPr>
          <w:p>
            <w:r>
              <w:t>PR open-to-merge time</w:t>
            </w:r>
          </w:p>
        </w:tc>
        <w:tc>
          <w:tcPr>
            <w:tcW w:type="dxa" w:w="3312"/>
            <w:tcMar>
              <w:top w:w="100" w:type="dxa"/>
              <w:start w:w="120" w:type="dxa"/>
              <w:bottom w:w="100" w:type="dxa"/>
              <w:end w:w="120" w:type="dxa"/>
            </w:tcMar>
            <w:vAlign w:val="top"/>
          </w:tcPr>
          <w:p>
            <w:r>
              <w:t>Overall delivery friction</w:t>
            </w:r>
          </w:p>
        </w:tc>
        <w:tc>
          <w:tcPr>
            <w:tcW w:type="dxa" w:w="3312"/>
            <w:tcMar>
              <w:top w:w="100" w:type="dxa"/>
              <w:start w:w="120" w:type="dxa"/>
              <w:bottom w:w="100" w:type="dxa"/>
              <w:end w:w="120" w:type="dxa"/>
            </w:tcMar>
            <w:vAlign w:val="top"/>
          </w:tcPr>
          <w:p>
            <w:r>
              <w:t>Should improve without increased defects</w:t>
            </w:r>
          </w:p>
        </w:tc>
      </w:tr>
      <w:tr>
        <w:tc>
          <w:tcPr>
            <w:tcW w:type="dxa" w:w="3312"/>
            <w:tcMar>
              <w:top w:w="100" w:type="dxa"/>
              <w:start w:w="120" w:type="dxa"/>
              <w:bottom w:w="100" w:type="dxa"/>
              <w:end w:w="120" w:type="dxa"/>
            </w:tcMar>
            <w:vAlign w:val="top"/>
          </w:tcPr>
          <w:p>
            <w:r>
              <w:t>Revert/rollback rate by review lane</w:t>
            </w:r>
          </w:p>
        </w:tc>
        <w:tc>
          <w:tcPr>
            <w:tcW w:type="dxa" w:w="3312"/>
            <w:tcMar>
              <w:top w:w="100" w:type="dxa"/>
              <w:start w:w="120" w:type="dxa"/>
              <w:bottom w:w="100" w:type="dxa"/>
              <w:end w:w="120" w:type="dxa"/>
            </w:tcMar>
            <w:vAlign w:val="top"/>
          </w:tcPr>
          <w:p>
            <w:r>
              <w:t>Safety signal</w:t>
            </w:r>
          </w:p>
        </w:tc>
        <w:tc>
          <w:tcPr>
            <w:tcW w:type="dxa" w:w="3312"/>
            <w:tcMar>
              <w:top w:w="100" w:type="dxa"/>
              <w:start w:w="120" w:type="dxa"/>
              <w:bottom w:w="100" w:type="dxa"/>
              <w:end w:w="120" w:type="dxa"/>
            </w:tcMar>
            <w:vAlign w:val="top"/>
          </w:tcPr>
          <w:p>
            <w:r>
              <w:t>Auto-merged low-risk changes should remain acceptably low-risk</w:t>
            </w:r>
          </w:p>
        </w:tc>
      </w:tr>
      <w:tr>
        <w:tc>
          <w:tcPr>
            <w:tcW w:type="dxa" w:w="3312"/>
            <w:tcMar>
              <w:top w:w="100" w:type="dxa"/>
              <w:start w:w="120" w:type="dxa"/>
              <w:bottom w:w="100" w:type="dxa"/>
              <w:end w:w="120" w:type="dxa"/>
            </w:tcMar>
            <w:vAlign w:val="top"/>
          </w:tcPr>
          <w:p>
            <w:r>
              <w:t>Escaped frontend defect rate</w:t>
            </w:r>
          </w:p>
        </w:tc>
        <w:tc>
          <w:tcPr>
            <w:tcW w:type="dxa" w:w="3312"/>
            <w:tcMar>
              <w:top w:w="100" w:type="dxa"/>
              <w:start w:w="120" w:type="dxa"/>
              <w:bottom w:w="100" w:type="dxa"/>
              <w:end w:w="120" w:type="dxa"/>
            </w:tcMar>
            <w:vAlign w:val="top"/>
          </w:tcPr>
          <w:p>
            <w:r>
              <w:t>Product quality signal</w:t>
            </w:r>
          </w:p>
        </w:tc>
        <w:tc>
          <w:tcPr>
            <w:tcW w:type="dxa" w:w="3312"/>
            <w:tcMar>
              <w:top w:w="100" w:type="dxa"/>
              <w:start w:w="120" w:type="dxa"/>
              <w:bottom w:w="100" w:type="dxa"/>
              <w:end w:w="120" w:type="dxa"/>
            </w:tcMar>
            <w:vAlign w:val="top"/>
          </w:tcPr>
          <w:p>
            <w:r>
              <w:t>Should not increase because review was bypassed</w:t>
            </w:r>
          </w:p>
        </w:tc>
      </w:tr>
      <w:tr>
        <w:tc>
          <w:tcPr>
            <w:tcW w:type="dxa" w:w="3312"/>
            <w:tcMar>
              <w:top w:w="100" w:type="dxa"/>
              <w:start w:w="120" w:type="dxa"/>
              <w:bottom w:w="100" w:type="dxa"/>
              <w:end w:w="120" w:type="dxa"/>
            </w:tcMar>
            <w:vAlign w:val="top"/>
          </w:tcPr>
          <w:p>
            <w:r>
              <w:t>Critical journey pass rate</w:t>
            </w:r>
          </w:p>
        </w:tc>
        <w:tc>
          <w:tcPr>
            <w:tcW w:type="dxa" w:w="3312"/>
            <w:tcMar>
              <w:top w:w="100" w:type="dxa"/>
              <w:start w:w="120" w:type="dxa"/>
              <w:bottom w:w="100" w:type="dxa"/>
              <w:end w:w="120" w:type="dxa"/>
            </w:tcMar>
            <w:vAlign w:val="top"/>
          </w:tcPr>
          <w:p>
            <w:r>
              <w:t>Reliability of behavioral evidence</w:t>
            </w:r>
          </w:p>
        </w:tc>
        <w:tc>
          <w:tcPr>
            <w:tcW w:type="dxa" w:w="3312"/>
            <w:tcMar>
              <w:top w:w="100" w:type="dxa"/>
              <w:start w:w="120" w:type="dxa"/>
              <w:bottom w:w="100" w:type="dxa"/>
              <w:end w:w="120" w:type="dxa"/>
            </w:tcMar>
            <w:vAlign w:val="top"/>
          </w:tcPr>
          <w:p>
            <w:r>
              <w:t>Must remain high and trustworthy</w:t>
            </w:r>
          </w:p>
        </w:tc>
      </w:tr>
      <w:tr>
        <w:tc>
          <w:tcPr>
            <w:tcW w:type="dxa" w:w="3312"/>
            <w:tcMar>
              <w:top w:w="100" w:type="dxa"/>
              <w:start w:w="120" w:type="dxa"/>
              <w:bottom w:w="100" w:type="dxa"/>
              <w:end w:w="120" w:type="dxa"/>
            </w:tcMar>
            <w:vAlign w:val="top"/>
          </w:tcPr>
          <w:p>
            <w:r>
              <w:t>Flaky-test rate</w:t>
            </w:r>
          </w:p>
        </w:tc>
        <w:tc>
          <w:tcPr>
            <w:tcW w:type="dxa" w:w="3312"/>
            <w:tcMar>
              <w:top w:w="100" w:type="dxa"/>
              <w:start w:w="120" w:type="dxa"/>
              <w:bottom w:w="100" w:type="dxa"/>
              <w:end w:w="120" w:type="dxa"/>
            </w:tcMar>
            <w:vAlign w:val="top"/>
          </w:tcPr>
          <w:p>
            <w:r>
              <w:t>Health of safety system</w:t>
            </w:r>
          </w:p>
        </w:tc>
        <w:tc>
          <w:tcPr>
            <w:tcW w:type="dxa" w:w="3312"/>
            <w:tcMar>
              <w:top w:w="100" w:type="dxa"/>
              <w:start w:w="120" w:type="dxa"/>
              <w:bottom w:w="100" w:type="dxa"/>
              <w:end w:w="120" w:type="dxa"/>
            </w:tcMar>
            <w:vAlign w:val="top"/>
          </w:tcPr>
          <w:p>
            <w:r>
              <w:t>Must be low; flaky critical tests erode confidence</w:t>
            </w:r>
          </w:p>
        </w:tc>
      </w:tr>
      <w:tr>
        <w:tc>
          <w:tcPr>
            <w:tcW w:type="dxa" w:w="3312"/>
            <w:tcMar>
              <w:top w:w="100" w:type="dxa"/>
              <w:start w:w="120" w:type="dxa"/>
              <w:bottom w:w="100" w:type="dxa"/>
              <w:end w:w="120" w:type="dxa"/>
            </w:tcMar>
            <w:vAlign w:val="top"/>
          </w:tcPr>
          <w:p>
            <w:r>
              <w:t>False escalation rate</w:t>
            </w:r>
          </w:p>
        </w:tc>
        <w:tc>
          <w:tcPr>
            <w:tcW w:type="dxa" w:w="3312"/>
            <w:tcMar>
              <w:top w:w="100" w:type="dxa"/>
              <w:start w:w="120" w:type="dxa"/>
              <w:bottom w:w="100" w:type="dxa"/>
              <w:end w:w="120" w:type="dxa"/>
            </w:tcMar>
            <w:vAlign w:val="top"/>
          </w:tcPr>
          <w:p>
            <w:r>
              <w:t>Efficiency of risk rules</w:t>
            </w:r>
          </w:p>
        </w:tc>
        <w:tc>
          <w:tcPr>
            <w:tcW w:type="dxa" w:w="3312"/>
            <w:tcMar>
              <w:top w:w="100" w:type="dxa"/>
              <w:start w:w="120" w:type="dxa"/>
              <w:bottom w:w="100" w:type="dxa"/>
              <w:end w:w="120" w:type="dxa"/>
            </w:tcMar>
            <w:vAlign w:val="top"/>
          </w:tcPr>
          <w:p>
            <w:r>
              <w:t>How often low-risk work is unnecessarily sent to review</w:t>
            </w:r>
          </w:p>
        </w:tc>
      </w:tr>
      <w:tr>
        <w:tc>
          <w:tcPr>
            <w:tcW w:type="dxa" w:w="3312"/>
            <w:tcMar>
              <w:top w:w="100" w:type="dxa"/>
              <w:start w:w="120" w:type="dxa"/>
              <w:bottom w:w="100" w:type="dxa"/>
              <w:end w:w="120" w:type="dxa"/>
            </w:tcMar>
            <w:vAlign w:val="top"/>
          </w:tcPr>
          <w:p>
            <w:r>
              <w:t>False fast-path incidents</w:t>
            </w:r>
          </w:p>
        </w:tc>
        <w:tc>
          <w:tcPr>
            <w:tcW w:type="dxa" w:w="3312"/>
            <w:tcMar>
              <w:top w:w="100" w:type="dxa"/>
              <w:start w:w="120" w:type="dxa"/>
              <w:bottom w:w="100" w:type="dxa"/>
              <w:end w:w="120" w:type="dxa"/>
            </w:tcMar>
            <w:vAlign w:val="top"/>
          </w:tcPr>
          <w:p>
            <w:r>
              <w:t>Most important policy failure</w:t>
            </w:r>
          </w:p>
        </w:tc>
        <w:tc>
          <w:tcPr>
            <w:tcW w:type="dxa" w:w="3312"/>
            <w:tcMar>
              <w:top w:w="100" w:type="dxa"/>
              <w:start w:w="120" w:type="dxa"/>
              <w:bottom w:w="100" w:type="dxa"/>
              <w:end w:w="120" w:type="dxa"/>
            </w:tcMar>
            <w:vAlign w:val="top"/>
          </w:tcPr>
          <w:p>
            <w:r>
              <w:t>Any significant escaped risk should cause rule analysis</w:t>
            </w:r>
          </w:p>
        </w:tc>
      </w:tr>
      <w:tr>
        <w:tc>
          <w:tcPr>
            <w:tcW w:type="dxa" w:w="3312"/>
            <w:tcMar>
              <w:top w:w="100" w:type="dxa"/>
              <w:start w:w="120" w:type="dxa"/>
              <w:bottom w:w="100" w:type="dxa"/>
              <w:end w:w="120" w:type="dxa"/>
            </w:tcMar>
            <w:vAlign w:val="top"/>
          </w:tcPr>
          <w:p>
            <w:r>
              <w:t>Stale-code candidate yield</w:t>
            </w:r>
          </w:p>
        </w:tc>
        <w:tc>
          <w:tcPr>
            <w:tcW w:type="dxa" w:w="3312"/>
            <w:tcMar>
              <w:top w:w="100" w:type="dxa"/>
              <w:start w:w="120" w:type="dxa"/>
              <w:bottom w:w="100" w:type="dxa"/>
              <w:end w:w="120" w:type="dxa"/>
            </w:tcMar>
            <w:vAlign w:val="top"/>
          </w:tcPr>
          <w:p>
            <w:r>
              <w:t>Usefulness of reachability report</w:t>
            </w:r>
          </w:p>
        </w:tc>
        <w:tc>
          <w:tcPr>
            <w:tcW w:type="dxa" w:w="3312"/>
            <w:tcMar>
              <w:top w:w="100" w:type="dxa"/>
              <w:start w:w="120" w:type="dxa"/>
              <w:bottom w:w="100" w:type="dxa"/>
              <w:end w:w="120" w:type="dxa"/>
            </w:tcMar>
            <w:vAlign w:val="top"/>
          </w:tcPr>
          <w:p>
            <w:r>
              <w:t>Candidates should produce meaningful cleanup or reveal journey gaps</w:t>
            </w:r>
          </w:p>
        </w:tc>
      </w:tr>
      <w:tr>
        <w:tc>
          <w:tcPr>
            <w:tcW w:type="dxa" w:w="3312"/>
            <w:tcMar>
              <w:top w:w="100" w:type="dxa"/>
              <w:start w:w="120" w:type="dxa"/>
              <w:bottom w:w="100" w:type="dxa"/>
              <w:end w:w="120" w:type="dxa"/>
            </w:tcMar>
            <w:vAlign w:val="top"/>
          </w:tcPr>
          <w:p>
            <w:r>
              <w:t>Unit test maintenance avoided/added</w:t>
            </w:r>
          </w:p>
        </w:tc>
        <w:tc>
          <w:tcPr>
            <w:tcW w:type="dxa" w:w="3312"/>
            <w:tcMar>
              <w:top w:w="100" w:type="dxa"/>
              <w:start w:w="120" w:type="dxa"/>
              <w:bottom w:w="100" w:type="dxa"/>
              <w:end w:w="120" w:type="dxa"/>
            </w:tcMar>
            <w:vAlign w:val="top"/>
          </w:tcPr>
          <w:p>
            <w:r>
              <w:t>Testing strategy signal</w:t>
            </w:r>
          </w:p>
        </w:tc>
        <w:tc>
          <w:tcPr>
            <w:tcW w:type="dxa" w:w="3312"/>
            <w:tcMar>
              <w:top w:w="100" w:type="dxa"/>
              <w:start w:w="120" w:type="dxa"/>
              <w:bottom w:w="100" w:type="dxa"/>
              <w:end w:w="120" w:type="dxa"/>
            </w:tcMar>
            <w:vAlign w:val="top"/>
          </w:tcPr>
          <w:p>
            <w:r>
              <w:t>Shows whether journey-first model is reducing low-value duplication</w:t>
            </w:r>
          </w:p>
        </w:tc>
      </w:tr>
    </w:tbl>
    <w:p>
      <w:pPr>
        <w:pStyle w:val="Heading1"/>
      </w:pPr>
      <w:r>
        <w:t>18. Proof-of-Concept Success Criteria</w:t>
      </w:r>
    </w:p>
    <w:p>
      <w:pPr>
        <w:pStyle w:val="ListBullet"/>
      </w:pPr>
      <w:r>
        <w:t>Stories can express testable user behavior using the proposed cues without requiring journey IDs.</w:t>
      </w:r>
    </w:p>
    <w:p>
      <w:pPr>
        <w:pStyle w:val="ListBullet"/>
      </w:pPr>
      <w:r>
        <w:t>Playwright tests can be organized and selected by feature/criticality in a maintainable way.</w:t>
      </w:r>
    </w:p>
    <w:p>
      <w:pPr>
        <w:pStyle w:val="ListBullet"/>
      </w:pPr>
      <w:r>
        <w:t>CI can automatically distinguish low-risk, standard and high-risk changes with transparent rules.</w:t>
      </w:r>
    </w:p>
    <w:p>
      <w:pPr>
        <w:pStyle w:val="ListBullet"/>
      </w:pPr>
      <w:r>
        <w:t>At least a meaningful subset of real low-risk behavioral PRs can satisfy all automated evidence gates without relying on a mandatory human reviewer.</w:t>
      </w:r>
    </w:p>
    <w:p>
      <w:pPr>
        <w:pStyle w:val="ListBullet"/>
      </w:pPr>
      <w:r>
        <w:t>High-risk categories are reliably prevented from entering the no-human-review lane.</w:t>
      </w:r>
    </w:p>
    <w:p>
      <w:pPr>
        <w:pStyle w:val="ListBullet"/>
      </w:pPr>
      <w:r>
        <w:t>The full journey suite is sufficiently reliable that a pass result is trusted by engineers.</w:t>
      </w:r>
    </w:p>
    <w:p>
      <w:pPr>
        <w:pStyle w:val="ListBullet"/>
      </w:pPr>
      <w:r>
        <w:t>Product Reachability can identify genuinely interesting stale-code candidates or missing journey coverage without requiring a line-coverage target.</w:t>
      </w:r>
    </w:p>
    <w:p>
      <w:pPr>
        <w:pStyle w:val="ListBullet"/>
      </w:pPr>
      <w:r>
        <w:t>The testing model does not require broad creation of unit tests solely to improve aggregate coverage.</w:t>
      </w:r>
    </w:p>
    <w:p>
      <w:pPr>
        <w:pStyle w:val="ListBullet"/>
      </w:pPr>
      <w:r>
        <w:t>Post-merge outcomes can be associated with the review lane used, enabling evidence-based policy changes.</w:t>
      </w:r>
    </w:p>
    <w:p>
      <w:pPr>
        <w:pStyle w:val="Heading1"/>
      </w:pPr>
      <w:r>
        <w:t>19. Key Risks and Failure Modes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4CCCC"/>
          </w:tcPr>
          <w:p>
            <w:r>
              <w:t>Risk</w:t>
            </w:r>
          </w:p>
        </w:tc>
        <w:tc>
          <w:tcPr>
            <w:tcW w:type="dxa" w:w="3312"/>
            <w:shd w:fill="F4CCCC"/>
          </w:tcPr>
          <w:p>
            <w:r>
              <w:t>Consequence</w:t>
            </w:r>
          </w:p>
        </w:tc>
        <w:tc>
          <w:tcPr>
            <w:tcW w:type="dxa" w:w="3312"/>
            <w:shd w:fill="F4CCCC"/>
          </w:tcPr>
          <w:p>
            <w:r>
              <w:t>Mitigation</w:t>
            </w:r>
          </w:p>
        </w:tc>
      </w:tr>
      <w:tr>
        <w:tc>
          <w:tcPr>
            <w:tcW w:type="dxa" w:w="3312"/>
            <w:tcMar>
              <w:top w:w="100" w:type="dxa"/>
              <w:start w:w="120" w:type="dxa"/>
              <w:bottom w:w="100" w:type="dxa"/>
              <w:end w:w="120" w:type="dxa"/>
            </w:tcMar>
            <w:vAlign w:val="top"/>
          </w:tcPr>
          <w:p>
            <w:r>
              <w:t>Incomplete journey catalogue</w:t>
            </w:r>
          </w:p>
        </w:tc>
        <w:tc>
          <w:tcPr>
            <w:tcW w:type="dxa" w:w="3312"/>
            <w:tcMar>
              <w:top w:w="100" w:type="dxa"/>
              <w:start w:w="120" w:type="dxa"/>
              <w:bottom w:w="100" w:type="dxa"/>
              <w:end w:w="120" w:type="dxa"/>
            </w:tcMar>
            <w:vAlign w:val="top"/>
          </w:tcPr>
          <w:p>
            <w:r>
              <w:t>The team may claim 100% journey coverage while important behavior was never defined.</w:t>
            </w:r>
          </w:p>
        </w:tc>
        <w:tc>
          <w:tcPr>
            <w:tcW w:type="dxa" w:w="3312"/>
            <w:tcMar>
              <w:top w:w="100" w:type="dxa"/>
              <w:start w:w="120" w:type="dxa"/>
              <w:bottom w:w="100" w:type="dxa"/>
              <w:end w:w="120" w:type="dxa"/>
            </w:tcMar>
            <w:vAlign w:val="top"/>
          </w:tcPr>
          <w:p>
            <w:r>
              <w:t>Story cues, regression prompts, production incidents and reachability gaps should continuously improve the behavioral model.</w:t>
            </w:r>
          </w:p>
        </w:tc>
      </w:tr>
      <w:tr>
        <w:tc>
          <w:tcPr>
            <w:tcW w:type="dxa" w:w="3312"/>
            <w:tcMar>
              <w:top w:w="100" w:type="dxa"/>
              <w:start w:w="120" w:type="dxa"/>
              <w:bottom w:w="100" w:type="dxa"/>
              <w:end w:w="120" w:type="dxa"/>
            </w:tcMar>
            <w:vAlign w:val="top"/>
          </w:tcPr>
          <w:p>
            <w:r>
              <w:t>Flaky Playwright suite</w:t>
            </w:r>
          </w:p>
        </w:tc>
        <w:tc>
          <w:tcPr>
            <w:tcW w:type="dxa" w:w="3312"/>
            <w:tcMar>
              <w:top w:w="100" w:type="dxa"/>
              <w:start w:w="120" w:type="dxa"/>
              <w:bottom w:w="100" w:type="dxa"/>
              <w:end w:w="120" w:type="dxa"/>
            </w:tcMar>
            <w:vAlign w:val="top"/>
          </w:tcPr>
          <w:p>
            <w:r>
              <w:t>Automation becomes slower and less trusted than review.</w:t>
            </w:r>
          </w:p>
        </w:tc>
        <w:tc>
          <w:tcPr>
            <w:tcW w:type="dxa" w:w="3312"/>
            <w:tcMar>
              <w:top w:w="100" w:type="dxa"/>
              <w:start w:w="120" w:type="dxa"/>
              <w:bottom w:w="100" w:type="dxa"/>
              <w:end w:w="120" w:type="dxa"/>
            </w:tcMar>
            <w:vAlign w:val="top"/>
          </w:tcPr>
          <w:p>
            <w:r>
              <w:t>Treat flakiness as a release-safety defect; isolate data, stabilize dependencies and keep critical suite small.</w:t>
            </w:r>
          </w:p>
        </w:tc>
      </w:tr>
      <w:tr>
        <w:tc>
          <w:tcPr>
            <w:tcW w:type="dxa" w:w="3312"/>
            <w:tcMar>
              <w:top w:w="100" w:type="dxa"/>
              <w:start w:w="120" w:type="dxa"/>
              <w:bottom w:w="100" w:type="dxa"/>
              <w:end w:w="120" w:type="dxa"/>
            </w:tcMar>
            <w:vAlign w:val="top"/>
          </w:tcPr>
          <w:p>
            <w:r>
              <w:t>Over-mocking APIs</w:t>
            </w:r>
          </w:p>
        </w:tc>
        <w:tc>
          <w:tcPr>
            <w:tcW w:type="dxa" w:w="3312"/>
            <w:tcMar>
              <w:top w:w="100" w:type="dxa"/>
              <w:start w:w="120" w:type="dxa"/>
              <w:bottom w:w="100" w:type="dxa"/>
              <w:end w:w="120" w:type="dxa"/>
            </w:tcMar>
            <w:vAlign w:val="top"/>
          </w:tcPr>
          <w:p>
            <w:r>
              <w:t>Tests prove a synthetic frontend rather than the deployed integration.</w:t>
            </w:r>
          </w:p>
        </w:tc>
        <w:tc>
          <w:tcPr>
            <w:tcW w:type="dxa" w:w="3312"/>
            <w:tcMar>
              <w:top w:w="100" w:type="dxa"/>
              <w:start w:w="120" w:type="dxa"/>
              <w:bottom w:w="100" w:type="dxa"/>
              <w:end w:w="120" w:type="dxa"/>
            </w:tcMar>
            <w:vAlign w:val="top"/>
          </w:tcPr>
          <w:p>
            <w:r>
              <w:t>Use representative integration boundaries; explicitly test contract and failure behavior.</w:t>
            </w:r>
          </w:p>
        </w:tc>
      </w:tr>
      <w:tr>
        <w:tc>
          <w:tcPr>
            <w:tcW w:type="dxa" w:w="3312"/>
            <w:tcMar>
              <w:top w:w="100" w:type="dxa"/>
              <w:start w:w="120" w:type="dxa"/>
              <w:bottom w:w="100" w:type="dxa"/>
              <w:end w:w="120" w:type="dxa"/>
            </w:tcMar>
            <w:vAlign w:val="top"/>
          </w:tcPr>
          <w:p>
            <w:r>
              <w:t>Risk fragmentation</w:t>
            </w:r>
          </w:p>
        </w:tc>
        <w:tc>
          <w:tcPr>
            <w:tcW w:type="dxa" w:w="3312"/>
            <w:tcMar>
              <w:top w:w="100" w:type="dxa"/>
              <w:start w:w="120" w:type="dxa"/>
              <w:bottom w:w="100" w:type="dxa"/>
              <w:end w:w="120" w:type="dxa"/>
            </w:tcMar>
            <w:vAlign w:val="top"/>
          </w:tcPr>
          <w:p>
            <w:r>
              <w:t>A large conceptual change may be split into individually small PRs.</w:t>
            </w:r>
          </w:p>
        </w:tc>
        <w:tc>
          <w:tcPr>
            <w:tcW w:type="dxa" w:w="3312"/>
            <w:tcMar>
              <w:top w:w="100" w:type="dxa"/>
              <w:start w:w="120" w:type="dxa"/>
              <w:bottom w:w="100" w:type="dxa"/>
              <w:end w:w="120" w:type="dxa"/>
            </w:tcMar>
            <w:vAlign w:val="top"/>
          </w:tcPr>
          <w:p>
            <w:r>
              <w:t>Consider feature-area breadth, related PRs and sensitive infrastructure; human judgment remains available.</w:t>
            </w:r>
          </w:p>
        </w:tc>
      </w:tr>
      <w:tr>
        <w:tc>
          <w:tcPr>
            <w:tcW w:type="dxa" w:w="3312"/>
            <w:tcMar>
              <w:top w:w="100" w:type="dxa"/>
              <w:start w:w="120" w:type="dxa"/>
              <w:bottom w:w="100" w:type="dxa"/>
              <w:end w:w="120" w:type="dxa"/>
            </w:tcMar>
            <w:vAlign w:val="top"/>
          </w:tcPr>
          <w:p>
            <w:r>
              <w:t>Stale-code false positives</w:t>
            </w:r>
          </w:p>
        </w:tc>
        <w:tc>
          <w:tcPr>
            <w:tcW w:type="dxa" w:w="3312"/>
            <w:tcMar>
              <w:top w:w="100" w:type="dxa"/>
              <w:start w:w="120" w:type="dxa"/>
              <w:bottom w:w="100" w:type="dxa"/>
              <w:end w:w="120" w:type="dxa"/>
            </w:tcMar>
            <w:vAlign w:val="top"/>
          </w:tcPr>
          <w:p>
            <w:r>
              <w:t>Rare behavior may never run in normal journeys.</w:t>
            </w:r>
          </w:p>
        </w:tc>
        <w:tc>
          <w:tcPr>
            <w:tcW w:type="dxa" w:w="3312"/>
            <w:tcMar>
              <w:top w:w="100" w:type="dxa"/>
              <w:start w:w="120" w:type="dxa"/>
              <w:bottom w:w="100" w:type="dxa"/>
              <w:end w:w="120" w:type="dxa"/>
            </w:tcMar>
            <w:vAlign w:val="top"/>
          </w:tcPr>
          <w:p>
            <w:r>
              <w:t>Use allowlists, route/flag metadata and manual investigation before deletion.</w:t>
            </w:r>
          </w:p>
        </w:tc>
      </w:tr>
      <w:tr>
        <w:tc>
          <w:tcPr>
            <w:tcW w:type="dxa" w:w="3312"/>
            <w:tcMar>
              <w:top w:w="100" w:type="dxa"/>
              <w:start w:w="120" w:type="dxa"/>
              <w:bottom w:w="100" w:type="dxa"/>
              <w:end w:w="120" w:type="dxa"/>
            </w:tcMar>
            <w:vAlign w:val="top"/>
          </w:tcPr>
          <w:p>
            <w:r>
              <w:t>Test maintenance becomes bottleneck</w:t>
            </w:r>
          </w:p>
        </w:tc>
        <w:tc>
          <w:tcPr>
            <w:tcW w:type="dxa" w:w="3312"/>
            <w:tcMar>
              <w:top w:w="100" w:type="dxa"/>
              <w:start w:w="120" w:type="dxa"/>
              <w:bottom w:w="100" w:type="dxa"/>
              <w:end w:w="120" w:type="dxa"/>
            </w:tcMar>
            <w:vAlign w:val="top"/>
          </w:tcPr>
          <w:p>
            <w:r>
              <w:t>Too many near-duplicate browser permutations create slow suites.</w:t>
            </w:r>
          </w:p>
        </w:tc>
        <w:tc>
          <w:tcPr>
            <w:tcW w:type="dxa" w:w="3312"/>
            <w:tcMar>
              <w:top w:w="100" w:type="dxa"/>
              <w:start w:w="120" w:type="dxa"/>
              <w:bottom w:w="100" w:type="dxa"/>
              <w:end w:w="120" w:type="dxa"/>
            </w:tcMar>
            <w:vAlign w:val="top"/>
          </w:tcPr>
          <w:p>
            <w:r>
              <w:t>Model equivalence classes; use unit tests for combinatorial pure logic.</w:t>
            </w:r>
          </w:p>
        </w:tc>
      </w:tr>
      <w:tr>
        <w:tc>
          <w:tcPr>
            <w:tcW w:type="dxa" w:w="3312"/>
            <w:tcMar>
              <w:top w:w="100" w:type="dxa"/>
              <w:start w:w="120" w:type="dxa"/>
              <w:bottom w:w="100" w:type="dxa"/>
              <w:end w:w="120" w:type="dxa"/>
            </w:tcMar>
            <w:vAlign w:val="top"/>
          </w:tcPr>
          <w:p>
            <w:r>
              <w:t>Checkbox compliance</w:t>
            </w:r>
          </w:p>
        </w:tc>
        <w:tc>
          <w:tcPr>
            <w:tcW w:type="dxa" w:w="3312"/>
            <w:tcMar>
              <w:top w:w="100" w:type="dxa"/>
              <w:start w:w="120" w:type="dxa"/>
              <w:bottom w:w="100" w:type="dxa"/>
              <w:end w:w="120" w:type="dxa"/>
            </w:tcMar>
            <w:vAlign w:val="top"/>
          </w:tcPr>
          <w:p>
            <w:r>
              <w:t>People can mechanically complete templates without thinking.</w:t>
            </w:r>
          </w:p>
        </w:tc>
        <w:tc>
          <w:tcPr>
            <w:tcW w:type="dxa" w:w="3312"/>
            <w:tcMar>
              <w:top w:w="100" w:type="dxa"/>
              <w:start w:w="120" w:type="dxa"/>
              <w:bottom w:w="100" w:type="dxa"/>
              <w:end w:w="120" w:type="dxa"/>
            </w:tcMar>
            <w:vAlign w:val="top"/>
          </w:tcPr>
          <w:p>
            <w:r>
              <w:t>CI validates objective facts; keep manual prompts few and meaningful.</w:t>
            </w:r>
          </w:p>
        </w:tc>
      </w:tr>
      <w:tr>
        <w:tc>
          <w:tcPr>
            <w:tcW w:type="dxa" w:w="3312"/>
            <w:tcMar>
              <w:top w:w="100" w:type="dxa"/>
              <w:start w:w="120" w:type="dxa"/>
              <w:bottom w:w="100" w:type="dxa"/>
              <w:end w:w="120" w:type="dxa"/>
            </w:tcMar>
            <w:vAlign w:val="top"/>
          </w:tcPr>
          <w:p>
            <w:r>
              <w:t>Auto-merge overreach</w:t>
            </w:r>
          </w:p>
        </w:tc>
        <w:tc>
          <w:tcPr>
            <w:tcW w:type="dxa" w:w="3312"/>
            <w:tcMar>
              <w:top w:w="100" w:type="dxa"/>
              <w:start w:w="120" w:type="dxa"/>
              <w:bottom w:w="100" w:type="dxa"/>
              <w:end w:w="120" w:type="dxa"/>
            </w:tcMar>
            <w:vAlign w:val="top"/>
          </w:tcPr>
          <w:p>
            <w:r>
              <w:t>Pressure to increase automation can weaken safeguards.</w:t>
            </w:r>
          </w:p>
        </w:tc>
        <w:tc>
          <w:tcPr>
            <w:tcW w:type="dxa" w:w="3312"/>
            <w:tcMar>
              <w:top w:w="100" w:type="dxa"/>
              <w:start w:w="120" w:type="dxa"/>
              <w:bottom w:w="100" w:type="dxa"/>
              <w:end w:w="120" w:type="dxa"/>
            </w:tcMar>
            <w:vAlign w:val="top"/>
          </w:tcPr>
          <w:p>
            <w:r>
              <w:t>Evaluate safety outcomes by lane; expanding eligibility is not itself a success criterion.</w:t>
            </w:r>
          </w:p>
        </w:tc>
      </w:tr>
    </w:tbl>
    <w:p>
      <w:pPr>
        <w:pStyle w:val="Heading1"/>
      </w:pPr>
      <w:r>
        <w:t>20. Policy and Ownership</w:t>
      </w:r>
    </w:p>
    <w:p>
      <w:pPr>
        <w:pStyle w:val="ListBullet"/>
      </w:pPr>
      <w:r>
        <w:t>The repository owns the source-to-feature mapping, critical journey tags, sensitive path rules and rare-code allowlist.</w:t>
      </w:r>
    </w:p>
    <w:p>
      <w:pPr>
        <w:pStyle w:val="ListBullet"/>
      </w:pPr>
      <w:r>
        <w:t>Changes to auto-merge policy should be code-reviewed like production configuration.</w:t>
      </w:r>
    </w:p>
    <w:p>
      <w:pPr>
        <w:pStyle w:val="ListBullet"/>
      </w:pPr>
      <w:r>
        <w:t>A failing safety check cannot be bypassed silently; any override should be explicit and attributable.</w:t>
      </w:r>
    </w:p>
    <w:p>
      <w:pPr>
        <w:pStyle w:val="ListBullet"/>
      </w:pPr>
      <w:r>
        <w:t>Critical journey definitions should be understandable by product and engineering, even when the implementation remains technical.</w:t>
      </w:r>
    </w:p>
    <w:p>
      <w:pPr>
        <w:pStyle w:val="ListBullet"/>
      </w:pPr>
      <w:r>
        <w:t>The stale-code report is advisory until evidence demonstrates which classifications are trustworthy enough for stronger enforcement.</w:t>
      </w:r>
    </w:p>
    <w:p>
      <w:pPr>
        <w:pStyle w:val="ListBullet"/>
      </w:pPr>
      <w:r>
        <w:t>Security-sensitive policy remains conservative irrespective of journey coverage.</w:t>
      </w:r>
    </w:p>
    <w:p>
      <w:pPr>
        <w:pStyle w:val="Heading1"/>
      </w:pPr>
      <w:r>
        <w:t>21. Suggested POC Repository Structure</w:t>
      </w:r>
    </w:p>
    <w:p>
      <w:pPr>
        <w:pStyle w:val="CodeBlock"/>
      </w:pPr>
      <w:r>
        <w:t>.</w:t>
        <w:br/>
        <w:t>├── .github/</w:t>
        <w:br/>
        <w:t>│   ├── pull_request_template.md</w:t>
        <w:br/>
        <w:t>│   └── workflows/</w:t>
        <w:br/>
        <w:t>│       ├── pr-checks.yml</w:t>
        <w:br/>
        <w:t>│       └── product-reachability.yml</w:t>
        <w:br/>
        <w:t>├── config/</w:t>
        <w:br/>
        <w:t>│   ├── risk-policy.yml</w:t>
        <w:br/>
        <w:t>│   ├── test-impact-map.yml</w:t>
        <w:br/>
        <w:t>│   └── stale-code-allowlist.yml</w:t>
        <w:br/>
        <w:t>├── scripts/</w:t>
        <w:br/>
        <w:t>│   ├── classify-pr.ts</w:t>
        <w:br/>
        <w:t>│   ├── select-playwright-suites.ts</w:t>
        <w:br/>
        <w:t>│   ├── collect-reachability.ts</w:t>
        <w:br/>
        <w:t>│   ├── merge-coverage.ts</w:t>
        <w:br/>
        <w:t>│   └── build-product-reachability-report.ts</w:t>
        <w:br/>
        <w:t>├── src/</w:t>
        <w:br/>
        <w:t>├── tests/</w:t>
        <w:br/>
        <w:t>│   ├── critical/</w:t>
        <w:br/>
        <w:t>│   ├── profile/</w:t>
        <w:br/>
        <w:t>│   ├── checkout/</w:t>
        <w:br/>
        <w:t>│   └── search/</w:t>
        <w:br/>
        <w:t>├── babel.config.js</w:t>
        <w:br/>
        <w:t>├── webpack.config.js</w:t>
        <w:br/>
        <w:t>├── playwright.config.ts</w:t>
        <w:br/>
        <w:t>└── package.json</w:t>
      </w:r>
    </w:p>
    <w:p>
      <w:pPr>
        <w:pStyle w:val="Heading1"/>
      </w:pPr>
      <w:r>
        <w:t>22. Illustrative Configuration</w:t>
      </w:r>
    </w:p>
    <w:p>
      <w:pPr>
        <w:pStyle w:val="Heading2"/>
      </w:pPr>
      <w:r>
        <w:t>22.1 Risk policy</w:t>
      </w:r>
    </w:p>
    <w:p>
      <w:pPr>
        <w:pStyle w:val="CodeBlock"/>
      </w:pPr>
      <w:r>
        <w:t># config/risk-policy.yml</w:t>
        <w:br/>
        <w:t>sensitive_paths:</w:t>
        <w:br/>
        <w:t xml:space="preserve">  - src/auth/**</w:t>
        <w:br/>
        <w:t xml:space="preserve">  - src/routing/**</w:t>
        <w:br/>
        <w:t xml:space="preserve">  - src/state/core/**</w:t>
        <w:br/>
        <w:t xml:space="preserve">  - src/api/core/**</w:t>
        <w:br/>
        <w:t xml:space="preserve">  - package.json</w:t>
        <w:br/>
        <w:t xml:space="preserve">  - package-lock.json</w:t>
        <w:br/>
        <w:t xml:space="preserve">  - webpack.config.*</w:t>
        <w:br/>
        <w:t xml:space="preserve">  - Dockerfile</w:t>
        <w:br/>
        <w:t xml:space="preserve">  - .github/workflows/**</w:t>
        <w:br/>
        <w:br/>
        <w:t>low_risk_limits:</w:t>
        <w:br/>
        <w:t xml:space="preserve">  max_production_files: 10</w:t>
        <w:br/>
        <w:t xml:space="preserve">  max_changed_production_lines: 300</w:t>
        <w:br/>
        <w:t xml:space="preserve">  max_feature_areas: 1</w:t>
        <w:br/>
        <w:br/>
        <w:t>auto_merge_requires:</w:t>
        <w:br/>
        <w:t xml:space="preserve">  - build</w:t>
        <w:br/>
        <w:t xml:space="preserve">  - lint</w:t>
        <w:br/>
        <w:t xml:space="preserve">  - affected_playwright</w:t>
        <w:br/>
        <w:t xml:space="preserve">  - critical_playwright</w:t>
        <w:br/>
        <w:t xml:space="preserve">  - visual_if_applicable</w:t>
        <w:br/>
        <w:t xml:space="preserve">  - no_sensitive_paths</w:t>
        <w:br/>
        <w:t xml:space="preserve">  - no_unexplained_behavior_change</w:t>
      </w:r>
    </w:p>
    <w:p>
      <w:r>
        <w:t>Values above are illustrative POC defaults, not universal thresholds. The important property is that rules are explicit, versioned and measurable.</w:t>
      </w:r>
    </w:p>
    <w:p>
      <w:pPr>
        <w:pStyle w:val="Heading2"/>
      </w:pPr>
      <w:r>
        <w:t>22.2 Test impact map</w:t>
      </w:r>
    </w:p>
    <w:p>
      <w:pPr>
        <w:pStyle w:val="CodeBlock"/>
      </w:pPr>
      <w:r>
        <w:t># config/test-impact-map.yml</w:t>
        <w:br/>
        <w:t>profile:</w:t>
        <w:br/>
        <w:t xml:space="preserve">  source: ["src/features/profile/**"]</w:t>
        <w:br/>
        <w:t xml:space="preserve">  tests:  ["@profile"]</w:t>
        <w:br/>
        <w:br/>
        <w:t>checkout:</w:t>
        <w:br/>
        <w:t xml:space="preserve">  source: ["src/features/checkout/**"]</w:t>
        <w:br/>
        <w:t xml:space="preserve">  tests:  ["@checkout"]</w:t>
        <w:br/>
        <w:br/>
        <w:t>search:</w:t>
        <w:br/>
        <w:t xml:space="preserve">  source: ["src/features/search/**"]</w:t>
        <w:br/>
        <w:t xml:space="preserve">  tests:  ["@search"]</w:t>
        <w:br/>
        <w:br/>
        <w:t>critical_always:</w:t>
        <w:br/>
        <w:t xml:space="preserve">  tests: ["@critical"]</w:t>
      </w:r>
    </w:p>
    <w:p>
      <w:pPr>
        <w:pStyle w:val="Heading1"/>
      </w:pPr>
      <w:r>
        <w:t>23. Example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Example</w:t>
            </w:r>
          </w:p>
        </w:tc>
        <w:tc>
          <w:tcPr>
            <w:tcW w:type="dxa" w:w="3312"/>
            <w:shd w:fill="D9EAF7"/>
          </w:tcPr>
          <w:p>
            <w:r>
              <w:t>Evidence/risk</w:t>
            </w:r>
          </w:p>
        </w:tc>
        <w:tc>
          <w:tcPr>
            <w:tcW w:type="dxa" w:w="3312"/>
            <w:shd w:fill="D9EAF7"/>
          </w:tcPr>
          <w:p>
            <w:r>
              <w:t>Expected handling</w:t>
            </w:r>
          </w:p>
        </w:tc>
      </w:tr>
      <w:tr>
        <w:tc>
          <w:tcPr>
            <w:tcW w:type="dxa" w:w="3312"/>
            <w:tcMar>
              <w:top w:w="100" w:type="dxa"/>
              <w:start w:w="120" w:type="dxa"/>
              <w:bottom w:w="100" w:type="dxa"/>
              <w:end w:w="120" w:type="dxa"/>
            </w:tcMar>
            <w:vAlign w:val="top"/>
          </w:tcPr>
          <w:p>
            <w:r>
              <w:t>Copy change in a non-critical component</w:t>
            </w:r>
          </w:p>
        </w:tc>
        <w:tc>
          <w:tcPr>
            <w:tcW w:type="dxa" w:w="3312"/>
            <w:tcMar>
              <w:top w:w="100" w:type="dxa"/>
              <w:start w:w="120" w:type="dxa"/>
              <w:bottom w:w="100" w:type="dxa"/>
              <w:end w:w="120" w:type="dxa"/>
            </w:tcMar>
            <w:vAlign w:val="top"/>
          </w:tcPr>
          <w:p>
            <w:r>
              <w:t>No behavioral logic, no sensitive path, build/smoke pass</w:t>
            </w:r>
          </w:p>
        </w:tc>
        <w:tc>
          <w:tcPr>
            <w:tcW w:type="dxa" w:w="3312"/>
            <w:tcMar>
              <w:top w:w="100" w:type="dxa"/>
              <w:start w:w="120" w:type="dxa"/>
              <w:bottom w:w="100" w:type="dxa"/>
              <w:end w:w="120" w:type="dxa"/>
            </w:tcMar>
            <w:vAlign w:val="top"/>
          </w:tcPr>
          <w:p>
            <w:r>
              <w:t>Fast path; no mandatory review if repository policy permits.</w:t>
            </w:r>
          </w:p>
        </w:tc>
      </w:tr>
      <w:tr>
        <w:tc>
          <w:tcPr>
            <w:tcW w:type="dxa" w:w="3312"/>
            <w:tcMar>
              <w:top w:w="100" w:type="dxa"/>
              <w:start w:w="120" w:type="dxa"/>
              <w:bottom w:w="100" w:type="dxa"/>
              <w:end w:w="120" w:type="dxa"/>
            </w:tcMar>
            <w:vAlign w:val="top"/>
          </w:tcPr>
          <w:p>
            <w:r>
              <w:t>Change address form validation and error message</w:t>
            </w:r>
          </w:p>
        </w:tc>
        <w:tc>
          <w:tcPr>
            <w:tcW w:type="dxa" w:w="3312"/>
            <w:tcMar>
              <w:top w:w="100" w:type="dxa"/>
              <w:start w:w="120" w:type="dxa"/>
              <w:bottom w:w="100" w:type="dxa"/>
              <w:end w:w="120" w:type="dxa"/>
            </w:tcMar>
            <w:vAlign w:val="top"/>
          </w:tcPr>
          <w:p>
            <w:r>
              <w:t>Behavioral change in one feature; Playwright happy/failure scenarios updated</w:t>
            </w:r>
          </w:p>
        </w:tc>
        <w:tc>
          <w:tcPr>
            <w:tcW w:type="dxa" w:w="3312"/>
            <w:tcMar>
              <w:top w:w="100" w:type="dxa"/>
              <w:start w:w="120" w:type="dxa"/>
              <w:bottom w:w="100" w:type="dxa"/>
              <w:end w:w="120" w:type="dxa"/>
            </w:tcMar>
            <w:vAlign w:val="top"/>
          </w:tcPr>
          <w:p>
            <w:r>
              <w:t>Low-risk candidate if affected + critical + visual checks pass.</w:t>
            </w:r>
          </w:p>
        </w:tc>
      </w:tr>
      <w:tr>
        <w:tc>
          <w:tcPr>
            <w:tcW w:type="dxa" w:w="3312"/>
            <w:tcMar>
              <w:top w:w="100" w:type="dxa"/>
              <w:start w:w="120" w:type="dxa"/>
              <w:bottom w:w="100" w:type="dxa"/>
              <w:end w:w="120" w:type="dxa"/>
            </w:tcMar>
            <w:vAlign w:val="top"/>
          </w:tcPr>
          <w:p>
            <w:r>
              <w:t>Change authentication token handling</w:t>
            </w:r>
          </w:p>
        </w:tc>
        <w:tc>
          <w:tcPr>
            <w:tcW w:type="dxa" w:w="3312"/>
            <w:tcMar>
              <w:top w:w="100" w:type="dxa"/>
              <w:start w:w="120" w:type="dxa"/>
              <w:bottom w:w="100" w:type="dxa"/>
              <w:end w:w="120" w:type="dxa"/>
            </w:tcMar>
            <w:vAlign w:val="top"/>
          </w:tcPr>
          <w:p>
            <w:r>
              <w:t>Auth-sensitive regardless of journey coverage</w:t>
            </w:r>
          </w:p>
        </w:tc>
        <w:tc>
          <w:tcPr>
            <w:tcW w:type="dxa" w:w="3312"/>
            <w:tcMar>
              <w:top w:w="100" w:type="dxa"/>
              <w:start w:w="120" w:type="dxa"/>
              <w:bottom w:w="100" w:type="dxa"/>
              <w:end w:w="120" w:type="dxa"/>
            </w:tcMar>
            <w:vAlign w:val="top"/>
          </w:tcPr>
          <w:p>
            <w:r>
              <w:t>Mandatory human review.</w:t>
            </w:r>
          </w:p>
        </w:tc>
      </w:tr>
      <w:tr>
        <w:tc>
          <w:tcPr>
            <w:tcW w:type="dxa" w:w="3312"/>
            <w:tcMar>
              <w:top w:w="100" w:type="dxa"/>
              <w:start w:w="120" w:type="dxa"/>
              <w:bottom w:w="100" w:type="dxa"/>
              <w:end w:w="120" w:type="dxa"/>
            </w:tcMar>
            <w:vAlign w:val="top"/>
          </w:tcPr>
          <w:p>
            <w:r>
              <w:t>Upgrade React or a major dependency</w:t>
            </w:r>
          </w:p>
        </w:tc>
        <w:tc>
          <w:tcPr>
            <w:tcW w:type="dxa" w:w="3312"/>
            <w:tcMar>
              <w:top w:w="100" w:type="dxa"/>
              <w:start w:w="120" w:type="dxa"/>
              <w:bottom w:w="100" w:type="dxa"/>
              <w:end w:w="120" w:type="dxa"/>
            </w:tcMar>
            <w:vAlign w:val="top"/>
          </w:tcPr>
          <w:p>
            <w:r>
              <w:t>Dependency/runtime risk</w:t>
            </w:r>
          </w:p>
        </w:tc>
        <w:tc>
          <w:tcPr>
            <w:tcW w:type="dxa" w:w="3312"/>
            <w:tcMar>
              <w:top w:w="100" w:type="dxa"/>
              <w:start w:w="120" w:type="dxa"/>
              <w:bottom w:w="100" w:type="dxa"/>
              <w:end w:w="120" w:type="dxa"/>
            </w:tcMar>
            <w:vAlign w:val="top"/>
          </w:tcPr>
          <w:p>
            <w:r>
              <w:t>Mandatory human review plus broader regression suite.</w:t>
            </w:r>
          </w:p>
        </w:tc>
      </w:tr>
      <w:tr>
        <w:tc>
          <w:tcPr>
            <w:tcW w:type="dxa" w:w="3312"/>
            <w:tcMar>
              <w:top w:w="100" w:type="dxa"/>
              <w:start w:w="120" w:type="dxa"/>
              <w:bottom w:w="100" w:type="dxa"/>
              <w:end w:w="120" w:type="dxa"/>
            </w:tcMar>
            <w:vAlign w:val="top"/>
          </w:tcPr>
          <w:p>
            <w:r>
              <w:t>Refactor shared application state</w:t>
            </w:r>
          </w:p>
        </w:tc>
        <w:tc>
          <w:tcPr>
            <w:tcW w:type="dxa" w:w="3312"/>
            <w:tcMar>
              <w:top w:w="100" w:type="dxa"/>
              <w:start w:w="120" w:type="dxa"/>
              <w:bottom w:w="100" w:type="dxa"/>
              <w:end w:w="120" w:type="dxa"/>
            </w:tcMar>
            <w:vAlign w:val="top"/>
          </w:tcPr>
          <w:p>
            <w:r>
              <w:t>Cross-cutting architecture risk</w:t>
            </w:r>
          </w:p>
        </w:tc>
        <w:tc>
          <w:tcPr>
            <w:tcW w:type="dxa" w:w="3312"/>
            <w:tcMar>
              <w:top w:w="100" w:type="dxa"/>
              <w:start w:w="120" w:type="dxa"/>
              <w:bottom w:w="100" w:type="dxa"/>
              <w:end w:w="120" w:type="dxa"/>
            </w:tcMar>
            <w:vAlign w:val="top"/>
          </w:tcPr>
          <w:p>
            <w:r>
              <w:t>Mandatory human review even if journeys pass.</w:t>
            </w:r>
          </w:p>
        </w:tc>
      </w:tr>
      <w:tr>
        <w:tc>
          <w:tcPr>
            <w:tcW w:type="dxa" w:w="3312"/>
            <w:tcMar>
              <w:top w:w="100" w:type="dxa"/>
              <w:start w:w="120" w:type="dxa"/>
              <w:bottom w:w="100" w:type="dxa"/>
              <w:end w:w="120" w:type="dxa"/>
            </w:tcMar>
            <w:vAlign w:val="top"/>
          </w:tcPr>
          <w:p>
            <w:r>
              <w:t>Delete component flagged stale by reachability report</w:t>
            </w:r>
          </w:p>
        </w:tc>
        <w:tc>
          <w:tcPr>
            <w:tcW w:type="dxa" w:w="3312"/>
            <w:tcMar>
              <w:top w:w="100" w:type="dxa"/>
              <w:start w:w="120" w:type="dxa"/>
              <w:bottom w:w="100" w:type="dxa"/>
              <w:end w:w="120" w:type="dxa"/>
            </w:tcMar>
            <w:vAlign w:val="top"/>
          </w:tcPr>
          <w:p>
            <w:r>
              <w:t>Potential cleanup with uncertainty</w:t>
            </w:r>
          </w:p>
        </w:tc>
        <w:tc>
          <w:tcPr>
            <w:tcW w:type="dxa" w:w="3312"/>
            <w:tcMar>
              <w:top w:w="100" w:type="dxa"/>
              <w:start w:w="120" w:type="dxa"/>
              <w:bottom w:w="100" w:type="dxa"/>
              <w:end w:w="120" w:type="dxa"/>
            </w:tcMar>
            <w:vAlign w:val="top"/>
          </w:tcPr>
          <w:p>
            <w:r>
              <w:t>Normal PR; confirm static references, route/flag status and relevant regression journeys.</w:t>
            </w:r>
          </w:p>
        </w:tc>
      </w:tr>
      <w:tr>
        <w:tc>
          <w:tcPr>
            <w:tcW w:type="dxa" w:w="3312"/>
            <w:tcMar>
              <w:top w:w="100" w:type="dxa"/>
              <w:start w:w="120" w:type="dxa"/>
              <w:bottom w:w="100" w:type="dxa"/>
              <w:end w:w="120" w:type="dxa"/>
            </w:tcMar>
            <w:vAlign w:val="top"/>
          </w:tcPr>
          <w:p>
            <w:r>
              <w:t>Change pure complex pricing calculation used by UI</w:t>
            </w:r>
          </w:p>
        </w:tc>
        <w:tc>
          <w:tcPr>
            <w:tcW w:type="dxa" w:w="3312"/>
            <w:tcMar>
              <w:top w:w="100" w:type="dxa"/>
              <w:start w:w="120" w:type="dxa"/>
              <w:bottom w:w="100" w:type="dxa"/>
              <w:end w:w="120" w:type="dxa"/>
            </w:tcMar>
            <w:vAlign w:val="top"/>
          </w:tcPr>
          <w:p>
            <w:r>
              <w:t>Browser journey may cover only representative cases</w:t>
            </w:r>
          </w:p>
        </w:tc>
        <w:tc>
          <w:tcPr>
            <w:tcW w:type="dxa" w:w="3312"/>
            <w:tcMar>
              <w:top w:w="100" w:type="dxa"/>
              <w:start w:w="120" w:type="dxa"/>
              <w:bottom w:w="100" w:type="dxa"/>
              <w:end w:w="120" w:type="dxa"/>
            </w:tcMar>
            <w:vAlign w:val="top"/>
          </w:tcPr>
          <w:p>
            <w:r>
              <w:t>Add focused lower-level tests for combinatorial logic; human review based on domain risk.</w:t>
            </w:r>
          </w:p>
        </w:tc>
      </w:tr>
    </w:tbl>
    <w:p>
      <w:pPr>
        <w:pStyle w:val="Heading1"/>
      </w:pPr>
      <w:r>
        <w:t>24. Open Questions for the POC</w:t>
      </w:r>
    </w:p>
    <w:p>
      <w:pPr>
        <w:pStyle w:val="ListBullet"/>
      </w:pPr>
      <w:r>
        <w:t>How should the current repository be partitioned into maintainable feature areas for test impact mapping?</w:t>
      </w:r>
    </w:p>
    <w:p>
      <w:pPr>
        <w:pStyle w:val="ListBullet"/>
      </w:pPr>
      <w:r>
        <w:t>Which user journeys are truly critical enough to run on every behavioral PR?</w:t>
      </w:r>
    </w:p>
    <w:p>
      <w:pPr>
        <w:pStyle w:val="ListBullet"/>
      </w:pPr>
      <w:r>
        <w:t>Which backend dependencies can the Playwright environment exercise realistically, and which require controlled stubs?</w:t>
      </w:r>
    </w:p>
    <w:p>
      <w:pPr>
        <w:pStyle w:val="ListBullet"/>
      </w:pPr>
      <w:r>
        <w:t>Which UI changes should require visual-regression evidence?</w:t>
      </w:r>
    </w:p>
    <w:p>
      <w:pPr>
        <w:pStyle w:val="ListBullet"/>
      </w:pPr>
      <w:r>
        <w:t>What reliability level is required before Playwright results are trusted for auto-merge?</w:t>
      </w:r>
    </w:p>
    <w:p>
      <w:pPr>
        <w:pStyle w:val="ListBullet"/>
      </w:pPr>
      <w:r>
        <w:t>Which path categories are permanently ineligible for automated merge?</w:t>
      </w:r>
    </w:p>
    <w:p>
      <w:pPr>
        <w:pStyle w:val="ListBullet"/>
      </w:pPr>
      <w:r>
        <w:t>What diff-size and feature-breadth rules best distinguish routine changes from changes needing judgment?</w:t>
      </w:r>
    </w:p>
    <w:p>
      <w:pPr>
        <w:pStyle w:val="ListBullet"/>
      </w:pPr>
      <w:r>
        <w:t>Which post-deployment frontend signals are reliable enough to correlate with merge-lane safety?</w:t>
      </w:r>
    </w:p>
    <w:p>
      <w:pPr>
        <w:pStyle w:val="ListBullet"/>
      </w:pPr>
      <w:r>
        <w:t>How should feature-flagged and tenant/role-specific behavior be represented in the journey suite without combinatorial explosion?</w:t>
      </w:r>
    </w:p>
    <w:p>
      <w:pPr>
        <w:pStyle w:val="ListBullet"/>
      </w:pPr>
      <w:r>
        <w:t>What conditions make a Product Reachability stale candidate high-confidence enough to propose deletion automatically (proposal only, not deletion)?</w:t>
      </w:r>
    </w:p>
    <w:p>
      <w:pPr>
        <w:pStyle w:val="Heading1"/>
      </w:pPr>
      <w:r>
        <w:t>25. Relationship to the RADAR Pattern</w:t>
      </w:r>
    </w:p>
    <w:p>
      <w:r>
        <w:t>This proposal borrows the general risk-routing pattern discussed in Meta’s RADAR work: do not ask a single reviewer or model to judge every change uniformly. Instead, accumulate independent evidence, classify risk, and spend human attention where it has the highest marginal value. The POC deliberately adapts that idea to a smaller and more observable frontend context rather than attempting to reproduce Meta’s infrastructure.</w:t>
      </w:r>
    </w:p>
    <w:p>
      <w:r>
        <w:t>Reference: Meta, “RADAR: Risk Aware Diff Auto Review”, arXiv:2605.30208v2, https://arxiv.org/html/2605.30208v2</w:t>
      </w:r>
    </w:p>
    <w:p>
      <w:pPr>
        <w:pStyle w:val="Heading1"/>
      </w:pPr>
      <w:r>
        <w:t>26. Proposed POC Decisions</w:t>
      </w:r>
    </w:p>
    <w:p>
      <w:pPr>
        <w:pStyle w:val="ListNumber"/>
      </w:pPr>
      <w:r>
        <w:t>Adopt journey-first behavioral verification for routine frontend changes.</w:t>
      </w:r>
    </w:p>
    <w:p>
      <w:pPr>
        <w:pStyle w:val="ListNumber"/>
      </w:pPr>
      <w:r>
        <w:t>Do not use aggregate code coverage as a quality target or as a reason to create unit tests.</w:t>
      </w:r>
    </w:p>
    <w:p>
      <w:pPr>
        <w:pStyle w:val="ListNumber"/>
      </w:pPr>
      <w:r>
        <w:t>Use unit tests selectively for logic where browser journeys are inefficient or incomplete evidence.</w:t>
      </w:r>
    </w:p>
    <w:p>
      <w:pPr>
        <w:pStyle w:val="ListNumber"/>
      </w:pPr>
      <w:r>
        <w:t>Use Jira cues to define observable behavior before implementation.</w:t>
      </w:r>
    </w:p>
    <w:p>
      <w:pPr>
        <w:pStyle w:val="ListNumber"/>
      </w:pPr>
      <w:r>
        <w:t>Use human-readable Playwright test names and feature/criticality tags instead of journey IDs.</w:t>
      </w:r>
    </w:p>
    <w:p>
      <w:pPr>
        <w:pStyle w:val="ListNumber"/>
      </w:pPr>
      <w:r>
        <w:t>Use deterministic CI checks and transparent risk rules to decide whether human review is mandatory.</w:t>
      </w:r>
    </w:p>
    <w:p>
      <w:pPr>
        <w:pStyle w:val="ListNumber"/>
      </w:pPr>
      <w:r>
        <w:t>Permit automatic merge only for explicitly low-risk changes with complete automated evidence.</w:t>
      </w:r>
    </w:p>
    <w:p>
      <w:pPr>
        <w:pStyle w:val="ListNumber"/>
      </w:pPr>
      <w:r>
        <w:t>Create a separate Webpack/Istanbul instrumented build to generate Product Reachability data from the full journey suite.</w:t>
      </w:r>
    </w:p>
    <w:p>
      <w:pPr>
        <w:pStyle w:val="ListNumber"/>
      </w:pPr>
      <w:r>
        <w:t>Treat stale-code findings as investigation candidates rather than automatic deletion decisions.</w:t>
      </w:r>
    </w:p>
    <w:p>
      <w:pPr>
        <w:pStyle w:val="ListNumber"/>
      </w:pPr>
      <w:r>
        <w:t>Measure the policy using review wait, merge speed, defects, reverts, test reliability and false routing—not auto-merge rate alone.</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Proof of Concept • React + Webpack + Playwright + GCP Cloud Run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RFC: Journey-First Frontend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4E7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360" w:right="216"/>
      <w:shd w:fill="F5F5F5"/>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